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EDDAFF">
      <w:pPr>
        <w:pStyle w:val="3"/>
        <w:bidi w:val="0"/>
      </w:pPr>
    </w:p>
    <w:p w14:paraId="3783738D">
      <w:pPr>
        <w:pStyle w:val="14"/>
        <w:jc w:val="center"/>
        <w:rPr>
          <w:sz w:val="56"/>
          <w:szCs w:val="56"/>
        </w:rPr>
      </w:pPr>
    </w:p>
    <w:p w14:paraId="1B048F69">
      <w:pPr>
        <w:pStyle w:val="14"/>
        <w:jc w:val="center"/>
        <w:rPr>
          <w:sz w:val="84"/>
          <w:szCs w:val="84"/>
        </w:rPr>
      </w:pPr>
    </w:p>
    <w:p w14:paraId="06B0347F">
      <w:pPr>
        <w:pStyle w:val="14"/>
        <w:jc w:val="center"/>
        <w:rPr>
          <w:sz w:val="84"/>
          <w:szCs w:val="84"/>
        </w:rPr>
      </w:pPr>
    </w:p>
    <w:p w14:paraId="365C1E96">
      <w:pPr>
        <w:pStyle w:val="14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  <w:r>
        <w:rPr>
          <w:rFonts w:hint="eastAsia" w:ascii="方正小标宋_GBK" w:hAnsi="方正小标宋_GBK" w:eastAsia="方正小标宋_GBK" w:cs="方正小标宋_GBK"/>
          <w:sz w:val="84"/>
          <w:szCs w:val="84"/>
          <w:lang w:eastAsia="zh-CN"/>
        </w:rPr>
        <w:t>2025年</w:t>
      </w:r>
      <w:r>
        <w:rPr>
          <w:rFonts w:hint="eastAsia" w:ascii="方正小标宋_GBK" w:hAnsi="方正小标宋_GBK" w:eastAsia="方正小标宋_GBK" w:cs="方正小标宋_GBK"/>
          <w:sz w:val="84"/>
          <w:szCs w:val="84"/>
        </w:rPr>
        <w:t>度</w:t>
      </w:r>
    </w:p>
    <w:p w14:paraId="5133DC8C">
      <w:pPr>
        <w:pStyle w:val="14"/>
        <w:jc w:val="center"/>
        <w:rPr>
          <w:rFonts w:hint="eastAsia" w:ascii="方正小标宋_GBK" w:hAnsi="方正小标宋_GBK" w:eastAsia="方正小标宋_GBK" w:cs="方正小标宋_GBK"/>
          <w:sz w:val="84"/>
          <w:szCs w:val="8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84"/>
          <w:szCs w:val="84"/>
          <w:lang w:eastAsia="zh-CN"/>
        </w:rPr>
        <w:t>岳阳市计划生育协会</w:t>
      </w:r>
    </w:p>
    <w:p w14:paraId="4DBFD8A1">
      <w:pPr>
        <w:pStyle w:val="14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  <w:r>
        <w:rPr>
          <w:rFonts w:hint="eastAsia" w:ascii="方正小标宋_GBK" w:hAnsi="方正小标宋_GBK" w:eastAsia="方正小标宋_GBK" w:cs="方正小标宋_GBK"/>
          <w:sz w:val="84"/>
          <w:szCs w:val="84"/>
        </w:rPr>
        <w:t>部门决算</w:t>
      </w:r>
    </w:p>
    <w:p w14:paraId="32CEACCB">
      <w:pPr>
        <w:pStyle w:val="14"/>
        <w:jc w:val="center"/>
        <w:rPr>
          <w:rFonts w:hint="eastAsia" w:ascii="方正小标宋_GBK" w:hAnsi="方正小标宋_GBK" w:eastAsia="方正小标宋_GBK" w:cs="方正小标宋_GBK"/>
          <w:sz w:val="56"/>
          <w:szCs w:val="56"/>
        </w:rPr>
      </w:pPr>
    </w:p>
    <w:p w14:paraId="682F2551">
      <w:pPr>
        <w:pStyle w:val="14"/>
        <w:jc w:val="center"/>
        <w:rPr>
          <w:sz w:val="56"/>
          <w:szCs w:val="56"/>
        </w:rPr>
      </w:pPr>
    </w:p>
    <w:p w14:paraId="42AA88DB">
      <w:pPr>
        <w:pStyle w:val="14"/>
        <w:jc w:val="center"/>
        <w:rPr>
          <w:sz w:val="56"/>
          <w:szCs w:val="56"/>
        </w:rPr>
      </w:pPr>
    </w:p>
    <w:p w14:paraId="0DA2281C">
      <w:pPr>
        <w:pStyle w:val="14"/>
        <w:jc w:val="center"/>
        <w:rPr>
          <w:sz w:val="56"/>
          <w:szCs w:val="56"/>
        </w:rPr>
      </w:pPr>
    </w:p>
    <w:p w14:paraId="02C34E51">
      <w:pPr>
        <w:pStyle w:val="14"/>
        <w:jc w:val="center"/>
        <w:rPr>
          <w:sz w:val="32"/>
          <w:szCs w:val="32"/>
        </w:rPr>
      </w:pPr>
    </w:p>
    <w:p w14:paraId="32571B70">
      <w:pPr>
        <w:pStyle w:val="14"/>
        <w:jc w:val="center"/>
        <w:rPr>
          <w:sz w:val="32"/>
          <w:szCs w:val="32"/>
        </w:rPr>
      </w:pPr>
    </w:p>
    <w:p w14:paraId="3334BDBC">
      <w:pPr>
        <w:pStyle w:val="14"/>
        <w:jc w:val="center"/>
        <w:rPr>
          <w:sz w:val="32"/>
          <w:szCs w:val="32"/>
        </w:rPr>
      </w:pPr>
    </w:p>
    <w:p w14:paraId="673510E9">
      <w:pPr>
        <w:pStyle w:val="14"/>
        <w:jc w:val="center"/>
        <w:rPr>
          <w:sz w:val="32"/>
          <w:szCs w:val="32"/>
        </w:rPr>
      </w:pPr>
    </w:p>
    <w:p w14:paraId="6B4F36CC">
      <w:pPr>
        <w:pStyle w:val="14"/>
        <w:jc w:val="center"/>
        <w:rPr>
          <w:sz w:val="32"/>
          <w:szCs w:val="32"/>
        </w:rPr>
      </w:pPr>
    </w:p>
    <w:p w14:paraId="1E402A72">
      <w:pPr>
        <w:pStyle w:val="14"/>
        <w:spacing w:line="540" w:lineRule="exact"/>
        <w:jc w:val="center"/>
        <w:rPr>
          <w:sz w:val="56"/>
          <w:szCs w:val="56"/>
        </w:rPr>
      </w:pPr>
    </w:p>
    <w:p w14:paraId="590C24C9">
      <w:pPr>
        <w:pStyle w:val="14"/>
        <w:spacing w:line="500" w:lineRule="exact"/>
        <w:jc w:val="both"/>
        <w:rPr>
          <w:b/>
          <w:sz w:val="36"/>
          <w:szCs w:val="28"/>
        </w:rPr>
      </w:pPr>
    </w:p>
    <w:p w14:paraId="33470C9E">
      <w:pPr>
        <w:pStyle w:val="14"/>
        <w:spacing w:line="500" w:lineRule="exact"/>
        <w:jc w:val="center"/>
        <w:rPr>
          <w:b/>
          <w:sz w:val="36"/>
          <w:szCs w:val="28"/>
        </w:rPr>
      </w:pPr>
      <w:r>
        <w:rPr>
          <w:rFonts w:hint="eastAsia"/>
          <w:b/>
          <w:sz w:val="36"/>
          <w:szCs w:val="28"/>
        </w:rPr>
        <w:t>目录</w:t>
      </w:r>
    </w:p>
    <w:p w14:paraId="0C7CFAFE">
      <w:pPr>
        <w:pStyle w:val="14"/>
        <w:spacing w:line="500" w:lineRule="exact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第一部分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XX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  <w:t>部门（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单位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  <w:t>）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概况</w:t>
      </w:r>
    </w:p>
    <w:p w14:paraId="7282547B">
      <w:pPr>
        <w:pStyle w:val="14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一、部门职责</w:t>
      </w:r>
    </w:p>
    <w:p w14:paraId="00D9B387">
      <w:pPr>
        <w:pStyle w:val="14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二、机构设置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及决算单位构成</w:t>
      </w:r>
    </w:p>
    <w:p w14:paraId="39565EC5">
      <w:pPr>
        <w:pStyle w:val="14"/>
        <w:spacing w:line="500" w:lineRule="exact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第二部分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部门决算表</w:t>
      </w:r>
    </w:p>
    <w:p w14:paraId="38D6D801">
      <w:pPr>
        <w:pStyle w:val="14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一、收入支出决算总表</w:t>
      </w:r>
    </w:p>
    <w:p w14:paraId="7FFEF270">
      <w:pPr>
        <w:pStyle w:val="14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二、收入决算表</w:t>
      </w:r>
    </w:p>
    <w:p w14:paraId="49468D0D">
      <w:pPr>
        <w:pStyle w:val="14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三、支出决算表</w:t>
      </w:r>
    </w:p>
    <w:p w14:paraId="2F8C2EE7">
      <w:pPr>
        <w:pStyle w:val="14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四、财政拨款收入支出决算总表</w:t>
      </w:r>
    </w:p>
    <w:p w14:paraId="742B18DD">
      <w:pPr>
        <w:pStyle w:val="14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五、一般公共预算财政拨款支出决算表</w:t>
      </w:r>
    </w:p>
    <w:p w14:paraId="316A1B79">
      <w:pPr>
        <w:pStyle w:val="14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六、一般公共预算财政拨款基本支出决算明细表</w:t>
      </w:r>
    </w:p>
    <w:p w14:paraId="70AFAD89">
      <w:pPr>
        <w:pStyle w:val="14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七、政府性基金预算财政拨款收入支出决算表</w:t>
      </w:r>
    </w:p>
    <w:p w14:paraId="1C143E2D">
      <w:pPr>
        <w:pStyle w:val="14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八、国有资本经营预算财政拨款支出决算表</w:t>
      </w:r>
    </w:p>
    <w:p w14:paraId="1572F668">
      <w:pPr>
        <w:pStyle w:val="14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九、财政拨款“三公”经费支出决算表</w:t>
      </w:r>
    </w:p>
    <w:p w14:paraId="7565AC8E">
      <w:pPr>
        <w:pStyle w:val="14"/>
        <w:spacing w:line="500" w:lineRule="exact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第三部分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部门决算情况说明</w:t>
      </w:r>
    </w:p>
    <w:p w14:paraId="1138E399">
      <w:pPr>
        <w:pStyle w:val="14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一、收入支出决算总体情况说明</w:t>
      </w:r>
    </w:p>
    <w:p w14:paraId="67F75343">
      <w:pPr>
        <w:spacing w:line="500" w:lineRule="exact"/>
        <w:ind w:firstLine="700" w:firstLineChars="25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二、收入决算情况说明</w:t>
      </w:r>
    </w:p>
    <w:p w14:paraId="7FCD04EE">
      <w:pPr>
        <w:autoSpaceDE w:val="0"/>
        <w:autoSpaceDN w:val="0"/>
        <w:adjustRightInd w:val="0"/>
        <w:spacing w:line="500" w:lineRule="exact"/>
        <w:ind w:firstLine="700" w:firstLineChars="250"/>
        <w:jc w:val="left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三、支出决算情况说明</w:t>
      </w:r>
    </w:p>
    <w:p w14:paraId="3189DEB9">
      <w:pPr>
        <w:autoSpaceDE w:val="0"/>
        <w:autoSpaceDN w:val="0"/>
        <w:adjustRightInd w:val="0"/>
        <w:spacing w:line="500" w:lineRule="exact"/>
        <w:ind w:firstLine="700" w:firstLineChars="250"/>
        <w:jc w:val="left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四、财政拨款收入支出决算总体情况说明</w:t>
      </w:r>
    </w:p>
    <w:p w14:paraId="697CA006">
      <w:pPr>
        <w:autoSpaceDE w:val="0"/>
        <w:autoSpaceDN w:val="0"/>
        <w:adjustRightInd w:val="0"/>
        <w:spacing w:line="500" w:lineRule="exact"/>
        <w:ind w:firstLine="700" w:firstLineChars="250"/>
        <w:jc w:val="left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五、一般公共预算财政拨款支出决算情况说明</w:t>
      </w:r>
    </w:p>
    <w:p w14:paraId="0D8C5B61">
      <w:pPr>
        <w:autoSpaceDE w:val="0"/>
        <w:autoSpaceDN w:val="0"/>
        <w:adjustRightInd w:val="0"/>
        <w:spacing w:line="500" w:lineRule="exact"/>
        <w:ind w:firstLine="700" w:firstLineChars="250"/>
        <w:jc w:val="left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六、一般公共预算财政拨款基本支出决算情况说明</w:t>
      </w:r>
    </w:p>
    <w:p w14:paraId="5F8A35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700" w:firstLineChars="25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七、政府性基金预算收入支出决算情况</w:t>
      </w:r>
    </w:p>
    <w:p w14:paraId="3BB267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700" w:firstLineChars="25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highlight w:val="yellow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highlight w:val="none"/>
        </w:rPr>
        <w:t>八、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国有资本经营预算财政拨款支出决算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情况</w:t>
      </w:r>
    </w:p>
    <w:p w14:paraId="365BC6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700" w:firstLineChars="25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九、财政拨款三公经费支出决算情况说明</w:t>
      </w:r>
    </w:p>
    <w:p w14:paraId="71628B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700" w:firstLineChars="25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十、关于机关运行经费支出说明</w:t>
      </w:r>
    </w:p>
    <w:p w14:paraId="3620B7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700" w:firstLineChars="25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十一、一般性支出情况说明</w:t>
      </w:r>
    </w:p>
    <w:p w14:paraId="4E19B3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700" w:firstLineChars="25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十二、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关于政府采购支出说明</w:t>
      </w:r>
    </w:p>
    <w:p w14:paraId="533860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700" w:firstLineChars="25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-SA"/>
        </w:rPr>
        <w:t>十三、关于国有资产占用情况说明</w:t>
      </w:r>
    </w:p>
    <w:p w14:paraId="44AB874A">
      <w:pPr>
        <w:pStyle w:val="14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highlight w:val="none"/>
          <w:lang w:val="en-US" w:eastAsia="zh-CN" w:bidi="ar-SA"/>
        </w:rPr>
        <w:t>十四、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关于</w:t>
      </w:r>
      <w:r>
        <w:rPr>
          <w:rFonts w:hint="eastAsia" w:ascii="Times New Roman" w:hAnsi="Times New Roman" w:eastAsia="仿宋_GB2312" w:cs="Times New Roman"/>
          <w:sz w:val="28"/>
          <w:szCs w:val="28"/>
          <w:highlight w:val="none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度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预算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绩效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管理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情况的说明</w:t>
      </w:r>
    </w:p>
    <w:p w14:paraId="284144A0">
      <w:pPr>
        <w:pStyle w:val="14"/>
        <w:spacing w:line="500" w:lineRule="exact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第四部分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名词解释</w:t>
      </w:r>
    </w:p>
    <w:p w14:paraId="19AC70E9">
      <w:pPr>
        <w:pStyle w:val="14"/>
        <w:spacing w:line="500" w:lineRule="exact"/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第</w:t>
      </w:r>
      <w:r>
        <w:rPr>
          <w:rFonts w:hint="eastAsia" w:hAnsi="黑体" w:cs="黑体"/>
          <w:b w:val="0"/>
          <w:bCs/>
          <w:sz w:val="28"/>
          <w:szCs w:val="28"/>
          <w:lang w:eastAsia="zh-CN"/>
        </w:rPr>
        <w:t>五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部分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hAnsi="黑体" w:cs="黑体"/>
          <w:b w:val="0"/>
          <w:bCs/>
          <w:sz w:val="28"/>
          <w:szCs w:val="28"/>
          <w:lang w:eastAsia="zh-CN"/>
        </w:rPr>
        <w:t>附件</w:t>
      </w:r>
    </w:p>
    <w:p w14:paraId="18E91148">
      <w:pPr>
        <w:pStyle w:val="14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57061694">
      <w:pPr>
        <w:pStyle w:val="14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59FCF02E">
      <w:pPr>
        <w:pStyle w:val="14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10327239">
      <w:pPr>
        <w:pStyle w:val="14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030CCA70">
      <w:pPr>
        <w:pStyle w:val="14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1656D37D">
      <w:pPr>
        <w:pStyle w:val="14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7064DFD7">
      <w:pPr>
        <w:pStyle w:val="14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4313EA26">
      <w:pPr>
        <w:pStyle w:val="14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0F2D8C8B">
      <w:pPr>
        <w:pStyle w:val="14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768D429F">
      <w:pPr>
        <w:pStyle w:val="14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  <w:r>
        <w:rPr>
          <w:rFonts w:hint="eastAsia" w:ascii="方正小标宋_GBK" w:hAnsi="方正小标宋_GBK" w:eastAsia="方正小标宋_GBK" w:cs="方正小标宋_GBK"/>
          <w:sz w:val="84"/>
          <w:szCs w:val="84"/>
        </w:rPr>
        <w:t xml:space="preserve">第一部分 </w:t>
      </w:r>
    </w:p>
    <w:p w14:paraId="439CA578">
      <w:pPr>
        <w:pStyle w:val="14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5BD294B4">
      <w:pPr>
        <w:jc w:val="center"/>
        <w:rPr>
          <w:rFonts w:hint="eastAsia" w:ascii="方正小标宋_GBK" w:hAnsi="方正小标宋_GBK" w:eastAsia="方正小标宋_GBK" w:cs="方正小标宋_GBK"/>
          <w:sz w:val="84"/>
          <w:szCs w:val="8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84"/>
          <w:szCs w:val="84"/>
          <w:lang w:eastAsia="zh-CN"/>
        </w:rPr>
        <w:t>岳阳市计划生育协会</w:t>
      </w:r>
    </w:p>
    <w:p w14:paraId="35A4CCA8">
      <w:pPr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  <w:r>
        <w:rPr>
          <w:rFonts w:hint="eastAsia" w:ascii="方正小标宋_GBK" w:hAnsi="方正小标宋_GBK" w:eastAsia="方正小标宋_GBK" w:cs="方正小标宋_GBK"/>
          <w:sz w:val="84"/>
          <w:szCs w:val="84"/>
          <w:lang w:eastAsia="zh-CN"/>
        </w:rPr>
        <w:t>部门</w:t>
      </w:r>
      <w:r>
        <w:rPr>
          <w:rFonts w:hint="eastAsia" w:ascii="方正小标宋_GBK" w:hAnsi="方正小标宋_GBK" w:eastAsia="方正小标宋_GBK" w:cs="方正小标宋_GBK"/>
          <w:sz w:val="84"/>
          <w:szCs w:val="84"/>
        </w:rPr>
        <w:t>概况</w:t>
      </w:r>
    </w:p>
    <w:p w14:paraId="4B48E270">
      <w:pPr>
        <w:pStyle w:val="9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30A34A4D">
      <w:pPr>
        <w:pStyle w:val="5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771B0911">
      <w:pPr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50B3042B">
      <w:pPr>
        <w:pStyle w:val="9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5C93174C">
      <w:pPr>
        <w:pStyle w:val="5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0235902C">
      <w:pPr>
        <w:pStyle w:val="15"/>
        <w:numPr>
          <w:ilvl w:val="0"/>
          <w:numId w:val="1"/>
        </w:numPr>
        <w:ind w:firstLineChars="0"/>
        <w:jc w:val="left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部门职责</w:t>
      </w:r>
    </w:p>
    <w:p w14:paraId="646013E9">
      <w:pPr>
        <w:spacing w:line="600" w:lineRule="exact"/>
        <w:ind w:firstLine="64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28"/>
          <w:szCs w:val="28"/>
          <w:lang w:eastAsia="zh-CN"/>
        </w:rPr>
        <w:t>（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一</w:t>
      </w:r>
      <w:r>
        <w:rPr>
          <w:rFonts w:hint="eastAsia" w:ascii="仿宋_GB2312" w:eastAsia="仿宋_GB2312"/>
          <w:sz w:val="28"/>
          <w:szCs w:val="28"/>
          <w:lang w:eastAsia="zh-CN"/>
        </w:rPr>
        <w:t>）</w:t>
      </w:r>
      <w:r>
        <w:rPr>
          <w:rFonts w:hint="eastAsia" w:ascii="仿宋_GB2312" w:eastAsia="仿宋_GB2312"/>
          <w:sz w:val="28"/>
          <w:szCs w:val="28"/>
        </w:rPr>
        <w:t>宣传国家计划生育和卫生健康相关法律法规、政策，协助政府推动卫生健康和人口计划生育工作，指导县市区计生协会及各基层计生协会工作。</w:t>
      </w:r>
    </w:p>
    <w:p w14:paraId="21399D99">
      <w:pPr>
        <w:spacing w:line="60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lang w:eastAsia="zh-CN"/>
        </w:rPr>
        <w:t>（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二</w:t>
      </w:r>
      <w:r>
        <w:rPr>
          <w:rFonts w:hint="eastAsia" w:ascii="仿宋_GB2312" w:eastAsia="仿宋_GB2312"/>
          <w:sz w:val="28"/>
          <w:szCs w:val="28"/>
          <w:lang w:eastAsia="zh-CN"/>
        </w:rPr>
        <w:t>）</w:t>
      </w:r>
      <w:r>
        <w:rPr>
          <w:rFonts w:hint="eastAsia" w:ascii="仿宋_GB2312" w:eastAsia="仿宋_GB2312"/>
          <w:sz w:val="28"/>
          <w:szCs w:val="28"/>
        </w:rPr>
        <w:t>弘扬社会主义核心价值观和先进的人口文化，以群众喜闻乐见的形式，广泛宣传优生优育、性与生殖健康、疾病预防等知识，教育引导群众负责任、有计划地生育，倡导科学、文明、进步的婚育观念和健康的生活方式。</w:t>
      </w:r>
    </w:p>
    <w:p w14:paraId="2F3D90DF">
      <w:pPr>
        <w:spacing w:line="60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</w:t>
      </w:r>
      <w:r>
        <w:rPr>
          <w:rFonts w:hint="eastAsia" w:ascii="仿宋_GB2312" w:eastAsia="仿宋_GB2312"/>
          <w:sz w:val="28"/>
          <w:szCs w:val="28"/>
          <w:lang w:eastAsia="zh-CN"/>
        </w:rPr>
        <w:t>（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三</w:t>
      </w:r>
      <w:r>
        <w:rPr>
          <w:rFonts w:hint="eastAsia" w:ascii="仿宋_GB2312" w:eastAsia="仿宋_GB2312"/>
          <w:sz w:val="28"/>
          <w:szCs w:val="28"/>
          <w:lang w:eastAsia="zh-CN"/>
        </w:rPr>
        <w:t>）</w:t>
      </w:r>
      <w:r>
        <w:rPr>
          <w:rFonts w:hint="eastAsia" w:ascii="仿宋_GB2312" w:eastAsia="仿宋_GB2312"/>
          <w:sz w:val="28"/>
          <w:szCs w:val="28"/>
        </w:rPr>
        <w:t>组织开展生殖健康咨询、优生优育指导、计划生育健康综合保险和流动人口服务等，提高群众健康素养。做好计划生育困难家庭和特殊家庭的生活、生产、生育扶助和精神慰藉服务，做强生育关怀行动品牌。以购买服务等多种方式加强与其他组织的合作，发展人口福利事业，努力为广大育龄群众和计划生育家庭服务。</w:t>
      </w:r>
    </w:p>
    <w:p w14:paraId="0B9C7A3A">
      <w:pPr>
        <w:spacing w:line="60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</w:t>
      </w:r>
      <w:r>
        <w:rPr>
          <w:rFonts w:hint="eastAsia" w:ascii="仿宋_GB2312" w:eastAsia="仿宋_GB2312"/>
          <w:sz w:val="28"/>
          <w:szCs w:val="28"/>
          <w:lang w:eastAsia="zh-CN"/>
        </w:rPr>
        <w:t>（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四</w:t>
      </w:r>
      <w:r>
        <w:rPr>
          <w:rFonts w:hint="eastAsia" w:ascii="仿宋_GB2312" w:eastAsia="仿宋_GB2312"/>
          <w:sz w:val="28"/>
          <w:szCs w:val="28"/>
          <w:lang w:eastAsia="zh-CN"/>
        </w:rPr>
        <w:t>）</w:t>
      </w:r>
      <w:r>
        <w:rPr>
          <w:rFonts w:hint="eastAsia" w:ascii="仿宋_GB2312" w:eastAsia="仿宋_GB2312"/>
          <w:sz w:val="28"/>
          <w:szCs w:val="28"/>
        </w:rPr>
        <w:t>维护育龄群众和计划生育家庭合法权益，倾听和反映群众计划生育、生殖健康等方面的诉求，促进社会公平正义。推进计划生育基层群众自治，动员、引导会员和群众实行自我管理、自我教育、自我服务、自我监督。</w:t>
      </w:r>
    </w:p>
    <w:p w14:paraId="7EDBB4BB">
      <w:pPr>
        <w:spacing w:line="60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</w:t>
      </w:r>
      <w:r>
        <w:rPr>
          <w:rFonts w:hint="eastAsia" w:ascii="仿宋_GB2312" w:eastAsia="仿宋_GB2312"/>
          <w:sz w:val="28"/>
          <w:szCs w:val="28"/>
          <w:lang w:eastAsia="zh-CN"/>
        </w:rPr>
        <w:t>（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五</w:t>
      </w:r>
      <w:r>
        <w:rPr>
          <w:rFonts w:hint="eastAsia" w:ascii="仿宋_GB2312" w:eastAsia="仿宋_GB2312"/>
          <w:sz w:val="28"/>
          <w:szCs w:val="28"/>
          <w:lang w:eastAsia="zh-CN"/>
        </w:rPr>
        <w:t>）</w:t>
      </w:r>
      <w:r>
        <w:rPr>
          <w:rFonts w:hint="eastAsia" w:ascii="仿宋_GB2312" w:eastAsia="仿宋_GB2312"/>
          <w:sz w:val="28"/>
          <w:szCs w:val="28"/>
        </w:rPr>
        <w:t>加强计划生育协会组织建设、队伍建设和阵地建设，为计划生育协会事业发展提供保障。探索加快“六项重点任务”职能转移和承接，并做到“人随事走”、“费随事转”，构建权责统一、财权事权相匹配的工作体制，切实提高计生协参与公共管理和社会服务的能力。有计划、有步骤地开展基层计生协骨干会员培训工作。</w:t>
      </w:r>
    </w:p>
    <w:p w14:paraId="3D3C1BEB">
      <w:pPr>
        <w:spacing w:line="600" w:lineRule="exact"/>
        <w:ind w:firstLine="645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lang w:eastAsia="zh-CN"/>
        </w:rPr>
        <w:t>（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六</w:t>
      </w:r>
      <w:r>
        <w:rPr>
          <w:rFonts w:hint="eastAsia" w:ascii="仿宋_GB2312" w:eastAsia="仿宋_GB2312"/>
          <w:sz w:val="28"/>
          <w:szCs w:val="28"/>
          <w:lang w:eastAsia="zh-CN"/>
        </w:rPr>
        <w:t>）</w:t>
      </w:r>
      <w:r>
        <w:rPr>
          <w:rFonts w:hint="eastAsia" w:ascii="仿宋_GB2312" w:eastAsia="仿宋_GB2312"/>
          <w:sz w:val="28"/>
          <w:szCs w:val="28"/>
        </w:rPr>
        <w:t>开展健康促进工作。积极参与健康知识普及、健康促进、合理膳食、妇幼健康促进、中小学生健康促进、老年健康促进等健康中国行动，主动参与爱国卫生运动。提供以“家庭健康素养促进行动”为内容的咨询服务，推动健康意识的确立、健康素养的提升和健康生活方式的形成。</w:t>
      </w:r>
    </w:p>
    <w:p w14:paraId="05DD953C">
      <w:pPr>
        <w:spacing w:line="600" w:lineRule="exact"/>
        <w:ind w:firstLine="645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lang w:eastAsia="zh-CN"/>
        </w:rPr>
        <w:t>（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七</w:t>
      </w:r>
      <w:r>
        <w:rPr>
          <w:rFonts w:hint="eastAsia" w:ascii="仿宋_GB2312" w:eastAsia="仿宋_GB2312"/>
          <w:sz w:val="28"/>
          <w:szCs w:val="28"/>
          <w:lang w:eastAsia="zh-CN"/>
        </w:rPr>
        <w:t>）</w:t>
      </w:r>
      <w:r>
        <w:rPr>
          <w:rFonts w:hint="eastAsia" w:ascii="仿宋_GB2312" w:eastAsia="仿宋_GB2312"/>
          <w:sz w:val="28"/>
          <w:szCs w:val="28"/>
        </w:rPr>
        <w:t>开展计划生育家庭帮扶。围绕计划生育家庭需求，在生产、生活、生育方面提供帮扶。实施暖心家园、住院护理补贴、计生家庭健康保险、计生三结合等项目。主动服务计划生育特殊家庭，加大失独家庭帮扶服务力度。积极应对人口老龄化，探索开发适合老龄化社会需求的服务产品。</w:t>
      </w:r>
    </w:p>
    <w:p w14:paraId="01671763">
      <w:pPr>
        <w:spacing w:line="60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lang w:eastAsia="zh-CN"/>
        </w:rPr>
        <w:t>（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八</w:t>
      </w:r>
      <w:r>
        <w:rPr>
          <w:rFonts w:hint="eastAsia" w:ascii="仿宋_GB2312" w:eastAsia="仿宋_GB2312"/>
          <w:sz w:val="28"/>
          <w:szCs w:val="28"/>
          <w:lang w:eastAsia="zh-CN"/>
        </w:rPr>
        <w:t>）</w:t>
      </w:r>
      <w:r>
        <w:rPr>
          <w:rFonts w:hint="eastAsia" w:ascii="仿宋_GB2312" w:eastAsia="仿宋_GB2312"/>
          <w:sz w:val="28"/>
          <w:szCs w:val="28"/>
        </w:rPr>
        <w:t>参与乡村振兴工作。发挥计生协扎根基层的优势，推动新时期计划生育基层群众自治转型发展，建设一批设施规范、功能完备、制度完善、服务优良的基层计生协“会员之家”。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倡导文明新风，</w:t>
      </w:r>
      <w:r>
        <w:rPr>
          <w:rFonts w:hint="eastAsia" w:ascii="仿宋_GB2312" w:eastAsia="仿宋_GB2312"/>
          <w:sz w:val="28"/>
          <w:szCs w:val="28"/>
        </w:rPr>
        <w:t>弘扬婚育新风，推动移风易俗，促进家庭和睦、邻里和谐、乡风文明</w:t>
      </w:r>
      <w:r>
        <w:rPr>
          <w:rFonts w:hint="eastAsia" w:ascii="仿宋_GB2312" w:eastAsia="仿宋_GB2312"/>
          <w:sz w:val="28"/>
          <w:szCs w:val="28"/>
          <w:lang w:eastAsia="zh-CN"/>
        </w:rPr>
        <w:t>，</w:t>
      </w:r>
      <w:r>
        <w:rPr>
          <w:rFonts w:hint="eastAsia" w:ascii="仿宋_GB2312" w:eastAsia="仿宋_GB2312"/>
          <w:sz w:val="28"/>
          <w:szCs w:val="28"/>
        </w:rPr>
        <w:t>助力建设共建共享的社会治理格局。</w:t>
      </w:r>
    </w:p>
    <w:p w14:paraId="4D7F9546">
      <w:pPr>
        <w:spacing w:line="600" w:lineRule="exact"/>
        <w:ind w:firstLine="64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lang w:eastAsia="zh-CN"/>
        </w:rPr>
        <w:t>（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九</w:t>
      </w:r>
      <w:r>
        <w:rPr>
          <w:rFonts w:hint="eastAsia" w:ascii="仿宋_GB2312" w:eastAsia="仿宋_GB2312"/>
          <w:sz w:val="28"/>
          <w:szCs w:val="28"/>
          <w:lang w:eastAsia="zh-CN"/>
        </w:rPr>
        <w:t>）</w:t>
      </w:r>
      <w:r>
        <w:rPr>
          <w:rFonts w:hint="eastAsia" w:ascii="仿宋_GB2312" w:eastAsia="仿宋_GB2312"/>
          <w:sz w:val="28"/>
          <w:szCs w:val="28"/>
        </w:rPr>
        <w:t>为育龄群众提供避孕药具，促进家庭健康全面发展。负责全市避孕知识普及、避孕药具的推广、发放</w:t>
      </w:r>
      <w:r>
        <w:rPr>
          <w:rFonts w:hint="eastAsia" w:ascii="仿宋_GB2312" w:eastAsia="仿宋_GB2312"/>
          <w:sz w:val="28"/>
          <w:szCs w:val="28"/>
          <w:lang w:eastAsia="zh-CN"/>
        </w:rPr>
        <w:t>、</w:t>
      </w:r>
      <w:r>
        <w:rPr>
          <w:rFonts w:hint="eastAsia" w:ascii="仿宋_GB2312" w:eastAsia="仿宋_GB2312"/>
          <w:sz w:val="28"/>
          <w:szCs w:val="28"/>
        </w:rPr>
        <w:t>使用，为全市育龄群众免费提供避孕药具。</w:t>
      </w:r>
    </w:p>
    <w:p w14:paraId="7DB9E41C">
      <w:pPr>
        <w:spacing w:line="600" w:lineRule="exact"/>
        <w:ind w:firstLine="64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lang w:eastAsia="zh-CN"/>
        </w:rPr>
        <w:t>（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十</w:t>
      </w:r>
      <w:r>
        <w:rPr>
          <w:rFonts w:hint="eastAsia" w:ascii="仿宋_GB2312" w:eastAsia="仿宋_GB2312"/>
          <w:sz w:val="28"/>
          <w:szCs w:val="28"/>
          <w:lang w:eastAsia="zh-CN"/>
        </w:rPr>
        <w:t>）</w:t>
      </w:r>
      <w:r>
        <w:rPr>
          <w:rFonts w:hint="eastAsia" w:ascii="仿宋_GB2312" w:eastAsia="仿宋_GB2312"/>
          <w:sz w:val="28"/>
          <w:szCs w:val="28"/>
        </w:rPr>
        <w:t>开展与卫生健康和计划生育有关的其他活动。</w:t>
      </w:r>
    </w:p>
    <w:p w14:paraId="5C39152D">
      <w:pPr>
        <w:ind w:firstLine="700" w:firstLineChars="250"/>
        <w:jc w:val="both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仿宋_GB2312" w:eastAsia="仿宋_GB2312"/>
          <w:sz w:val="28"/>
          <w:szCs w:val="28"/>
          <w:lang w:eastAsia="zh-CN"/>
        </w:rPr>
        <w:t>（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十一</w:t>
      </w:r>
      <w:r>
        <w:rPr>
          <w:rFonts w:hint="eastAsia" w:ascii="仿宋_GB2312" w:eastAsia="仿宋_GB2312"/>
          <w:sz w:val="28"/>
          <w:szCs w:val="28"/>
          <w:lang w:eastAsia="zh-CN"/>
        </w:rPr>
        <w:t>）</w:t>
      </w:r>
      <w:r>
        <w:rPr>
          <w:rFonts w:hint="eastAsia" w:ascii="仿宋_GB2312" w:eastAsia="仿宋_GB2312"/>
          <w:sz w:val="28"/>
          <w:szCs w:val="28"/>
        </w:rPr>
        <w:t>完成市委、市政府交办的其它事项。</w:t>
      </w:r>
    </w:p>
    <w:p w14:paraId="51085CB5">
      <w:pPr>
        <w:widowControl/>
        <w:spacing w:line="600" w:lineRule="exact"/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  <w:t>二、机构设置及决算单位构成</w:t>
      </w:r>
    </w:p>
    <w:p w14:paraId="792A5FA6">
      <w:pPr>
        <w:widowControl/>
        <w:spacing w:line="600" w:lineRule="exact"/>
        <w:rPr>
          <w:rFonts w:hint="eastAsia" w:ascii="Times New Roman" w:hAnsi="Times New Roman" w:eastAsia="仿宋_GB2312" w:cs="仿宋_GB2312"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</w:rPr>
        <w:t>（一）内设机构设置。</w:t>
      </w:r>
    </w:p>
    <w:p w14:paraId="247E6A65">
      <w:pPr>
        <w:widowControl/>
        <w:spacing w:line="600" w:lineRule="exact"/>
        <w:ind w:firstLine="560" w:firstLineChars="200"/>
        <w:rPr>
          <w:rFonts w:hint="eastAsia" w:ascii="Times New Roman" w:hAnsi="Times New Roman" w:eastAsia="仿宋_GB2312" w:cs="仿宋_GB2312"/>
          <w:bCs/>
          <w:kern w:val="0"/>
          <w:sz w:val="28"/>
          <w:szCs w:val="28"/>
        </w:rPr>
      </w:pPr>
      <w:r>
        <w:rPr>
          <w:rFonts w:hint="eastAsia" w:ascii="Times New Roman" w:hAnsi="Times New Roman" w:eastAsia="仿宋_GB2312" w:cs="仿宋_GB2312"/>
          <w:bCs/>
          <w:kern w:val="0"/>
          <w:sz w:val="28"/>
          <w:szCs w:val="28"/>
          <w:lang w:eastAsia="zh-CN"/>
        </w:rPr>
        <w:t>岳阳市计划生育协会</w:t>
      </w:r>
      <w:r>
        <w:rPr>
          <w:rFonts w:hint="eastAsia" w:ascii="Times New Roman" w:hAnsi="Times New Roman" w:eastAsia="仿宋_GB2312" w:cs="仿宋_GB2312"/>
          <w:bCs/>
          <w:kern w:val="0"/>
          <w:sz w:val="28"/>
          <w:szCs w:val="28"/>
        </w:rPr>
        <w:t>单位内设机构包括：</w:t>
      </w:r>
    </w:p>
    <w:p w14:paraId="355D50A2">
      <w:pPr>
        <w:spacing w:line="60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1、</w:t>
      </w:r>
      <w:r>
        <w:rPr>
          <w:rFonts w:hint="eastAsia" w:ascii="仿宋_GB2312" w:eastAsia="仿宋_GB2312"/>
          <w:sz w:val="28"/>
          <w:szCs w:val="28"/>
        </w:rPr>
        <w:t>办公室</w:t>
      </w:r>
      <w:r>
        <w:rPr>
          <w:rFonts w:hint="eastAsia" w:ascii="仿宋_GB2312" w:eastAsia="仿宋_GB2312"/>
          <w:sz w:val="28"/>
          <w:szCs w:val="28"/>
          <w:lang w:eastAsia="zh-CN"/>
        </w:rPr>
        <w:t>。</w:t>
      </w:r>
      <w:r>
        <w:rPr>
          <w:rFonts w:hint="eastAsia" w:ascii="仿宋_GB2312" w:eastAsia="仿宋_GB2312"/>
          <w:sz w:val="28"/>
          <w:szCs w:val="28"/>
        </w:rPr>
        <w:t>负责市计生协机关日常运转，承担上传下达、综合协调、信访接待、安全保密、财务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和</w:t>
      </w:r>
      <w:r>
        <w:rPr>
          <w:rFonts w:hint="eastAsia" w:ascii="仿宋_GB2312" w:eastAsia="仿宋_GB2312"/>
          <w:sz w:val="28"/>
          <w:szCs w:val="28"/>
        </w:rPr>
        <w:t>其它中心工作</w:t>
      </w:r>
      <w:r>
        <w:rPr>
          <w:rFonts w:hint="eastAsia" w:ascii="仿宋_GB2312" w:eastAsia="仿宋_GB2312"/>
          <w:sz w:val="28"/>
          <w:szCs w:val="28"/>
          <w:lang w:eastAsia="zh-CN"/>
        </w:rPr>
        <w:t>；</w:t>
      </w:r>
      <w:r>
        <w:rPr>
          <w:rFonts w:hint="eastAsia" w:ascii="仿宋_GB2312" w:eastAsia="仿宋_GB2312"/>
          <w:sz w:val="28"/>
          <w:szCs w:val="28"/>
        </w:rPr>
        <w:t>负责面向系统内部的基层组织机构建设、人员培训</w:t>
      </w:r>
      <w:r>
        <w:rPr>
          <w:rFonts w:hint="eastAsia" w:ascii="仿宋_GB2312" w:eastAsia="仿宋_GB2312"/>
          <w:sz w:val="28"/>
          <w:szCs w:val="28"/>
          <w:lang w:eastAsia="zh-CN"/>
        </w:rPr>
        <w:t>、</w:t>
      </w:r>
      <w:r>
        <w:rPr>
          <w:rFonts w:hint="eastAsia" w:ascii="仿宋_GB2312" w:eastAsia="仿宋_GB2312"/>
          <w:sz w:val="28"/>
          <w:szCs w:val="28"/>
        </w:rPr>
        <w:t>人事管理，会员队伍建设。承担组织开展人口和计划生育有关重大问题的调查研究工作，人口计生、卫生健康政策法规宣传工作，指导基层计生协“会员之家”建设。</w:t>
      </w:r>
    </w:p>
    <w:p w14:paraId="0E660576">
      <w:pPr>
        <w:spacing w:line="60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2、</w:t>
      </w:r>
      <w:r>
        <w:rPr>
          <w:rFonts w:hint="eastAsia" w:ascii="仿宋_GB2312" w:eastAsia="仿宋_GB2312"/>
          <w:sz w:val="28"/>
          <w:szCs w:val="28"/>
        </w:rPr>
        <w:t>健康促进科</w:t>
      </w:r>
      <w:r>
        <w:rPr>
          <w:rFonts w:hint="eastAsia" w:ascii="仿宋_GB2312" w:eastAsia="仿宋_GB2312"/>
          <w:sz w:val="28"/>
          <w:szCs w:val="28"/>
          <w:lang w:eastAsia="zh-CN"/>
        </w:rPr>
        <w:t>。</w:t>
      </w:r>
      <w:r>
        <w:rPr>
          <w:rFonts w:hint="eastAsia" w:ascii="仿宋_GB2312" w:eastAsia="仿宋_GB2312"/>
          <w:sz w:val="28"/>
          <w:szCs w:val="28"/>
        </w:rPr>
        <w:t>组织开展健康知识普及、合理膳食、家庭健康促进、老年健康促进，性与生殖健康、青少年健康知识教育等各种方式的社会服务活动，承担流动人口的相关服务工作。</w:t>
      </w:r>
    </w:p>
    <w:p w14:paraId="6985AC94">
      <w:pPr>
        <w:spacing w:line="60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3、</w:t>
      </w:r>
      <w:r>
        <w:rPr>
          <w:rFonts w:hint="eastAsia" w:ascii="仿宋_GB2312" w:eastAsia="仿宋_GB2312"/>
          <w:sz w:val="28"/>
          <w:szCs w:val="28"/>
        </w:rPr>
        <w:t>家庭服务科</w:t>
      </w:r>
      <w:r>
        <w:rPr>
          <w:rFonts w:hint="eastAsia" w:ascii="仿宋_GB2312" w:eastAsia="仿宋_GB2312"/>
          <w:sz w:val="28"/>
          <w:szCs w:val="28"/>
          <w:lang w:eastAsia="zh-CN"/>
        </w:rPr>
        <w:t>。</w:t>
      </w:r>
      <w:r>
        <w:rPr>
          <w:rFonts w:hint="eastAsia" w:ascii="仿宋_GB2312" w:eastAsia="仿宋_GB2312"/>
          <w:sz w:val="28"/>
          <w:szCs w:val="28"/>
        </w:rPr>
        <w:t>负责贫困计生家庭、失独、伤残家庭、节育手术并发症家庭生活、生产的帮扶工作，承担计生家庭健康综合保险、三结合等计生项目工作实施，组织开展对贫困计划生育家庭关怀慰问，普及推广0-3岁婴幼儿科学照护服务行业发展。</w:t>
      </w:r>
    </w:p>
    <w:p w14:paraId="4DED1DC9">
      <w:pPr>
        <w:widowControl/>
        <w:spacing w:line="600" w:lineRule="exac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4、</w:t>
      </w:r>
      <w:r>
        <w:rPr>
          <w:rFonts w:hint="eastAsia" w:ascii="仿宋_GB2312" w:eastAsia="仿宋_GB2312"/>
          <w:sz w:val="28"/>
          <w:szCs w:val="28"/>
        </w:rPr>
        <w:t>生育关怀科</w:t>
      </w:r>
      <w:r>
        <w:rPr>
          <w:rFonts w:hint="eastAsia" w:ascii="仿宋_GB2312" w:eastAsia="仿宋_GB2312"/>
          <w:sz w:val="28"/>
          <w:szCs w:val="28"/>
          <w:lang w:eastAsia="zh-CN"/>
        </w:rPr>
        <w:t>。</w:t>
      </w:r>
      <w:r>
        <w:rPr>
          <w:rFonts w:hint="eastAsia" w:ascii="仿宋_GB2312" w:eastAsia="仿宋_GB2312"/>
          <w:sz w:val="28"/>
          <w:szCs w:val="28"/>
        </w:rPr>
        <w:t>负责优生优育指导工作，围绕群众生的出、生得起、生得好三个方面，组织开展孕前、孕中、孕后的生殖健康科学知识的咨询和指导，组织不孕不育对象进行筛查、指导，推广爱心助孕。负责全市避孕知识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普及。</w:t>
      </w:r>
      <w:r>
        <w:rPr>
          <w:rFonts w:hint="eastAsia" w:ascii="仿宋_GB2312" w:eastAsia="仿宋_GB2312"/>
          <w:sz w:val="28"/>
          <w:szCs w:val="28"/>
        </w:rPr>
        <w:t>避孕药具的推广</w:t>
      </w:r>
      <w:r>
        <w:rPr>
          <w:rFonts w:hint="eastAsia" w:ascii="仿宋_GB2312" w:eastAsia="仿宋_GB2312"/>
          <w:sz w:val="28"/>
          <w:szCs w:val="28"/>
          <w:lang w:eastAsia="zh-CN"/>
        </w:rPr>
        <w:t>、</w:t>
      </w:r>
      <w:r>
        <w:rPr>
          <w:rFonts w:hint="eastAsia" w:ascii="仿宋_GB2312" w:eastAsia="仿宋_GB2312"/>
          <w:sz w:val="28"/>
          <w:szCs w:val="28"/>
        </w:rPr>
        <w:t>发放、使用，组织发动育龄群众进行妇科保健、“两癌”筛查。</w:t>
      </w:r>
    </w:p>
    <w:p w14:paraId="12F08007">
      <w:pPr>
        <w:jc w:val="left"/>
        <w:rPr>
          <w:rFonts w:hint="eastAsia" w:ascii="Times New Roman" w:hAnsi="Times New Roman" w:eastAsia="仿宋_GB2312" w:cs="仿宋_GB2312"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</w:rPr>
        <w:t>（二）决算单位构成。</w:t>
      </w:r>
    </w:p>
    <w:p w14:paraId="1B643641">
      <w:pPr>
        <w:spacing w:line="600" w:lineRule="exact"/>
        <w:ind w:firstLine="560" w:firstLineChars="200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岳阳市计划生育协会单位2024年部门决算汇总公开单位构成包括：岳阳市计划生育协会单位本级，本单位无独立核算的下属单位，2024年度部门决算汇总公开单位仅包括单位本级。</w:t>
      </w:r>
    </w:p>
    <w:p w14:paraId="0CCF79E4">
      <w:pPr>
        <w:pStyle w:val="9"/>
      </w:pPr>
    </w:p>
    <w:p w14:paraId="15936322"/>
    <w:p w14:paraId="30D374D6">
      <w:pPr>
        <w:pStyle w:val="9"/>
      </w:pPr>
    </w:p>
    <w:p w14:paraId="16E73563">
      <w:pPr>
        <w:pStyle w:val="5"/>
      </w:pPr>
    </w:p>
    <w:p w14:paraId="0BA9205A"/>
    <w:p w14:paraId="0449E511">
      <w:pPr>
        <w:pStyle w:val="9"/>
      </w:pPr>
    </w:p>
    <w:p w14:paraId="3F61CE06">
      <w:pPr>
        <w:pStyle w:val="5"/>
      </w:pPr>
    </w:p>
    <w:p w14:paraId="55C27194"/>
    <w:p w14:paraId="09BB24C2">
      <w:pPr>
        <w:pStyle w:val="9"/>
      </w:pPr>
    </w:p>
    <w:p w14:paraId="36AB12C5">
      <w:pPr>
        <w:pStyle w:val="5"/>
      </w:pPr>
    </w:p>
    <w:p w14:paraId="63B657FD"/>
    <w:p w14:paraId="4034FA1F">
      <w:pPr>
        <w:pStyle w:val="9"/>
      </w:pPr>
    </w:p>
    <w:p w14:paraId="2B35CDC5">
      <w:pPr>
        <w:pStyle w:val="5"/>
      </w:pPr>
    </w:p>
    <w:p w14:paraId="6F09E47C"/>
    <w:p w14:paraId="421C3D7A">
      <w:pPr>
        <w:pStyle w:val="9"/>
      </w:pPr>
    </w:p>
    <w:p w14:paraId="3B0213F6">
      <w:pPr>
        <w:pStyle w:val="5"/>
      </w:pPr>
    </w:p>
    <w:p w14:paraId="3F7D9658"/>
    <w:p w14:paraId="61B8D4FF">
      <w:pPr>
        <w:pStyle w:val="9"/>
      </w:pPr>
    </w:p>
    <w:p w14:paraId="3E95D0E3">
      <w:pPr>
        <w:pStyle w:val="5"/>
      </w:pPr>
    </w:p>
    <w:p w14:paraId="6D8C8DD1"/>
    <w:p w14:paraId="4E7516B8">
      <w:pPr>
        <w:pStyle w:val="9"/>
      </w:pPr>
    </w:p>
    <w:p w14:paraId="56E41827">
      <w:pPr>
        <w:pStyle w:val="5"/>
      </w:pPr>
    </w:p>
    <w:p w14:paraId="0D79CA7B"/>
    <w:p w14:paraId="4236634A">
      <w:pPr>
        <w:pStyle w:val="9"/>
      </w:pPr>
    </w:p>
    <w:p w14:paraId="26B965AE">
      <w:pPr>
        <w:pStyle w:val="5"/>
      </w:pPr>
    </w:p>
    <w:p w14:paraId="49FF16FF"/>
    <w:p w14:paraId="47BCB0EE">
      <w:pPr>
        <w:pStyle w:val="14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33A9560E">
      <w:pPr>
        <w:pStyle w:val="14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01EE1A51">
      <w:pPr>
        <w:pStyle w:val="14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5869245B">
      <w:pPr>
        <w:pStyle w:val="14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  <w:r>
        <w:rPr>
          <w:rFonts w:hint="eastAsia" w:ascii="方正小标宋_GBK" w:hAnsi="方正小标宋_GBK" w:eastAsia="方正小标宋_GBK" w:cs="方正小标宋_GBK"/>
          <w:sz w:val="84"/>
          <w:szCs w:val="84"/>
        </w:rPr>
        <w:t>第二部分</w:t>
      </w:r>
    </w:p>
    <w:p w14:paraId="580529A4">
      <w:pPr>
        <w:pStyle w:val="14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7C7C9142">
      <w:pPr>
        <w:pStyle w:val="14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  <w:r>
        <w:rPr>
          <w:rFonts w:hint="eastAsia" w:ascii="方正小标宋_GBK" w:hAnsi="方正小标宋_GBK" w:eastAsia="方正小标宋_GBK" w:cs="方正小标宋_GBK"/>
          <w:sz w:val="84"/>
          <w:szCs w:val="84"/>
        </w:rPr>
        <w:t>部门决算表</w:t>
      </w:r>
    </w:p>
    <w:p w14:paraId="4A835D1A">
      <w:pPr>
        <w:pStyle w:val="14"/>
        <w:jc w:val="center"/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  <w:t>（见附件）</w:t>
      </w:r>
    </w:p>
    <w:p w14:paraId="7C789BA3">
      <w:pPr>
        <w:pStyle w:val="14"/>
        <w:jc w:val="center"/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</w:pPr>
    </w:p>
    <w:p w14:paraId="6F80AD9D">
      <w:pPr>
        <w:pStyle w:val="14"/>
        <w:jc w:val="center"/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</w:pPr>
    </w:p>
    <w:p w14:paraId="6142A887">
      <w:pPr>
        <w:pStyle w:val="14"/>
        <w:jc w:val="center"/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</w:pPr>
    </w:p>
    <w:p w14:paraId="65124609">
      <w:pPr>
        <w:pStyle w:val="14"/>
        <w:jc w:val="center"/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</w:pPr>
    </w:p>
    <w:p w14:paraId="4B8BD04C">
      <w:pPr>
        <w:pStyle w:val="14"/>
        <w:jc w:val="center"/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</w:pPr>
    </w:p>
    <w:p w14:paraId="4B071AB7">
      <w:pPr>
        <w:pStyle w:val="14"/>
        <w:jc w:val="center"/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</w:pPr>
    </w:p>
    <w:p w14:paraId="61887EC9">
      <w:pPr>
        <w:pStyle w:val="14"/>
        <w:jc w:val="center"/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</w:pPr>
    </w:p>
    <w:p w14:paraId="3A72836A">
      <w:pPr>
        <w:pStyle w:val="14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 w14:paraId="2981739E">
      <w:pPr>
        <w:pStyle w:val="14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 w14:paraId="2E18D7C2">
      <w:pPr>
        <w:pStyle w:val="14"/>
        <w:jc w:val="both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 w14:paraId="0861499D">
      <w:pPr>
        <w:pStyle w:val="14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  <w:r>
        <w:rPr>
          <w:rFonts w:hint="eastAsia" w:ascii="方正小标宋_GBK" w:hAnsi="方正小标宋_GBK" w:eastAsia="方正小标宋_GBK" w:cs="方正小标宋_GBK"/>
          <w:sz w:val="72"/>
          <w:szCs w:val="72"/>
        </w:rPr>
        <w:t>第三部分</w:t>
      </w:r>
    </w:p>
    <w:p w14:paraId="52C41063">
      <w:pPr>
        <w:pStyle w:val="14"/>
        <w:jc w:val="center"/>
        <w:rPr>
          <w:rFonts w:hint="eastAsia" w:ascii="方正小标宋_GBK" w:hAnsi="方正小标宋_GBK" w:eastAsia="方正小标宋_GBK" w:cs="方正小标宋_GBK"/>
          <w:sz w:val="70"/>
          <w:szCs w:val="70"/>
        </w:rPr>
      </w:pPr>
    </w:p>
    <w:p w14:paraId="0B191764">
      <w:pPr>
        <w:pStyle w:val="14"/>
        <w:jc w:val="center"/>
        <w:rPr>
          <w:rFonts w:hint="eastAsia" w:ascii="方正小标宋_GBK" w:hAnsi="方正小标宋_GBK" w:eastAsia="方正小标宋_GBK" w:cs="方正小标宋_GBK"/>
          <w:sz w:val="70"/>
          <w:szCs w:val="70"/>
        </w:rPr>
      </w:pPr>
      <w:r>
        <w:rPr>
          <w:rFonts w:hint="eastAsia" w:ascii="方正小标宋_GBK" w:hAnsi="方正小标宋_GBK" w:eastAsia="方正小标宋_GBK" w:cs="方正小标宋_GBK"/>
          <w:sz w:val="70"/>
          <w:szCs w:val="70"/>
          <w:lang w:eastAsia="zh-CN"/>
        </w:rPr>
        <w:t>2025年</w:t>
      </w:r>
      <w:r>
        <w:rPr>
          <w:rFonts w:hint="eastAsia" w:ascii="方正小标宋_GBK" w:hAnsi="方正小标宋_GBK" w:eastAsia="方正小标宋_GBK" w:cs="方正小标宋_GBK"/>
          <w:sz w:val="70"/>
          <w:szCs w:val="70"/>
        </w:rPr>
        <w:t>度部门决算情况说明</w:t>
      </w:r>
    </w:p>
    <w:p w14:paraId="258DB081">
      <w:pPr>
        <w:pStyle w:val="14"/>
        <w:jc w:val="center"/>
        <w:rPr>
          <w:rFonts w:hint="eastAsia" w:ascii="方正小标宋_GBK" w:hAnsi="方正小标宋_GBK" w:eastAsia="方正小标宋_GBK" w:cs="方正小标宋_GBK"/>
          <w:sz w:val="70"/>
          <w:szCs w:val="70"/>
        </w:rPr>
      </w:pPr>
    </w:p>
    <w:p w14:paraId="6438C8A2">
      <w:pPr>
        <w:pStyle w:val="14"/>
        <w:jc w:val="center"/>
        <w:rPr>
          <w:rFonts w:hint="eastAsia" w:ascii="方正小标宋_GBK" w:hAnsi="方正小标宋_GBK" w:eastAsia="方正小标宋_GBK" w:cs="方正小标宋_GBK"/>
          <w:sz w:val="70"/>
          <w:szCs w:val="70"/>
        </w:rPr>
      </w:pPr>
    </w:p>
    <w:p w14:paraId="1ED283EC">
      <w:pPr>
        <w:pStyle w:val="14"/>
        <w:jc w:val="center"/>
        <w:rPr>
          <w:rFonts w:hint="eastAsia" w:ascii="方正小标宋_GBK" w:hAnsi="方正小标宋_GBK" w:eastAsia="方正小标宋_GBK" w:cs="方正小标宋_GBK"/>
          <w:sz w:val="70"/>
          <w:szCs w:val="70"/>
        </w:rPr>
      </w:pPr>
    </w:p>
    <w:p w14:paraId="355BAA78">
      <w:pPr>
        <w:pStyle w:val="14"/>
        <w:jc w:val="center"/>
        <w:rPr>
          <w:rFonts w:hint="eastAsia" w:ascii="方正小标宋_GBK" w:hAnsi="方正小标宋_GBK" w:eastAsia="方正小标宋_GBK" w:cs="方正小标宋_GBK"/>
          <w:sz w:val="70"/>
          <w:szCs w:val="70"/>
        </w:rPr>
      </w:pPr>
    </w:p>
    <w:p w14:paraId="098045C1">
      <w:pPr>
        <w:pStyle w:val="14"/>
        <w:jc w:val="both"/>
        <w:rPr>
          <w:rFonts w:hint="eastAsia" w:ascii="方正小标宋_GBK" w:hAnsi="方正小标宋_GBK" w:eastAsia="方正小标宋_GBK" w:cs="方正小标宋_GBK"/>
          <w:sz w:val="70"/>
          <w:szCs w:val="70"/>
        </w:rPr>
      </w:pPr>
    </w:p>
    <w:p w14:paraId="3C84505A">
      <w:pPr>
        <w:widowControl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说明：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</w:t>
      </w:r>
      <w:r>
        <w:rPr>
          <w:rFonts w:hint="eastAsia" w:ascii="仿宋_GB2312" w:hAnsi="仿宋_GB2312" w:eastAsia="仿宋_GB2312" w:cs="仿宋_GB2312"/>
          <w:sz w:val="32"/>
          <w:szCs w:val="32"/>
        </w:rPr>
        <w:t>由于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部门</w:t>
      </w:r>
      <w:r>
        <w:rPr>
          <w:rFonts w:hint="eastAsia" w:ascii="仿宋_GB2312" w:hAnsi="仿宋_GB2312" w:eastAsia="仿宋_GB2312" w:cs="仿宋_GB2312"/>
          <w:sz w:val="32"/>
          <w:szCs w:val="32"/>
        </w:rPr>
        <w:t>决算编制时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数据</w:t>
      </w:r>
      <w:r>
        <w:rPr>
          <w:rFonts w:hint="eastAsia" w:ascii="仿宋_GB2312" w:hAnsi="仿宋_GB2312" w:eastAsia="仿宋_GB2312" w:cs="仿宋_GB2312"/>
          <w:sz w:val="32"/>
          <w:szCs w:val="32"/>
        </w:rPr>
        <w:t>明细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至“金额单位：元</w:t>
      </w:r>
      <w:r>
        <w:rPr>
          <w:rFonts w:hint="eastAsia" w:ascii="仿宋_GB2312" w:hAnsi="仿宋_GB2312" w:eastAsia="仿宋_GB2312" w:cs="仿宋_GB2312"/>
          <w:sz w:val="32"/>
          <w:szCs w:val="32"/>
        </w:rPr>
        <w:t>”，而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本套部门决算文字说明</w:t>
      </w:r>
      <w:r>
        <w:rPr>
          <w:rFonts w:hint="eastAsia" w:ascii="仿宋_GB2312" w:hAnsi="仿宋_GB2312" w:eastAsia="仿宋_GB2312" w:cs="仿宋_GB2312"/>
          <w:sz w:val="32"/>
          <w:szCs w:val="32"/>
        </w:rPr>
        <w:t>和公开表格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数据</w:t>
      </w:r>
      <w:r>
        <w:rPr>
          <w:rFonts w:hint="eastAsia" w:ascii="仿宋_GB2312" w:hAnsi="仿宋_GB2312" w:eastAsia="仿宋_GB2312" w:cs="仿宋_GB2312"/>
          <w:sz w:val="32"/>
          <w:szCs w:val="32"/>
        </w:rPr>
        <w:t>取数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转换为</w:t>
      </w:r>
      <w:r>
        <w:rPr>
          <w:rFonts w:hint="eastAsia" w:ascii="仿宋_GB2312" w:hAnsi="仿宋_GB2312" w:eastAsia="仿宋_GB2312" w:cs="仿宋_GB2312"/>
          <w:sz w:val="32"/>
          <w:szCs w:val="32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金额单位：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万元”，可能导致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以下文字说明中的各项数据取数以及公开</w:t>
      </w:r>
      <w:r>
        <w:rPr>
          <w:rFonts w:hint="eastAsia" w:ascii="仿宋_GB2312" w:hAnsi="仿宋_GB2312" w:eastAsia="仿宋_GB2312" w:cs="仿宋_GB2312"/>
          <w:sz w:val="32"/>
          <w:szCs w:val="32"/>
        </w:rPr>
        <w:t>表格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中的各项数据取数之间存在</w:t>
      </w:r>
      <w:r>
        <w:rPr>
          <w:rFonts w:hint="eastAsia" w:ascii="仿宋_GB2312" w:hAnsi="仿宋_GB2312" w:eastAsia="仿宋_GB2312" w:cs="仿宋_GB2312"/>
          <w:sz w:val="32"/>
          <w:szCs w:val="32"/>
        </w:rPr>
        <w:t>0.01的尾数差异。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2、以下文字说明中，部分科目由于预算数为0，无法计算完成年初预算的百分比，故未描述“</w:t>
      </w:r>
      <w:r>
        <w:rPr>
          <w:rFonts w:hint="eastAsia" w:ascii="仿宋_GB2312" w:hAnsi="仿宋_GB2312" w:eastAsia="仿宋_GB2312" w:cs="仿宋_GB2312"/>
          <w:sz w:val="32"/>
          <w:szCs w:val="32"/>
        </w:rPr>
        <w:t>完成年初预算的XX%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”。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 w14:paraId="423D226E">
      <w:pPr>
        <w:pStyle w:val="9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A3963FE">
      <w:pPr>
        <w:pStyle w:val="5"/>
        <w:rPr>
          <w:rFonts w:hint="eastAsia"/>
        </w:rPr>
      </w:pPr>
    </w:p>
    <w:p w14:paraId="2438E226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一、收入支出决算总体情况说明</w:t>
      </w:r>
    </w:p>
    <w:p w14:paraId="051D33BB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度收、支总计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301.75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万元。与上年相比，增加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86.77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万元，增长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28.76</w:t>
      </w:r>
      <w:r>
        <w:rPr>
          <w:rFonts w:hint="eastAsia" w:ascii="仿宋_GB2312" w:hAnsi="仿宋_GB2312" w:eastAsia="仿宋_GB2312" w:cs="仿宋_GB2312"/>
          <w:sz w:val="32"/>
          <w:szCs w:val="32"/>
        </w:rPr>
        <w:t>%，主要是因为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本年度我单位由于工作内容调整，年终追加工作专项资金；积极争取省市各级项目，项目经费增加；以及单位办公地点搬迁，办公室重新装修费用增加。</w:t>
      </w:r>
    </w:p>
    <w:p w14:paraId="51578D43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二、收入决算情况说明</w:t>
      </w:r>
    </w:p>
    <w:p w14:paraId="33E50476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度收入合计301.75万元，其中：财政拨款收入296.47万元，占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98.25</w:t>
      </w:r>
      <w:r>
        <w:rPr>
          <w:rFonts w:hint="eastAsia" w:ascii="仿宋_GB2312" w:hAnsi="仿宋_GB2312" w:eastAsia="仿宋_GB2312" w:cs="仿宋_GB2312"/>
          <w:sz w:val="32"/>
          <w:szCs w:val="32"/>
        </w:rPr>
        <w:t>%；上级补助收入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%；事业收入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%；经营收入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%；附属单位上缴收入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%；其他收入5.28万元，占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1.75</w:t>
      </w:r>
      <w:r>
        <w:rPr>
          <w:rFonts w:hint="eastAsia" w:ascii="仿宋_GB2312" w:hAnsi="仿宋_GB2312" w:eastAsia="仿宋_GB2312" w:cs="仿宋_GB2312"/>
          <w:sz w:val="32"/>
          <w:szCs w:val="32"/>
        </w:rPr>
        <w:t>%。</w:t>
      </w:r>
    </w:p>
    <w:p w14:paraId="5FB0BEEB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三、支出决算情况说明</w:t>
      </w:r>
    </w:p>
    <w:p w14:paraId="4F48F66F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度支出合计301.76万元，其中：基本支出218.47万元，占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72.40</w:t>
      </w:r>
      <w:r>
        <w:rPr>
          <w:rFonts w:hint="eastAsia" w:ascii="仿宋_GB2312" w:hAnsi="仿宋_GB2312" w:eastAsia="仿宋_GB2312" w:cs="仿宋_GB2312"/>
          <w:sz w:val="32"/>
          <w:szCs w:val="32"/>
        </w:rPr>
        <w:t>%；项目支出83.29万元，占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27.60</w:t>
      </w:r>
      <w:r>
        <w:rPr>
          <w:rFonts w:hint="eastAsia" w:ascii="仿宋_GB2312" w:hAnsi="仿宋_GB2312" w:eastAsia="仿宋_GB2312" w:cs="仿宋_GB2312"/>
          <w:sz w:val="32"/>
          <w:szCs w:val="32"/>
        </w:rPr>
        <w:t>%；上缴上级支出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%；经营支出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%；对附属单位补助支出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%。</w:t>
      </w:r>
    </w:p>
    <w:p w14:paraId="15535F0B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四、财政拨款收入支出决算总体情况说明</w:t>
      </w:r>
    </w:p>
    <w:p w14:paraId="5DDC1757">
      <w:pPr>
        <w:widowControl w:val="0"/>
        <w:autoSpaceDE w:val="0"/>
        <w:autoSpaceDN w:val="0"/>
        <w:adjustRightInd w:val="0"/>
        <w:ind w:firstLine="640" w:firstLineChars="200"/>
        <w:rPr>
          <w:rFonts w:hint="eastAsia" w:ascii="楷体" w:hAnsi="楷体" w:eastAsia="楷体" w:cs="楷体"/>
          <w:i/>
          <w:iCs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/>
          <w:sz w:val="32"/>
          <w:szCs w:val="32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度财政拨款收、支总计296.47万元，与上年相比，增加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81.49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万元,增长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27.49</w:t>
      </w:r>
      <w:r>
        <w:rPr>
          <w:rFonts w:hint="eastAsia" w:ascii="仿宋_GB2312" w:hAnsi="仿宋_GB2312" w:eastAsia="仿宋_GB2312" w:cs="仿宋_GB2312"/>
          <w:sz w:val="32"/>
          <w:szCs w:val="32"/>
        </w:rPr>
        <w:t>%，主要是因为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本年度我单位由于工作内容调整，年终追加工作专项资金；积极争取省市各级项目，项目经费增加；以及单位办公地点搬迁，办公室重新装修费用增加。</w:t>
      </w:r>
    </w:p>
    <w:p w14:paraId="7A2F16D3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五、一般公共预算财政拨款支出决算情况说明</w:t>
      </w:r>
    </w:p>
    <w:p w14:paraId="2E4F1B26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（一）一般公共预算财政拨款支出决算总体情况</w:t>
      </w:r>
    </w:p>
    <w:p w14:paraId="2EBFE3FA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480" w:firstLineChars="150"/>
        <w:textAlignment w:val="auto"/>
        <w:rPr>
          <w:rFonts w:hint="eastAsia" w:ascii="仿宋_GB2312" w:hAnsi="仿宋_GB2312" w:eastAsia="仿宋_GB2312" w:cs="仿宋_GB2312"/>
          <w:i/>
          <w:iCs/>
          <w:color w:val="FF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度财政拨款支出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296.47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万元，占本年支出合计的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98.25</w:t>
      </w:r>
      <w:r>
        <w:rPr>
          <w:rFonts w:hint="eastAsia" w:ascii="仿宋_GB2312" w:hAnsi="仿宋_GB2312" w:eastAsia="仿宋_GB2312" w:cs="仿宋_GB2312"/>
          <w:sz w:val="32"/>
          <w:szCs w:val="32"/>
        </w:rPr>
        <w:t>%，与上年相比，财政拨款支出增加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81.49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万元，增长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27.49</w:t>
      </w:r>
      <w:r>
        <w:rPr>
          <w:rFonts w:hint="eastAsia" w:ascii="仿宋_GB2312" w:hAnsi="仿宋_GB2312" w:eastAsia="仿宋_GB2312" w:cs="仿宋_GB2312"/>
          <w:sz w:val="32"/>
          <w:szCs w:val="32"/>
        </w:rPr>
        <w:t>%，主要是因为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单位由于工作内容调整，年终追加工作专项资金；以及单位办公地点搬迁，办公室重新装修支出增加。</w:t>
      </w:r>
    </w:p>
    <w:p w14:paraId="47C31FD9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（二）一般公共预算财政拨款支出决算结构情况</w:t>
      </w:r>
    </w:p>
    <w:p w14:paraId="1D2BA614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度财政拨款支出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296.47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万元，主要用于以下方面：一般公共服务（类）支出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140.16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47.28</w:t>
      </w:r>
      <w:r>
        <w:rPr>
          <w:rFonts w:hint="eastAsia" w:ascii="仿宋_GB2312" w:hAnsi="仿宋_GB2312" w:eastAsia="仿宋_GB2312" w:cs="仿宋_GB2312"/>
          <w:sz w:val="32"/>
          <w:szCs w:val="32"/>
        </w:rPr>
        <w:t>%；社会保障和就业支出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16.79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6.23</w:t>
      </w:r>
      <w:r>
        <w:rPr>
          <w:rFonts w:hint="eastAsia" w:ascii="仿宋_GB2312" w:hAnsi="仿宋_GB2312" w:eastAsia="仿宋_GB2312" w:cs="仿宋_GB2312"/>
          <w:sz w:val="32"/>
          <w:szCs w:val="32"/>
        </w:rPr>
        <w:t>%;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卫生健康支出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128.6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43.38</w:t>
      </w:r>
      <w:r>
        <w:rPr>
          <w:rFonts w:hint="eastAsia"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；住房保障</w:t>
      </w:r>
      <w:r>
        <w:rPr>
          <w:rFonts w:hint="eastAsia" w:ascii="仿宋_GB2312" w:hAnsi="仿宋_GB2312" w:eastAsia="仿宋_GB2312" w:cs="仿宋_GB2312"/>
          <w:sz w:val="32"/>
          <w:szCs w:val="32"/>
        </w:rPr>
        <w:t>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10.92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3.68</w:t>
      </w:r>
      <w:r>
        <w:rPr>
          <w:rFonts w:hint="eastAsia"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95DBC6F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（三）一般公共预算财政拨款支出决算具体情况</w:t>
      </w:r>
    </w:p>
    <w:p w14:paraId="673D5544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度财政拨款支出年初预算数为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195.54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万元，支出决算数为296.47万元，完成年初预算的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151.62</w:t>
      </w:r>
      <w:r>
        <w:rPr>
          <w:rFonts w:hint="eastAsia" w:ascii="仿宋_GB2312" w:hAnsi="仿宋_GB2312" w:eastAsia="仿宋_GB2312" w:cs="仿宋_GB2312"/>
          <w:sz w:val="32"/>
          <w:szCs w:val="32"/>
        </w:rPr>
        <w:t>%，其中：</w:t>
      </w:r>
    </w:p>
    <w:p w14:paraId="08544945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1、一般公共服务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2012901（行政运行）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2BB13E66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142.32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万元，支出决算为140.16万元，完成年初预算的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98.48</w:t>
      </w:r>
      <w:r>
        <w:rPr>
          <w:rFonts w:hint="eastAsia" w:ascii="仿宋_GB2312" w:hAnsi="仿宋_GB2312" w:eastAsia="仿宋_GB2312" w:cs="仿宋_GB2312"/>
          <w:sz w:val="32"/>
          <w:szCs w:val="32"/>
        </w:rPr>
        <w:t>%，决算数小于年初预算数的主要原因是：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人员工资调整</w:t>
      </w:r>
    </w:p>
    <w:p w14:paraId="2BD3F876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2、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社会保障和就业支出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2080505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机关事业单位基本养老保险缴费支出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7D53AD5D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15.38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万元，支出决算为15.3万元，完成年初预算的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99.48</w:t>
      </w:r>
      <w:r>
        <w:rPr>
          <w:rFonts w:hint="eastAsia" w:ascii="仿宋_GB2312" w:hAnsi="仿宋_GB2312" w:eastAsia="仿宋_GB2312" w:cs="仿宋_GB2312"/>
          <w:sz w:val="32"/>
          <w:szCs w:val="32"/>
        </w:rPr>
        <w:t>%，决算数小于年初预算数的主要原因是：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人员工资调整</w:t>
      </w:r>
    </w:p>
    <w:p w14:paraId="3643AC07">
      <w:pPr>
        <w:pStyle w:val="14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社会保障和就业支出2081199（其他残疾人事业支出）。                                   </w:t>
      </w:r>
    </w:p>
    <w:p w14:paraId="747C682E"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1.18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1.18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万元，完成年初预算的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sz w:val="32"/>
          <w:szCs w:val="32"/>
        </w:rPr>
        <w:t>%，决算数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等于</w:t>
      </w:r>
      <w:r>
        <w:rPr>
          <w:rFonts w:hint="eastAsia" w:ascii="仿宋_GB2312" w:hAnsi="仿宋_GB2312" w:eastAsia="仿宋_GB2312" w:cs="仿宋_GB2312"/>
          <w:sz w:val="32"/>
          <w:szCs w:val="32"/>
        </w:rPr>
        <w:t>年初预算数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0D6C0FAF">
      <w:pPr>
        <w:pStyle w:val="14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bidi w:val="0"/>
        <w:snapToGrid/>
        <w:spacing w:line="600" w:lineRule="exact"/>
        <w:ind w:left="0" w:leftChars="0"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卫生健康支出2100716（计划生育机构）</w:t>
      </w:r>
    </w:p>
    <w:p w14:paraId="7D6A2848"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600" w:lineRule="exact"/>
        <w:ind w:leftChars="25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万元，支出决算为102.76万元，完成年初预算的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411.04</w:t>
      </w:r>
      <w:r>
        <w:rPr>
          <w:rFonts w:hint="eastAsia"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，决算数大于年初预算数的主要原因是：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年度单位争取省市级项目积极开展本级工作，经费增加。</w:t>
      </w:r>
    </w:p>
    <w:p w14:paraId="0BE52BD8">
      <w:pPr>
        <w:pStyle w:val="14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bidi w:val="0"/>
        <w:snapToGrid/>
        <w:spacing w:line="600" w:lineRule="exact"/>
        <w:ind w:left="0" w:leftChars="0"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卫生健康支出2100717（计划生育服务）</w:t>
      </w:r>
    </w:p>
    <w:p w14:paraId="0760DC62"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600" w:lineRule="exact"/>
        <w:ind w:leftChars="25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决算数大于年初预算数的主要原因是：年中追加支出，用于慰问计生特殊家庭。</w:t>
      </w:r>
    </w:p>
    <w:p w14:paraId="487CBDAD">
      <w:pPr>
        <w:pStyle w:val="14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bidi w:val="0"/>
        <w:snapToGrid/>
        <w:spacing w:line="600" w:lineRule="exact"/>
        <w:ind w:left="0" w:leftChars="0"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卫生健康支出2100799（其他计划生育事务支出）</w:t>
      </w:r>
    </w:p>
    <w:p w14:paraId="6C404CDD"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600" w:lineRule="exact"/>
        <w:ind w:leftChars="25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13.93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决算数大于年初预算数的主要原因是：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2024年12月底单位组织召开换届大会，由于年底关账，相关费用结转至2025年使用，资金为上年度结转经费。</w:t>
      </w:r>
    </w:p>
    <w:p w14:paraId="3FE6267E"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600" w:lineRule="exact"/>
        <w:ind w:leftChars="250" w:firstLine="320" w:firstLineChars="1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7、住房保障支出2210201（住房公积金）</w:t>
      </w:r>
    </w:p>
    <w:p w14:paraId="78277489"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600" w:lineRule="exact"/>
        <w:ind w:leftChars="250" w:firstLine="320" w:firstLineChars="1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11.09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10.92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万元，完成年初预算的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98.48</w:t>
      </w:r>
      <w:r>
        <w:rPr>
          <w:rFonts w:hint="eastAsia" w:ascii="仿宋_GB2312" w:hAnsi="仿宋_GB2312" w:eastAsia="仿宋_GB2312" w:cs="仿宋_GB2312"/>
          <w:sz w:val="32"/>
          <w:szCs w:val="32"/>
        </w:rPr>
        <w:t>%，决算数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小于</w:t>
      </w:r>
      <w:r>
        <w:rPr>
          <w:rFonts w:hint="eastAsia" w:ascii="仿宋_GB2312" w:hAnsi="仿宋_GB2312" w:eastAsia="仿宋_GB2312" w:cs="仿宋_GB2312"/>
          <w:sz w:val="32"/>
          <w:szCs w:val="32"/>
        </w:rPr>
        <w:t>年初预算数的主要原因是：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年度缴费比例调整。</w:t>
      </w:r>
    </w:p>
    <w:p w14:paraId="78EC3340"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600" w:lineRule="exact"/>
        <w:ind w:leftChars="25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37DEC46E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六、一般公共预算财政拨款基本支出决算情况说明</w:t>
      </w:r>
    </w:p>
    <w:p w14:paraId="4CB798EF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一般公共预算</w:t>
      </w:r>
      <w:r>
        <w:rPr>
          <w:rFonts w:hint="eastAsia" w:ascii="仿宋_GB2312" w:hAnsi="仿宋_GB2312" w:eastAsia="仿宋_GB2312" w:cs="仿宋_GB2312"/>
          <w:sz w:val="32"/>
          <w:szCs w:val="32"/>
        </w:rPr>
        <w:t>财政拨款基本支出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218.</w:t>
      </w:r>
      <w:r>
        <w:rPr>
          <w:rFonts w:hint="eastAsia" w:ascii="仿宋_GB2312" w:hAnsi="仿宋_GB2312" w:eastAsia="仿宋_GB2312" w:cs="仿宋_GB2312"/>
          <w:sz w:val="32"/>
          <w:szCs w:val="32"/>
        </w:rPr>
        <w:t>47万元，其中：</w:t>
      </w:r>
    </w:p>
    <w:p w14:paraId="624D032F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人员经费</w:t>
      </w:r>
      <w:r>
        <w:rPr>
          <w:rFonts w:hint="eastAsia" w:ascii="仿宋_GB2312" w:hAnsi="仿宋_GB2312" w:eastAsia="仿宋_GB2312" w:cs="仿宋_GB2312"/>
          <w:sz w:val="32"/>
          <w:szCs w:val="32"/>
        </w:rPr>
        <w:t>196.86万元，占基本支出的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90.11</w:t>
      </w:r>
      <w:r>
        <w:rPr>
          <w:rFonts w:hint="eastAsia" w:ascii="仿宋_GB2312" w:hAnsi="仿宋_GB2312" w:eastAsia="仿宋_GB2312" w:cs="仿宋_GB2312"/>
          <w:sz w:val="32"/>
          <w:szCs w:val="32"/>
        </w:rPr>
        <w:t>%,主要包括基本工资、津贴补贴、奖金、伙食补助费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、机关事业单位基本养老保险缴费、住房公积金、 职工基本医疗保险缴费、其他社会保障缴费、退休费、其他对个人和家庭的补助。</w:t>
      </w:r>
    </w:p>
    <w:p w14:paraId="56FD43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公用经费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21.61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万元，占基本支出的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9.89</w:t>
      </w:r>
      <w:r>
        <w:rPr>
          <w:rFonts w:hint="eastAsia" w:ascii="仿宋_GB2312" w:hAnsi="仿宋_GB2312" w:eastAsia="仿宋_GB2312" w:cs="仿宋_GB2312"/>
          <w:sz w:val="32"/>
          <w:szCs w:val="32"/>
        </w:rPr>
        <w:t>%，主要包括办公费、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差旅</w:t>
      </w:r>
      <w:r>
        <w:rPr>
          <w:rFonts w:hint="eastAsia" w:ascii="仿宋_GB2312" w:hAnsi="仿宋_GB2312" w:eastAsia="仿宋_GB2312" w:cs="仿宋_GB2312"/>
          <w:sz w:val="32"/>
          <w:szCs w:val="32"/>
        </w:rPr>
        <w:t>费、  工会经费、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公务接待费、 其他交通费用、其他商品和服务支出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6F18AA19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七、政府性基金预算收入支出决算情况</w:t>
      </w:r>
    </w:p>
    <w:p w14:paraId="728B3C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textAlignment w:val="auto"/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/>
          <w:sz w:val="32"/>
          <w:szCs w:val="32"/>
        </w:rPr>
        <w:t xml:space="preserve"> 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2025年度政府性基金预算财政拨款收入0万元；年初结转和结余0万元；支出0万元，其中基本支出0万元，项目支出0万元；年末结转和结余0万元。</w:t>
      </w:r>
    </w:p>
    <w:p w14:paraId="21D9A4B8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  <w:lang w:val="en-US" w:eastAsia="zh-CN" w:bidi="ar-SA"/>
        </w:rPr>
        <w:t>国有资本经营预算财政拨款支出决算情况</w:t>
      </w:r>
    </w:p>
    <w:p w14:paraId="50788980">
      <w:pPr>
        <w:pStyle w:val="9"/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2025年度国有资本经营预算财政拨款收入0万元；年初结转和结余0万；支出0万元，其中：基本支出0万元，项目支出0万元；年末结转和结余0万元。</w:t>
      </w:r>
    </w:p>
    <w:p w14:paraId="506BF163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hAnsi="黑体" w:cs="黑体"/>
          <w:b w:val="0"/>
          <w:bCs/>
          <w:sz w:val="32"/>
          <w:szCs w:val="32"/>
          <w:lang w:eastAsia="zh-CN"/>
        </w:rPr>
        <w:t>九、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财政拨款三公经费支出决算情况说明</w:t>
      </w:r>
    </w:p>
    <w:p w14:paraId="6D9181D3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楷体_GB2312" w:cs="Times New Roman"/>
          <w:b/>
          <w:sz w:val="32"/>
          <w:szCs w:val="32"/>
        </w:rPr>
      </w:pPr>
      <w:r>
        <w:rPr>
          <w:rFonts w:ascii="Times New Roman" w:hAnsi="Times New Roman" w:eastAsia="楷体_GB2312" w:cs="Times New Roman"/>
          <w:b/>
          <w:sz w:val="32"/>
          <w:szCs w:val="32"/>
        </w:rPr>
        <w:t>（一）</w:t>
      </w:r>
      <w:r>
        <w:rPr>
          <w:rFonts w:hint="eastAsia" w:ascii="Times New Roman" w:hAnsi="Times New Roman" w:eastAsia="楷体_GB2312" w:cs="Times New Roman"/>
          <w:b/>
          <w:sz w:val="32"/>
          <w:szCs w:val="32"/>
          <w:lang w:eastAsia="zh-CN"/>
        </w:rPr>
        <w:t>“三公”</w:t>
      </w:r>
      <w:r>
        <w:rPr>
          <w:rFonts w:ascii="Times New Roman" w:hAnsi="Times New Roman" w:eastAsia="楷体_GB2312" w:cs="Times New Roman"/>
          <w:b/>
          <w:sz w:val="32"/>
          <w:szCs w:val="32"/>
        </w:rPr>
        <w:t>经费财政拨款支出决算总体情况说明</w:t>
      </w:r>
    </w:p>
    <w:p w14:paraId="540A99E0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2025年</w:t>
      </w:r>
      <w:r>
        <w:rPr>
          <w:rFonts w:ascii="Times New Roman" w:hAnsi="Times New Roman" w:eastAsia="仿宋_GB2312" w:cs="Times New Roman"/>
          <w:sz w:val="32"/>
          <w:szCs w:val="32"/>
        </w:rPr>
        <w:t>度“三公”经费财政拨款支出预算为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0.09</w:t>
      </w:r>
      <w:r>
        <w:rPr>
          <w:rFonts w:ascii="Times New Roman" w:hAnsi="Times New Roman" w:eastAsia="仿宋_GB2312" w:cs="Times New Roman"/>
          <w:sz w:val="32"/>
          <w:szCs w:val="32"/>
        </w:rPr>
        <w:t>万元，完成预算的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ascii="Times New Roman" w:hAnsi="Times New Roman" w:eastAsia="仿宋_GB2312" w:cs="Times New Roman"/>
          <w:sz w:val="32"/>
          <w:szCs w:val="32"/>
        </w:rPr>
        <w:t>%；与上年相比减少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0.04</w:t>
      </w:r>
      <w:r>
        <w:rPr>
          <w:rFonts w:ascii="Times New Roman" w:hAnsi="Times New Roman" w:eastAsia="仿宋_GB2312" w:cs="Times New Roman"/>
          <w:sz w:val="32"/>
          <w:szCs w:val="32"/>
        </w:rPr>
        <w:t>万元，降低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30.77</w:t>
      </w:r>
      <w:r>
        <w:rPr>
          <w:rFonts w:ascii="Times New Roman" w:hAnsi="Times New Roman" w:eastAsia="仿宋_GB2312" w:cs="Times New Roman"/>
          <w:sz w:val="32"/>
          <w:szCs w:val="32"/>
        </w:rPr>
        <w:t>%。决算数小于预算数的主要原因是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公务接待减少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</w:p>
    <w:p w14:paraId="24B55FAA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楷体_GB2312" w:cs="Times New Roman"/>
          <w:b/>
          <w:sz w:val="32"/>
          <w:szCs w:val="32"/>
        </w:rPr>
      </w:pPr>
      <w:r>
        <w:rPr>
          <w:rFonts w:ascii="Times New Roman" w:hAnsi="Times New Roman" w:eastAsia="楷体_GB2312" w:cs="Times New Roman"/>
          <w:b/>
          <w:sz w:val="32"/>
          <w:szCs w:val="32"/>
        </w:rPr>
        <w:t>（二）</w:t>
      </w:r>
      <w:r>
        <w:rPr>
          <w:rFonts w:hint="eastAsia" w:ascii="Times New Roman" w:hAnsi="Times New Roman" w:eastAsia="楷体_GB2312" w:cs="Times New Roman"/>
          <w:b/>
          <w:sz w:val="32"/>
          <w:szCs w:val="32"/>
          <w:lang w:eastAsia="zh-CN"/>
        </w:rPr>
        <w:t>“三公”</w:t>
      </w:r>
      <w:r>
        <w:rPr>
          <w:rFonts w:ascii="Times New Roman" w:hAnsi="Times New Roman" w:eastAsia="楷体_GB2312" w:cs="Times New Roman"/>
          <w:b/>
          <w:sz w:val="32"/>
          <w:szCs w:val="32"/>
        </w:rPr>
        <w:t>经费财政拨款支出决算具体情况说明</w:t>
      </w:r>
    </w:p>
    <w:p w14:paraId="3F9B3157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1、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因公出国（境）费支出预算为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决算数等于预算数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，主要原因是我单位严格按预算执行决算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；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与上年一致，无增减变动，主要原因是未安排因公出国（境）活动。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2025年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度安排因公出国（境）团组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个，累计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人次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</w:p>
    <w:p w14:paraId="7327D757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</w:rPr>
        <w:t>2.公务用车购置费及运行维护费支出预算为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决算数等于预算数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；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与上年一致，无增减变动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。其中：</w:t>
      </w:r>
    </w:p>
    <w:p w14:paraId="7B0CBE15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公务用车购置费支出预算为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决算数等于预算数，主要原因是我单位严格按预算执行决算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；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与上年一致，无增减变动，主要原因是两年均未购置公务用车。本单位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更新公务用车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辆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</w:p>
    <w:p w14:paraId="6EA3B753">
      <w:pPr>
        <w:numPr>
          <w:ilvl w:val="0"/>
          <w:numId w:val="4"/>
        </w:numPr>
        <w:ind w:firstLine="640" w:firstLineChars="200"/>
        <w:rPr>
          <w:rFonts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公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务用车运行维护费支出预算为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决算数等于预算数，主要原因是我单位严格按预算执行决算；与上年一致，无增减变动，主要原因是两年均无公务用车需要运行维护。 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截止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到2025年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12月31日，我单位开支财政拨款的公务用车保有量为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辆。</w:t>
      </w:r>
    </w:p>
    <w:p w14:paraId="58FE0570">
      <w:pPr>
        <w:numPr>
          <w:ilvl w:val="0"/>
          <w:numId w:val="4"/>
        </w:numPr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公务接待费支出预算为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0.09</w:t>
      </w:r>
      <w:r>
        <w:rPr>
          <w:rFonts w:ascii="Times New Roman" w:hAnsi="Times New Roman" w:eastAsia="仿宋_GB2312" w:cs="Times New Roman"/>
          <w:sz w:val="32"/>
          <w:szCs w:val="32"/>
        </w:rPr>
        <w:t>万元，完成预算的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ascii="Times New Roman" w:hAnsi="Times New Roman" w:eastAsia="仿宋_GB2312" w:cs="Times New Roman"/>
          <w:sz w:val="32"/>
          <w:szCs w:val="32"/>
        </w:rPr>
        <w:t>%；与上年相比减少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0.04</w:t>
      </w:r>
      <w:r>
        <w:rPr>
          <w:rFonts w:ascii="Times New Roman" w:hAnsi="Times New Roman" w:eastAsia="仿宋_GB2312" w:cs="Times New Roman"/>
          <w:sz w:val="32"/>
          <w:szCs w:val="32"/>
        </w:rPr>
        <w:t>万元，降低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30.77</w:t>
      </w:r>
      <w:r>
        <w:rPr>
          <w:rFonts w:ascii="Times New Roman" w:hAnsi="Times New Roman" w:eastAsia="仿宋_GB2312" w:cs="Times New Roman"/>
          <w:sz w:val="32"/>
          <w:szCs w:val="32"/>
        </w:rPr>
        <w:t>%。决算数小于预算数的主要原因是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严格执行中央八项规定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。决算数小于上年数的主要原因是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按有关政策厉行节约，严控公务接待支出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2025年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度共接待来访团组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个、来宾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人次，主要是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省协会相关人员参加岳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阳市计划生育协会本级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5.29活动接待</w:t>
      </w:r>
      <w:r>
        <w:rPr>
          <w:rFonts w:ascii="Times New Roman" w:hAnsi="Times New Roman" w:eastAsia="仿宋_GB2312" w:cs="Times New Roman"/>
          <w:sz w:val="32"/>
          <w:szCs w:val="32"/>
        </w:rPr>
        <w:t>发生的接待支出。</w:t>
      </w:r>
    </w:p>
    <w:p w14:paraId="3C90ED75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/>
          <w:b/>
          <w:color w:val="auto"/>
          <w:sz w:val="32"/>
          <w:szCs w:val="32"/>
          <w:lang w:eastAsia="zh-CN"/>
        </w:rPr>
      </w:pPr>
    </w:p>
    <w:p w14:paraId="69BBEFDC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ascii="Times New Roman" w:hAnsi="Times New Roman" w:eastAsia="仿宋_GB2312"/>
          <w:b/>
          <w:color w:val="auto"/>
          <w:sz w:val="32"/>
          <w:szCs w:val="32"/>
        </w:rPr>
      </w:pPr>
      <w:r>
        <w:rPr>
          <w:rFonts w:hint="eastAsia" w:ascii="Times New Roman" w:hAnsi="Times New Roman" w:eastAsia="仿宋_GB2312"/>
          <w:b/>
          <w:color w:val="auto"/>
          <w:sz w:val="32"/>
          <w:szCs w:val="32"/>
          <w:lang w:eastAsia="zh-CN"/>
        </w:rPr>
        <w:t>十</w:t>
      </w:r>
      <w:r>
        <w:rPr>
          <w:rFonts w:hint="eastAsia" w:ascii="Times New Roman" w:hAnsi="Times New Roman" w:eastAsia="仿宋_GB2312"/>
          <w:b/>
          <w:color w:val="auto"/>
          <w:sz w:val="32"/>
          <w:szCs w:val="32"/>
        </w:rPr>
        <w:t>、关于机关运行经费支出说明</w:t>
      </w:r>
    </w:p>
    <w:p w14:paraId="1CE75C6D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本级和所属单位均为事业单位，按照机关运行经费的口径，本年度机关运行经费为0。</w:t>
      </w:r>
    </w:p>
    <w:p w14:paraId="507BA74B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6FD63A5E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十</w:t>
      </w:r>
      <w:r>
        <w:rPr>
          <w:rFonts w:hint="eastAsia" w:hAnsi="黑体" w:cs="黑体"/>
          <w:b w:val="0"/>
          <w:bCs/>
          <w:sz w:val="32"/>
          <w:szCs w:val="32"/>
          <w:lang w:eastAsia="zh-CN"/>
        </w:rPr>
        <w:t>一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、一般性支出情况说明</w:t>
      </w:r>
    </w:p>
    <w:p w14:paraId="5E588319">
      <w:pPr>
        <w:pStyle w:val="14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年度，会议费年初预算1万元，支出决算为1万元，完成年初预算的X100%。用于召开召开单位年终总结下年度工作部署会议，</w:t>
      </w:r>
      <w:r>
        <w:rPr>
          <w:rFonts w:hint="eastAsia" w:ascii="仿宋_GB2312" w:hAnsi="仿宋_GB2312" w:eastAsia="仿宋_GB2312" w:cs="仿宋_GB2312"/>
          <w:sz w:val="32"/>
          <w:szCs w:val="32"/>
        </w:rPr>
        <w:t>人数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50</w:t>
      </w:r>
      <w:r>
        <w:rPr>
          <w:rFonts w:hint="eastAsia" w:ascii="仿宋_GB2312" w:hAnsi="仿宋_GB2312" w:eastAsia="仿宋_GB2312" w:cs="仿宋_GB2312"/>
          <w:sz w:val="32"/>
          <w:szCs w:val="32"/>
        </w:rPr>
        <w:t>人，内容为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单位年终总结下年度工作部署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122238A">
      <w:pPr>
        <w:widowControl w:val="0"/>
        <w:autoSpaceDE w:val="0"/>
        <w:autoSpaceDN w:val="0"/>
        <w:adjustRightInd w:val="0"/>
        <w:ind w:firstLine="640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培训费年初预算1万元，支出决算为1万元，完成年初预算的100%。用于开展单位开展全市优化生育政策培训，人数30人，内容为优化生育政策相关内容。</w:t>
      </w:r>
    </w:p>
    <w:p w14:paraId="67BEA40A">
      <w:pPr>
        <w:pStyle w:val="14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本单位无举办节庆、晚会、论坛、赛事等活动的预算和支出决算数。</w:t>
      </w:r>
    </w:p>
    <w:p w14:paraId="57C03677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十</w:t>
      </w:r>
      <w:r>
        <w:rPr>
          <w:rFonts w:hint="eastAsia" w:hAnsi="黑体" w:cs="黑体"/>
          <w:b w:val="0"/>
          <w:bCs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、关于政府采购支出说明</w:t>
      </w:r>
    </w:p>
    <w:p w14:paraId="64377567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本部门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度政府采购支出总额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9.78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万元，其中：政府采购货物支出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2.43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万元、政府采购工程支出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万元、政府采购服务支出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7.44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万元。授予中小企业合同金额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7.44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万元，占政府采购支出总额的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sz w:val="32"/>
          <w:szCs w:val="32"/>
        </w:rPr>
        <w:t>%，其中：授予小微企业合同金额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7.44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授予中小企业合同金额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%。货物采购授予中小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企业合同金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额占货物支出金额的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%，工程采购授予中小企业合同金额占工程支出金额的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%，服务采购授予中小企业合同金额占服务支出金额的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%。</w:t>
      </w:r>
    </w:p>
    <w:p w14:paraId="303E0048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宋体" w:hAnsi="宋体" w:eastAsia="宋体"/>
          <w:i/>
          <w:color w:val="FF0000"/>
          <w:sz w:val="32"/>
          <w:szCs w:val="32"/>
          <w:lang w:val="en-US" w:eastAsia="zh-CN"/>
        </w:rPr>
      </w:pPr>
    </w:p>
    <w:p w14:paraId="1B873BF2">
      <w:pPr>
        <w:pStyle w:val="14"/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关于国有资产占用情况说明</w:t>
      </w:r>
    </w:p>
    <w:p w14:paraId="3D289373">
      <w:pPr>
        <w:pStyle w:val="14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/>
          <w:color w:val="auto"/>
          <w:sz w:val="32"/>
          <w:szCs w:val="32"/>
          <w:lang w:val="en-US" w:eastAsia="zh-CN"/>
        </w:rPr>
        <w:t>截至2025年12月31日，本单位共有车辆0辆，其中，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副部（省）级及以上领导用车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主要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负责人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用车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机要通信用车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辆、应急保障用车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辆、执法执勤用车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辆、特种专业技术用车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辆、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离退休干部服务用车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辆、其他用车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辆；单位价值100万元以上设备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（不含车辆）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台（套）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 w14:paraId="0E6AF102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  <w:t>十</w:t>
      </w:r>
      <w:r>
        <w:rPr>
          <w:rFonts w:hint="eastAsia" w:hAnsi="黑体" w:cs="黑体"/>
          <w:b w:val="0"/>
          <w:bCs/>
          <w:color w:val="auto"/>
          <w:sz w:val="32"/>
          <w:szCs w:val="32"/>
          <w:highlight w:val="none"/>
          <w:lang w:eastAsia="zh-CN"/>
        </w:rPr>
        <w:t>四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  <w:t>、关于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2025年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  <w:t>度</w:t>
      </w:r>
      <w:r>
        <w:rPr>
          <w:rFonts w:hint="eastAsia" w:hAnsi="黑体" w:cs="黑体"/>
          <w:b w:val="0"/>
          <w:bCs/>
          <w:color w:val="auto"/>
          <w:sz w:val="32"/>
          <w:szCs w:val="32"/>
          <w:highlight w:val="none"/>
          <w:lang w:eastAsia="zh-CN"/>
        </w:rPr>
        <w:t>预算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  <w:t>绩效</w:t>
      </w:r>
      <w:r>
        <w:rPr>
          <w:rFonts w:hint="eastAsia" w:hAnsi="黑体" w:cs="黑体"/>
          <w:b w:val="0"/>
          <w:bCs/>
          <w:color w:val="auto"/>
          <w:sz w:val="32"/>
          <w:szCs w:val="32"/>
          <w:highlight w:val="none"/>
          <w:lang w:eastAsia="zh-CN"/>
        </w:rPr>
        <w:t>管理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  <w:t>情况的说明</w:t>
      </w:r>
    </w:p>
    <w:p w14:paraId="51BEB043">
      <w:pPr>
        <w:overflowPunct w:val="0"/>
        <w:spacing w:line="600" w:lineRule="exact"/>
        <w:ind w:firstLine="640" w:firstLineChars="200"/>
        <w:rPr>
          <w:rFonts w:ascii="Times New Roman" w:hAnsi="Times New Roman" w:eastAsia="楷体_GB2312" w:cs="Times New Roman"/>
          <w:b/>
          <w:bCs/>
          <w:sz w:val="32"/>
          <w:szCs w:val="32"/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</w:rPr>
        <w:t>（一）绩效评价工作开展情况</w:t>
      </w:r>
    </w:p>
    <w:p w14:paraId="61152C93">
      <w:pPr>
        <w:overflowPunct w:val="0"/>
        <w:spacing w:line="60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Times New Roman" w:hAnsi="Times New Roman" w:eastAsia="仿宋_GB2312" w:cs="Times New Roman"/>
          <w:b/>
          <w:bCs/>
          <w:kern w:val="0"/>
          <w:sz w:val="32"/>
          <w:szCs w:val="32"/>
          <w:lang w:val="en-US" w:eastAsia="zh-CN"/>
        </w:rPr>
        <w:t>绩</w:t>
      </w: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</w:rPr>
        <w:t>效自评开展情况。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组织对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2025年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度本部门（单位）整体支出开展绩效自评，涉及项目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个，共涉及资金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301.74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万元。其中，一般公共预算项目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个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301.74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万元，占一般公共预算支出总额的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%；政府性基金预算项目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个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万元，占政府性基金预算支出总额的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%；国有资本经营预算项目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个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 xml:space="preserve"> 万元，占国有资本经营预算支出总额的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%；</w:t>
      </w:r>
      <w:r>
        <w:rPr>
          <w:rFonts w:ascii="Times New Roman" w:hAnsi="Times New Roman" w:eastAsia="仿宋_GB2312" w:cs="Times New Roman"/>
          <w:kern w:val="0"/>
          <w:sz w:val="32"/>
          <w:szCs w:val="32"/>
          <w:highlight w:val="none"/>
        </w:rPr>
        <w:t>社会保险基金预算项目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  <w:highlight w:val="none"/>
        </w:rPr>
        <w:t>个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  <w:highlight w:val="none"/>
        </w:rPr>
        <w:t>万元，占社会保险基金预算支出总额的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  <w:highlight w:val="none"/>
        </w:rPr>
        <w:t>%。</w:t>
      </w:r>
    </w:p>
    <w:p w14:paraId="55A34762">
      <w:pPr>
        <w:overflowPunct w:val="0"/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color w:val="FF0000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2.</w:t>
      </w: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</w:rPr>
        <w:t>部门评价开展情况。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组织对所属单位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2025年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度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“部门整体绩效自评”“项目支出绩效自评”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等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个项目开展了部门评价，涉及一般公共预算支出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301.74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万元，政府性基金预算支出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万元，国有资本经营预算支出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万元，社会保险基金预算支出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万元。</w:t>
      </w:r>
    </w:p>
    <w:p w14:paraId="6C34C028">
      <w:pPr>
        <w:overflowPunct w:val="0"/>
        <w:spacing w:line="60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3.</w:t>
      </w: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</w:rPr>
        <w:t>事前绩效评估开展情况</w:t>
      </w:r>
      <w:r>
        <w:rPr>
          <w:rFonts w:hint="eastAsia" w:ascii="Times New Roman" w:hAnsi="Times New Roman" w:eastAsia="仿宋_GB2312" w:cs="Times New Roman"/>
          <w:b/>
          <w:bCs/>
          <w:kern w:val="0"/>
          <w:sz w:val="32"/>
          <w:szCs w:val="32"/>
          <w:lang w:eastAsia="zh-CN"/>
        </w:rPr>
        <w:t>。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组织对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2025年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度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个新增重大政策和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个重大项目开展事前绩效评估，共涉及资金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万元。</w:t>
      </w:r>
    </w:p>
    <w:p w14:paraId="12E7C15E">
      <w:pPr>
        <w:overflowPunct w:val="0"/>
        <w:spacing w:line="600" w:lineRule="exact"/>
        <w:ind w:firstLine="640" w:firstLineChars="200"/>
        <w:rPr>
          <w:rFonts w:ascii="Times New Roman" w:hAnsi="Times New Roman" w:eastAsia="楷体_GB2312" w:cs="Times New Roman"/>
          <w:b/>
          <w:bCs/>
          <w:sz w:val="32"/>
          <w:szCs w:val="32"/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</w:rPr>
        <w:t>（二）绩效评价结果</w:t>
      </w:r>
    </w:p>
    <w:p w14:paraId="19B3E1F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1.</w:t>
      </w: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</w:rPr>
        <w:t>绩效自评结果。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2025年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度本部门（单位）整体支出</w:t>
      </w:r>
      <w:r>
        <w:rPr>
          <w:rFonts w:ascii="Times New Roman" w:hAnsi="Times New Roman" w:eastAsia="仿宋_GB2312" w:cs="Times New Roman"/>
          <w:sz w:val="32"/>
          <w:szCs w:val="32"/>
        </w:rPr>
        <w:t>全年预算数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322.75</w:t>
      </w:r>
      <w:r>
        <w:rPr>
          <w:rFonts w:ascii="Times New Roman" w:hAnsi="Times New Roman" w:eastAsia="仿宋_GB2312" w:cs="Times New Roman"/>
          <w:sz w:val="32"/>
          <w:szCs w:val="32"/>
        </w:rPr>
        <w:t>万元，执行数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301.74</w:t>
      </w:r>
      <w:r>
        <w:rPr>
          <w:rFonts w:ascii="Times New Roman" w:hAnsi="Times New Roman" w:eastAsia="仿宋_GB2312" w:cs="Times New Roman"/>
          <w:sz w:val="32"/>
          <w:szCs w:val="32"/>
        </w:rPr>
        <w:t>万元，完成预算的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93.49</w:t>
      </w:r>
      <w:r>
        <w:rPr>
          <w:rFonts w:ascii="Times New Roman" w:hAnsi="Times New Roman" w:eastAsia="仿宋_GB2312" w:cs="Times New Roman"/>
          <w:sz w:val="32"/>
          <w:szCs w:val="32"/>
        </w:rPr>
        <w:t>%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，绩效自评得分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9.35</w:t>
      </w:r>
      <w:r>
        <w:rPr>
          <w:rFonts w:ascii="Times New Roman" w:hAnsi="Times New Roman" w:eastAsia="仿宋_GB2312" w:cs="Times New Roman"/>
          <w:sz w:val="32"/>
          <w:szCs w:val="32"/>
        </w:rPr>
        <w:t>分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，评价等级为</w:t>
      </w:r>
      <w:r>
        <w:rPr>
          <w:rFonts w:ascii="Times New Roman" w:hAnsi="Times New Roman" w:eastAsia="仿宋_GB2312" w:cs="Times New Roman"/>
          <w:sz w:val="32"/>
          <w:szCs w:val="32"/>
        </w:rPr>
        <w:t>“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一</w:t>
      </w:r>
      <w:r>
        <w:rPr>
          <w:rFonts w:ascii="Times New Roman" w:hAnsi="Times New Roman" w:eastAsia="仿宋_GB2312" w:cs="Times New Roman"/>
          <w:sz w:val="32"/>
          <w:szCs w:val="32"/>
        </w:rPr>
        <w:t>”。绩效目标完成情况：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一是举办的“5.29 会员活动日”现场活动获评中国计生协“最受网友喜爱的 5.29 随手拍活动”；岳阳市计划生育协会被中国计生协评为2025年度“新媒体宣传服务工作突出的市级计生协”，协会影响力持续提升。二是2025年市计生协成功争取国家计生协项目2个、省级项目4个，到位项目资金37万元。“青春健康”项目构建“学校-社区”联动服务网络；“向日葵亲子小屋”项目提质扩面，建成省级示范性亲子小屋1 家、在建10家，为婴幼儿健康成长提供了专业指导和优质服务。</w:t>
      </w:r>
      <w:r>
        <w:rPr>
          <w:rFonts w:ascii="Times New Roman" w:hAnsi="Times New Roman" w:eastAsia="仿宋_GB2312" w:cs="Times New Roman"/>
          <w:sz w:val="32"/>
          <w:szCs w:val="32"/>
        </w:rPr>
        <w:t>发现的主要问题及原因：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是基层计生协组织建设发展不均衡，部分县区、乡镇（街道）协会工作力量仍显薄弱；二是个别民生项目进度有所滞后，服务精准度和实效性仍需提升；三是机关管理和制度建设仍需完善，工作规范化、标准化水平有待进一步提高。</w:t>
      </w:r>
      <w:r>
        <w:rPr>
          <w:rFonts w:ascii="Times New Roman" w:hAnsi="Times New Roman" w:eastAsia="仿宋_GB2312" w:cs="Times New Roman"/>
          <w:sz w:val="32"/>
          <w:szCs w:val="32"/>
        </w:rPr>
        <w:t>下一步改进措施：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一是补齐基层组织建设短板；二是强化项目全周期绩效管控；三是完善机关绩效与内控标准化体系；四是持续提升生育友好服务质效。</w:t>
      </w:r>
    </w:p>
    <w:p w14:paraId="26D3CC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</w:pPr>
    </w:p>
    <w:p w14:paraId="465D361D">
      <w:pPr>
        <w:numPr>
          <w:ilvl w:val="0"/>
          <w:numId w:val="6"/>
        </w:numPr>
        <w:overflowPunct w:val="0"/>
        <w:spacing w:line="600" w:lineRule="exact"/>
        <w:ind w:firstLine="640" w:firstLineChars="200"/>
        <w:rPr>
          <w:rFonts w:ascii="Times New Roman" w:hAnsi="Times New Roman" w:eastAsia="仿宋_GB2312" w:cs="Times New Roman"/>
          <w:b/>
          <w:bCs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</w:rPr>
        <w:t>部门评价结果</w:t>
      </w:r>
    </w:p>
    <w:p w14:paraId="67EF1A0F">
      <w:pPr>
        <w:numPr>
          <w:numId w:val="0"/>
        </w:numPr>
        <w:overflowPunct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本单位及所属单位本年度未开展部门评价，所以无部门评价结果。</w:t>
      </w:r>
    </w:p>
    <w:p w14:paraId="33D229C7">
      <w:pPr>
        <w:numPr>
          <w:ilvl w:val="0"/>
          <w:numId w:val="6"/>
        </w:numPr>
        <w:overflowPunct w:val="0"/>
        <w:spacing w:line="600" w:lineRule="exact"/>
        <w:ind w:left="0" w:leftChars="0" w:firstLine="640" w:firstLineChars="200"/>
        <w:rPr>
          <w:rFonts w:ascii="Times New Roman" w:hAnsi="Times New Roman" w:eastAsia="仿宋_GB2312" w:cs="Times New Roman"/>
          <w:b/>
          <w:bCs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b/>
          <w:bCs/>
          <w:kern w:val="0"/>
          <w:sz w:val="32"/>
          <w:szCs w:val="32"/>
          <w:highlight w:val="none"/>
          <w:lang w:val="en-US" w:eastAsia="zh-CN"/>
        </w:rPr>
        <w:t>事</w:t>
      </w: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  <w:highlight w:val="none"/>
        </w:rPr>
        <w:t>前绩效评估结果</w:t>
      </w:r>
    </w:p>
    <w:p w14:paraId="61FD4052">
      <w:pPr>
        <w:numPr>
          <w:numId w:val="0"/>
        </w:numPr>
        <w:overflowPunct w:val="0"/>
        <w:spacing w:line="600" w:lineRule="exact"/>
        <w:ind w:leftChars="200"/>
        <w:rPr>
          <w:rFonts w:hint="eastAsia" w:ascii="Times New Roman" w:hAnsi="Times New Roman"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本单位及所属单位本年度未开展事前绩效评估，所以无事前绩效评估结果。</w:t>
      </w:r>
    </w:p>
    <w:p w14:paraId="2E6722BD">
      <w:pPr>
        <w:numPr>
          <w:ilvl w:val="0"/>
          <w:numId w:val="7"/>
        </w:numPr>
        <w:autoSpaceDE w:val="0"/>
        <w:autoSpaceDN w:val="0"/>
        <w:adjustRightInd w:val="0"/>
        <w:ind w:firstLine="640" w:firstLineChars="200"/>
        <w:jc w:val="left"/>
        <w:rPr>
          <w:rFonts w:ascii="Times New Roman" w:hAnsi="Times New Roman" w:eastAsia="楷体_GB2312" w:cs="Times New Roman"/>
          <w:b/>
          <w:bCs/>
          <w:color w:val="auto"/>
          <w:kern w:val="2"/>
          <w:sz w:val="32"/>
          <w:szCs w:val="32"/>
          <w:highlight w:val="none"/>
        </w:rPr>
      </w:pPr>
      <w:r>
        <w:rPr>
          <w:rFonts w:ascii="Times New Roman" w:hAnsi="Times New Roman" w:eastAsia="楷体_GB2312" w:cs="Times New Roman"/>
          <w:b/>
          <w:bCs/>
          <w:color w:val="auto"/>
          <w:kern w:val="2"/>
          <w:sz w:val="32"/>
          <w:szCs w:val="32"/>
          <w:highlight w:val="none"/>
        </w:rPr>
        <w:t>评价结果应用情况</w:t>
      </w:r>
    </w:p>
    <w:p w14:paraId="67BA4612">
      <w:pPr>
        <w:numPr>
          <w:ilvl w:val="0"/>
          <w:numId w:val="0"/>
        </w:numPr>
        <w:autoSpaceDE w:val="0"/>
        <w:autoSpaceDN w:val="0"/>
        <w:adjustRightInd w:val="0"/>
        <w:ind w:firstLine="640" w:firstLineChars="200"/>
        <w:jc w:val="left"/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请根据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2025年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度绩效自评结果、部门评价结果、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事前绩效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评价结果对本部门2025年度预算安排，支出结构调整，资金管理，制度建设等方面结果运用进行简要说明。</w:t>
      </w:r>
    </w:p>
    <w:p w14:paraId="5BC2B1A3">
      <w:pPr>
        <w:autoSpaceDE w:val="0"/>
        <w:autoSpaceDN w:val="0"/>
        <w:adjustRightInd w:val="0"/>
        <w:ind w:firstLine="640" w:firstLineChars="200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预算绩效管理开展情况、绩效目标和绩效评价报告等，已在市政府部门财政预决算公开平台上向社会公开，详见附件。</w:t>
      </w:r>
    </w:p>
    <w:p w14:paraId="0DF4691D">
      <w:pPr>
        <w:pStyle w:val="9"/>
        <w:rPr>
          <w:rFonts w:hint="eastAsia"/>
          <w:lang w:val="en-US" w:eastAsia="zh-CN"/>
        </w:rPr>
      </w:pPr>
    </w:p>
    <w:p w14:paraId="49E78E89">
      <w:pPr>
        <w:numPr>
          <w:ilvl w:val="0"/>
          <w:numId w:val="0"/>
        </w:numPr>
        <w:autoSpaceDE w:val="0"/>
        <w:autoSpaceDN w:val="0"/>
        <w:adjustRightInd w:val="0"/>
        <w:jc w:val="left"/>
        <w:rPr>
          <w:rFonts w:hint="eastAsia" w:ascii="楷体" w:hAnsi="楷体" w:eastAsia="楷体" w:cs="楷体"/>
          <w:b/>
          <w:bCs/>
          <w:i w:val="0"/>
          <w:iCs w:val="0"/>
          <w:color w:val="FF0000"/>
          <w:kern w:val="0"/>
          <w:sz w:val="36"/>
          <w:szCs w:val="36"/>
          <w:lang w:val="en-US" w:eastAsia="zh-CN"/>
        </w:rPr>
      </w:pPr>
    </w:p>
    <w:p w14:paraId="2E6445E2">
      <w:pPr>
        <w:pStyle w:val="14"/>
        <w:jc w:val="both"/>
        <w:rPr>
          <w:rFonts w:hint="eastAsia" w:ascii="方正小标宋_GBK" w:hAnsi="方正小标宋_GBK" w:eastAsia="方正小标宋_GBK" w:cs="方正小标宋_GBK"/>
          <w:sz w:val="24"/>
          <w:szCs w:val="24"/>
        </w:rPr>
      </w:pPr>
      <w:bookmarkStart w:id="0" w:name="_GoBack"/>
      <w:bookmarkEnd w:id="0"/>
    </w:p>
    <w:p w14:paraId="562A6E89">
      <w:pPr>
        <w:pStyle w:val="14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 w14:paraId="233A65F8">
      <w:pPr>
        <w:pStyle w:val="14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 w14:paraId="3DB3A772">
      <w:pPr>
        <w:pStyle w:val="14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 w14:paraId="5B7B8985">
      <w:pPr>
        <w:pStyle w:val="14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 w14:paraId="45AAA3F6">
      <w:pPr>
        <w:pStyle w:val="14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  <w:r>
        <w:rPr>
          <w:rFonts w:hint="eastAsia" w:ascii="方正小标宋_GBK" w:hAnsi="方正小标宋_GBK" w:eastAsia="方正小标宋_GBK" w:cs="方正小标宋_GBK"/>
          <w:sz w:val="72"/>
          <w:szCs w:val="72"/>
        </w:rPr>
        <w:t>第四部分</w:t>
      </w:r>
    </w:p>
    <w:p w14:paraId="7F8B4F73">
      <w:pPr>
        <w:jc w:val="center"/>
        <w:rPr>
          <w:rFonts w:hint="eastAsia" w:ascii="方正小标宋_GBK" w:hAnsi="方正小标宋_GBK" w:eastAsia="方正小标宋_GBK" w:cs="方正小标宋_GBK"/>
          <w:color w:val="000000"/>
          <w:kern w:val="0"/>
          <w:sz w:val="70"/>
          <w:szCs w:val="70"/>
        </w:rPr>
      </w:pPr>
    </w:p>
    <w:p w14:paraId="43BA3C97">
      <w:pPr>
        <w:pStyle w:val="14"/>
        <w:jc w:val="center"/>
        <w:rPr>
          <w:rFonts w:hint="eastAsia" w:ascii="方正小标宋_GBK" w:hAnsi="方正小标宋_GBK" w:eastAsia="方正小标宋_GBK" w:cs="方正小标宋_GBK"/>
          <w:sz w:val="70"/>
          <w:szCs w:val="70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70"/>
          <w:szCs w:val="70"/>
        </w:rPr>
        <w:t>名词解释</w:t>
      </w:r>
    </w:p>
    <w:p w14:paraId="7B3D7B76">
      <w:pPr>
        <w:pStyle w:val="9"/>
      </w:pPr>
    </w:p>
    <w:p w14:paraId="19C88940">
      <w:pPr>
        <w:pStyle w:val="5"/>
      </w:pPr>
    </w:p>
    <w:p w14:paraId="2E0E431D"/>
    <w:p w14:paraId="59903449">
      <w:pPr>
        <w:pStyle w:val="9"/>
      </w:pPr>
    </w:p>
    <w:p w14:paraId="388D77BB">
      <w:pPr>
        <w:pStyle w:val="5"/>
      </w:pPr>
    </w:p>
    <w:p w14:paraId="7915F690"/>
    <w:p w14:paraId="05829C41">
      <w:pPr>
        <w:pStyle w:val="9"/>
      </w:pPr>
    </w:p>
    <w:p w14:paraId="39305E64">
      <w:pPr>
        <w:pStyle w:val="5"/>
      </w:pPr>
    </w:p>
    <w:p w14:paraId="25C1B1B4"/>
    <w:p w14:paraId="2293BF05">
      <w:pPr>
        <w:pStyle w:val="9"/>
      </w:pPr>
    </w:p>
    <w:p w14:paraId="65554DC8">
      <w:pPr>
        <w:pStyle w:val="5"/>
      </w:pPr>
    </w:p>
    <w:p w14:paraId="58C57D48"/>
    <w:p w14:paraId="46308629">
      <w:pPr>
        <w:pStyle w:val="9"/>
      </w:pPr>
    </w:p>
    <w:p w14:paraId="4EF13ADE">
      <w:pPr>
        <w:pStyle w:val="5"/>
      </w:pPr>
    </w:p>
    <w:p w14:paraId="7D46D0CC"/>
    <w:p w14:paraId="787FBDE6">
      <w:pPr>
        <w:pStyle w:val="9"/>
      </w:pPr>
    </w:p>
    <w:p w14:paraId="05CDF1A8">
      <w:pPr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 w14:paraId="5AC343B7">
      <w:pPr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 w14:paraId="1E5FF368">
      <w:pPr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 w14:paraId="6FFCE0E5">
      <w:pPr>
        <w:pStyle w:val="9"/>
        <w:rPr>
          <w:rFonts w:hint="eastAsia"/>
        </w:rPr>
      </w:pPr>
    </w:p>
    <w:p w14:paraId="4939C770">
      <w:pPr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 w14:paraId="2411B5AD">
      <w:pPr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一、“三公”经费：指用财政拨款安排的因公出国（境）费、公务用车购置及运行费和公务接待费。其中，因公出国（境）费反映出国（境）的住宿费、旅费、伙食补助费、杂费、培训费等支出；公务用车购置及运行费反映单位公务用车购置费及租用费、燃料费、维修费、过路过桥费、保险费、安全奖励费用等支出；公务接待费反映单位按规定开支的各类公务接待（含外宾接待）支出。</w:t>
      </w:r>
    </w:p>
    <w:p w14:paraId="56EA53AC">
      <w:pPr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二、机关运行经费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，指为保障行政单位（包括参照公务员法管理的事业单位）运行用于购买货物和服务的各项资金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，包括办公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费、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印刷费、邮电费、差旅费、会议费、日常维修费、专用材料及一般设备购置费、办公用房水电费、办公用房取暖费、办公用房物业管理费、公务用车运行维护费以及其他费用。</w:t>
      </w:r>
    </w:p>
    <w:p w14:paraId="6EC6A4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i/>
          <w:color w:val="FF0000"/>
          <w:kern w:val="0"/>
          <w:sz w:val="32"/>
          <w:szCs w:val="32"/>
          <w:lang w:val="en-US" w:eastAsia="zh-CN" w:bidi="ar-SA"/>
        </w:rPr>
      </w:pPr>
    </w:p>
    <w:p w14:paraId="1A20C069">
      <w:pPr>
        <w:pStyle w:val="14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32A9EF7">
      <w:pPr>
        <w:pStyle w:val="5"/>
      </w:pPr>
    </w:p>
    <w:p w14:paraId="0B00B434"/>
    <w:p w14:paraId="044081E0">
      <w:pPr>
        <w:pStyle w:val="9"/>
      </w:pPr>
    </w:p>
    <w:p w14:paraId="4634ED32">
      <w:pPr>
        <w:pStyle w:val="5"/>
      </w:pPr>
    </w:p>
    <w:p w14:paraId="4950584B"/>
    <w:p w14:paraId="13F0A57A">
      <w:pPr>
        <w:pStyle w:val="9"/>
      </w:pPr>
    </w:p>
    <w:p w14:paraId="6937F9C5">
      <w:pPr>
        <w:pStyle w:val="5"/>
      </w:pPr>
    </w:p>
    <w:p w14:paraId="1B694502"/>
    <w:p w14:paraId="1E15CC54">
      <w:pPr>
        <w:pStyle w:val="9"/>
      </w:pPr>
    </w:p>
    <w:p w14:paraId="04BF7625">
      <w:pPr>
        <w:pStyle w:val="5"/>
      </w:pPr>
    </w:p>
    <w:p w14:paraId="01AF32A2"/>
    <w:p w14:paraId="242CD5F7">
      <w:pPr>
        <w:pStyle w:val="9"/>
      </w:pPr>
    </w:p>
    <w:p w14:paraId="378DD0C2">
      <w:pPr>
        <w:pStyle w:val="5"/>
      </w:pPr>
    </w:p>
    <w:p w14:paraId="6D14A579"/>
    <w:p w14:paraId="57AF858A">
      <w:pPr>
        <w:pStyle w:val="9"/>
      </w:pPr>
    </w:p>
    <w:p w14:paraId="066C6662">
      <w:pPr>
        <w:pStyle w:val="5"/>
      </w:pPr>
    </w:p>
    <w:p w14:paraId="3067CE6B"/>
    <w:p w14:paraId="7EA82DD3">
      <w:pPr>
        <w:pStyle w:val="9"/>
      </w:pPr>
    </w:p>
    <w:p w14:paraId="0836C178">
      <w:pPr>
        <w:pStyle w:val="5"/>
      </w:pPr>
    </w:p>
    <w:p w14:paraId="10B0FB40"/>
    <w:p w14:paraId="0FFE2892"/>
    <w:p w14:paraId="66AA9464">
      <w:pPr>
        <w:pStyle w:val="9"/>
      </w:pPr>
    </w:p>
    <w:p w14:paraId="25F30E81">
      <w:pPr>
        <w:pStyle w:val="14"/>
        <w:jc w:val="both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 w14:paraId="7FE91A39">
      <w:pPr>
        <w:pStyle w:val="14"/>
        <w:jc w:val="center"/>
        <w:rPr>
          <w:rFonts w:hint="eastAsia" w:ascii="方正小标宋_GBK" w:hAnsi="方正小标宋_GBK" w:eastAsia="方正小标宋_GBK" w:cs="方正小标宋_GBK"/>
          <w:sz w:val="70"/>
          <w:szCs w:val="70"/>
        </w:rPr>
      </w:pPr>
      <w:r>
        <w:rPr>
          <w:rFonts w:hint="eastAsia" w:ascii="方正小标宋_GBK" w:hAnsi="方正小标宋_GBK" w:eastAsia="方正小标宋_GBK" w:cs="方正小标宋_GBK"/>
          <w:sz w:val="72"/>
          <w:szCs w:val="72"/>
        </w:rPr>
        <w:t>第</w:t>
      </w:r>
      <w:r>
        <w:rPr>
          <w:rFonts w:hint="eastAsia" w:ascii="方正小标宋_GBK" w:hAnsi="方正小标宋_GBK" w:eastAsia="方正小标宋_GBK" w:cs="方正小标宋_GBK"/>
          <w:sz w:val="72"/>
          <w:szCs w:val="72"/>
          <w:lang w:eastAsia="zh-CN"/>
        </w:rPr>
        <w:t>五</w:t>
      </w:r>
      <w:r>
        <w:rPr>
          <w:rFonts w:hint="eastAsia" w:ascii="方正小标宋_GBK" w:hAnsi="方正小标宋_GBK" w:eastAsia="方正小标宋_GBK" w:cs="方正小标宋_GBK"/>
          <w:sz w:val="72"/>
          <w:szCs w:val="72"/>
        </w:rPr>
        <w:t>部分</w:t>
      </w:r>
    </w:p>
    <w:p w14:paraId="27D24885">
      <w:pPr>
        <w:pStyle w:val="14"/>
        <w:jc w:val="both"/>
        <w:rPr>
          <w:rFonts w:hint="eastAsia" w:ascii="方正小标宋_GBK" w:hAnsi="方正小标宋_GBK" w:eastAsia="方正小标宋_GBK" w:cs="方正小标宋_GBK"/>
          <w:sz w:val="70"/>
          <w:szCs w:val="70"/>
          <w:lang w:eastAsia="zh-CN"/>
        </w:rPr>
      </w:pPr>
    </w:p>
    <w:p w14:paraId="454D634C">
      <w:pPr>
        <w:pStyle w:val="14"/>
        <w:jc w:val="center"/>
        <w:rPr>
          <w:rFonts w:hint="eastAsia" w:ascii="方正小标宋_GBK" w:hAnsi="方正小标宋_GBK" w:eastAsia="方正小标宋_GBK" w:cs="方正小标宋_GBK"/>
          <w:sz w:val="70"/>
          <w:szCs w:val="70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70"/>
          <w:szCs w:val="70"/>
          <w:lang w:eastAsia="zh-CN"/>
        </w:rPr>
        <w:t>附</w:t>
      </w:r>
      <w:r>
        <w:rPr>
          <w:rFonts w:hint="eastAsia" w:ascii="方正小标宋_GBK" w:hAnsi="方正小标宋_GBK" w:eastAsia="方正小标宋_GBK" w:cs="方正小标宋_GBK"/>
          <w:sz w:val="70"/>
          <w:szCs w:val="70"/>
          <w:lang w:val="en-US" w:eastAsia="zh-CN"/>
        </w:rPr>
        <w:t xml:space="preserve"> </w:t>
      </w:r>
      <w:r>
        <w:rPr>
          <w:rFonts w:hint="eastAsia" w:ascii="方正小标宋_GBK" w:hAnsi="方正小标宋_GBK" w:eastAsia="方正小标宋_GBK" w:cs="方正小标宋_GBK"/>
          <w:sz w:val="70"/>
          <w:szCs w:val="70"/>
          <w:lang w:eastAsia="zh-CN"/>
        </w:rPr>
        <w:t>件</w:t>
      </w:r>
    </w:p>
    <w:p w14:paraId="1236F6D0">
      <w:pPr>
        <w:ind w:firstLine="640" w:firstLineChars="200"/>
        <w:jc w:val="left"/>
        <w:rPr>
          <w:rFonts w:hint="eastAsia" w:ascii="宋体" w:hAnsi="宋体" w:eastAsia="宋体" w:cs="黑体"/>
          <w:b/>
          <w:color w:val="000000"/>
          <w:kern w:val="0"/>
          <w:sz w:val="32"/>
          <w:szCs w:val="32"/>
          <w:lang w:val="en-US" w:eastAsia="zh-CN"/>
        </w:rPr>
      </w:pPr>
    </w:p>
    <w:p w14:paraId="72A36BCD">
      <w:pPr>
        <w:ind w:firstLine="640" w:firstLineChars="200"/>
        <w:jc w:val="left"/>
        <w:rPr>
          <w:rFonts w:hint="eastAsia" w:ascii="宋体" w:hAnsi="宋体" w:eastAsia="宋体" w:cs="黑体"/>
          <w:b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黑体"/>
          <w:b/>
          <w:color w:val="000000"/>
          <w:kern w:val="0"/>
          <w:sz w:val="32"/>
          <w:szCs w:val="32"/>
          <w:lang w:val="en-US" w:eastAsia="zh-CN"/>
        </w:rPr>
        <w:t>1、</w:t>
      </w:r>
      <w:r>
        <w:rPr>
          <w:rFonts w:hint="eastAsia" w:ascii="宋体" w:hAnsi="宋体" w:eastAsia="宋体" w:cs="黑体"/>
          <w:b/>
          <w:color w:val="000000"/>
          <w:kern w:val="0"/>
          <w:sz w:val="32"/>
          <w:szCs w:val="32"/>
          <w:highlight w:val="none"/>
          <w:lang w:val="en-US" w:eastAsia="zh-CN"/>
        </w:rPr>
        <w:t>2025年</w:t>
      </w:r>
      <w:r>
        <w:rPr>
          <w:rFonts w:hint="eastAsia" w:ascii="宋体" w:hAnsi="宋体" w:eastAsia="宋体" w:cs="黑体"/>
          <w:b/>
          <w:color w:val="000000"/>
          <w:kern w:val="0"/>
          <w:sz w:val="32"/>
          <w:szCs w:val="32"/>
          <w:lang w:val="en-US" w:eastAsia="zh-CN"/>
        </w:rPr>
        <w:t>部门决算公开表格</w:t>
      </w:r>
    </w:p>
    <w:p w14:paraId="70932CC1">
      <w:pPr>
        <w:ind w:firstLine="640" w:firstLineChars="200"/>
        <w:jc w:val="left"/>
        <w:rPr>
          <w:rFonts w:ascii="宋体" w:hAnsi="宋体" w:eastAsia="宋体" w:cs="黑体"/>
          <w:color w:val="000000"/>
          <w:kern w:val="0"/>
          <w:sz w:val="32"/>
          <w:szCs w:val="32"/>
        </w:rPr>
      </w:pPr>
      <w:r>
        <w:rPr>
          <w:rFonts w:hint="eastAsia" w:ascii="宋体" w:hAnsi="宋体" w:eastAsia="宋体" w:cs="黑体"/>
          <w:b/>
          <w:color w:val="000000"/>
          <w:kern w:val="0"/>
          <w:sz w:val="32"/>
          <w:szCs w:val="32"/>
          <w:lang w:val="en-US" w:eastAsia="zh-CN"/>
        </w:rPr>
        <w:t>2、</w:t>
      </w:r>
      <w:r>
        <w:rPr>
          <w:rFonts w:hint="eastAsia" w:ascii="宋体" w:hAnsi="宋体" w:eastAsia="宋体" w:cs="黑体"/>
          <w:b/>
          <w:color w:val="000000"/>
          <w:kern w:val="0"/>
          <w:sz w:val="32"/>
          <w:szCs w:val="32"/>
          <w:highlight w:val="none"/>
          <w:lang w:eastAsia="zh-CN"/>
        </w:rPr>
        <w:t>2025年</w:t>
      </w:r>
      <w:r>
        <w:rPr>
          <w:rFonts w:hint="eastAsia" w:ascii="宋体" w:hAnsi="宋体" w:eastAsia="宋体" w:cs="黑体"/>
          <w:b/>
          <w:color w:val="000000"/>
          <w:kern w:val="0"/>
          <w:sz w:val="32"/>
          <w:szCs w:val="32"/>
        </w:rPr>
        <w:t>度部门整体支出绩效评价报告</w:t>
      </w:r>
    </w:p>
    <w:p w14:paraId="0B52B193"/>
    <w:sectPr>
      <w:pgSz w:w="11906" w:h="16838"/>
      <w:pgMar w:top="720" w:right="720" w:bottom="720" w:left="72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altName w:val="Arial Unicode MS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EDECFD4"/>
    <w:multiLevelType w:val="singleLevel"/>
    <w:tmpl w:val="8EDECFD4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977D3CA8"/>
    <w:multiLevelType w:val="singleLevel"/>
    <w:tmpl w:val="977D3CA8"/>
    <w:lvl w:ilvl="0" w:tentative="0">
      <w:start w:val="3"/>
      <w:numFmt w:val="decimal"/>
      <w:suff w:val="nothing"/>
      <w:lvlText w:val="%1、"/>
      <w:lvlJc w:val="left"/>
    </w:lvl>
  </w:abstractNum>
  <w:abstractNum w:abstractNumId="2">
    <w:nsid w:val="D94B7EDC"/>
    <w:multiLevelType w:val="singleLevel"/>
    <w:tmpl w:val="D94B7EDC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DF3A71DF"/>
    <w:multiLevelType w:val="singleLevel"/>
    <w:tmpl w:val="DF3A71DF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E3CBC331"/>
    <w:multiLevelType w:val="singleLevel"/>
    <w:tmpl w:val="E3CBC331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373518C1"/>
    <w:multiLevelType w:val="multilevel"/>
    <w:tmpl w:val="373518C1"/>
    <w:lvl w:ilvl="0" w:tentative="0">
      <w:start w:val="1"/>
      <w:numFmt w:val="none"/>
      <w:lvlText w:val="一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5EE93F26"/>
    <w:multiLevelType w:val="singleLevel"/>
    <w:tmpl w:val="5EE93F26"/>
    <w:lvl w:ilvl="0" w:tentative="0">
      <w:start w:val="1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6F9"/>
    <w:rsid w:val="0002229B"/>
    <w:rsid w:val="000273BD"/>
    <w:rsid w:val="00040CBC"/>
    <w:rsid w:val="000415B7"/>
    <w:rsid w:val="00041E3F"/>
    <w:rsid w:val="00055DAA"/>
    <w:rsid w:val="00061F7B"/>
    <w:rsid w:val="000658A3"/>
    <w:rsid w:val="00074155"/>
    <w:rsid w:val="000A3F69"/>
    <w:rsid w:val="00103897"/>
    <w:rsid w:val="00103957"/>
    <w:rsid w:val="00152C6D"/>
    <w:rsid w:val="00162D39"/>
    <w:rsid w:val="001678BD"/>
    <w:rsid w:val="00182373"/>
    <w:rsid w:val="001A67DB"/>
    <w:rsid w:val="001C3C29"/>
    <w:rsid w:val="001D51E5"/>
    <w:rsid w:val="001E080D"/>
    <w:rsid w:val="001E53D0"/>
    <w:rsid w:val="001F0C3B"/>
    <w:rsid w:val="00202C82"/>
    <w:rsid w:val="00214427"/>
    <w:rsid w:val="00226CB7"/>
    <w:rsid w:val="00264552"/>
    <w:rsid w:val="00264EF9"/>
    <w:rsid w:val="00265724"/>
    <w:rsid w:val="0027426B"/>
    <w:rsid w:val="002E0A30"/>
    <w:rsid w:val="003130C4"/>
    <w:rsid w:val="00316C4B"/>
    <w:rsid w:val="0032192B"/>
    <w:rsid w:val="003479BD"/>
    <w:rsid w:val="0037197D"/>
    <w:rsid w:val="003768D5"/>
    <w:rsid w:val="003926B9"/>
    <w:rsid w:val="003C47E6"/>
    <w:rsid w:val="003C4FC2"/>
    <w:rsid w:val="00416E61"/>
    <w:rsid w:val="0042790C"/>
    <w:rsid w:val="004506F9"/>
    <w:rsid w:val="004717A2"/>
    <w:rsid w:val="00473DF3"/>
    <w:rsid w:val="00487911"/>
    <w:rsid w:val="00491741"/>
    <w:rsid w:val="004B0CEE"/>
    <w:rsid w:val="00500E5F"/>
    <w:rsid w:val="005122EF"/>
    <w:rsid w:val="0051441A"/>
    <w:rsid w:val="00517C33"/>
    <w:rsid w:val="00517D5F"/>
    <w:rsid w:val="00523644"/>
    <w:rsid w:val="0054069E"/>
    <w:rsid w:val="00544866"/>
    <w:rsid w:val="005767CC"/>
    <w:rsid w:val="00590D9F"/>
    <w:rsid w:val="00595D26"/>
    <w:rsid w:val="005A74E6"/>
    <w:rsid w:val="005B404E"/>
    <w:rsid w:val="005D4D55"/>
    <w:rsid w:val="005E2CFB"/>
    <w:rsid w:val="005F2103"/>
    <w:rsid w:val="005F3D1C"/>
    <w:rsid w:val="0062378F"/>
    <w:rsid w:val="00641842"/>
    <w:rsid w:val="00651EEC"/>
    <w:rsid w:val="00686673"/>
    <w:rsid w:val="00691E8C"/>
    <w:rsid w:val="006A22C4"/>
    <w:rsid w:val="006A351B"/>
    <w:rsid w:val="006B0422"/>
    <w:rsid w:val="006C1B53"/>
    <w:rsid w:val="006D7730"/>
    <w:rsid w:val="006E5284"/>
    <w:rsid w:val="006F3EB5"/>
    <w:rsid w:val="00702E34"/>
    <w:rsid w:val="00704395"/>
    <w:rsid w:val="00710FE7"/>
    <w:rsid w:val="00717621"/>
    <w:rsid w:val="00720FF1"/>
    <w:rsid w:val="00727A53"/>
    <w:rsid w:val="00787B42"/>
    <w:rsid w:val="007C4539"/>
    <w:rsid w:val="007F3657"/>
    <w:rsid w:val="00812ED5"/>
    <w:rsid w:val="008277D9"/>
    <w:rsid w:val="0084478C"/>
    <w:rsid w:val="0086638C"/>
    <w:rsid w:val="008A3E8D"/>
    <w:rsid w:val="009237C4"/>
    <w:rsid w:val="00944C48"/>
    <w:rsid w:val="00950252"/>
    <w:rsid w:val="00967F5D"/>
    <w:rsid w:val="009A0F95"/>
    <w:rsid w:val="009B3ADF"/>
    <w:rsid w:val="009B4D8E"/>
    <w:rsid w:val="009C3B52"/>
    <w:rsid w:val="009E6817"/>
    <w:rsid w:val="009E6E9A"/>
    <w:rsid w:val="00A01D2B"/>
    <w:rsid w:val="00A42218"/>
    <w:rsid w:val="00A70249"/>
    <w:rsid w:val="00A70B02"/>
    <w:rsid w:val="00A71D9F"/>
    <w:rsid w:val="00A92E9F"/>
    <w:rsid w:val="00AB18FF"/>
    <w:rsid w:val="00B33BEA"/>
    <w:rsid w:val="00B57C9F"/>
    <w:rsid w:val="00B63572"/>
    <w:rsid w:val="00B845B3"/>
    <w:rsid w:val="00B85D8B"/>
    <w:rsid w:val="00BB4A40"/>
    <w:rsid w:val="00BD6C3E"/>
    <w:rsid w:val="00BE3674"/>
    <w:rsid w:val="00C10681"/>
    <w:rsid w:val="00C3049A"/>
    <w:rsid w:val="00C31B1E"/>
    <w:rsid w:val="00C77645"/>
    <w:rsid w:val="00CE04C3"/>
    <w:rsid w:val="00CE76A0"/>
    <w:rsid w:val="00D148C6"/>
    <w:rsid w:val="00D17A8A"/>
    <w:rsid w:val="00D415BA"/>
    <w:rsid w:val="00D63780"/>
    <w:rsid w:val="00D644EE"/>
    <w:rsid w:val="00DD06FF"/>
    <w:rsid w:val="00DD5FE9"/>
    <w:rsid w:val="00E00C7A"/>
    <w:rsid w:val="00E37D6C"/>
    <w:rsid w:val="00E55B68"/>
    <w:rsid w:val="00E561AE"/>
    <w:rsid w:val="00E67BE6"/>
    <w:rsid w:val="00E8683C"/>
    <w:rsid w:val="00EA2B72"/>
    <w:rsid w:val="00F74360"/>
    <w:rsid w:val="00FB462F"/>
    <w:rsid w:val="00FC206D"/>
    <w:rsid w:val="00FE16FA"/>
    <w:rsid w:val="00FE328A"/>
    <w:rsid w:val="00FE6269"/>
    <w:rsid w:val="00FF5CD6"/>
    <w:rsid w:val="01D8316D"/>
    <w:rsid w:val="021E2C54"/>
    <w:rsid w:val="02B405AD"/>
    <w:rsid w:val="034E6CC0"/>
    <w:rsid w:val="059958AD"/>
    <w:rsid w:val="0680104B"/>
    <w:rsid w:val="06C857E7"/>
    <w:rsid w:val="07372051"/>
    <w:rsid w:val="08597DA5"/>
    <w:rsid w:val="0869175B"/>
    <w:rsid w:val="08C24A73"/>
    <w:rsid w:val="09292E45"/>
    <w:rsid w:val="0C5F7D2C"/>
    <w:rsid w:val="0E7B7D35"/>
    <w:rsid w:val="11944E2C"/>
    <w:rsid w:val="12583BA5"/>
    <w:rsid w:val="13BA5B9C"/>
    <w:rsid w:val="1477390C"/>
    <w:rsid w:val="15FC4D26"/>
    <w:rsid w:val="161D0664"/>
    <w:rsid w:val="162C5AD4"/>
    <w:rsid w:val="1ABD4A10"/>
    <w:rsid w:val="1BE55780"/>
    <w:rsid w:val="1D97DEFF"/>
    <w:rsid w:val="1DAC08A5"/>
    <w:rsid w:val="1DFF72E5"/>
    <w:rsid w:val="1EFC6F07"/>
    <w:rsid w:val="1F0527A6"/>
    <w:rsid w:val="22AC03C2"/>
    <w:rsid w:val="23BA5744"/>
    <w:rsid w:val="23D5432C"/>
    <w:rsid w:val="242F51F8"/>
    <w:rsid w:val="258770D1"/>
    <w:rsid w:val="262A4E03"/>
    <w:rsid w:val="27FA25B3"/>
    <w:rsid w:val="283B15FE"/>
    <w:rsid w:val="28A32C4B"/>
    <w:rsid w:val="2AB06293"/>
    <w:rsid w:val="2AF91248"/>
    <w:rsid w:val="2B1B2F6C"/>
    <w:rsid w:val="2C02237E"/>
    <w:rsid w:val="2F02678E"/>
    <w:rsid w:val="2FD933F6"/>
    <w:rsid w:val="2FDF85B8"/>
    <w:rsid w:val="2FFFEE04"/>
    <w:rsid w:val="30444929"/>
    <w:rsid w:val="31C95635"/>
    <w:rsid w:val="33EB66CD"/>
    <w:rsid w:val="34BB131C"/>
    <w:rsid w:val="34DF85B0"/>
    <w:rsid w:val="37746654"/>
    <w:rsid w:val="3910214E"/>
    <w:rsid w:val="3A8F74D3"/>
    <w:rsid w:val="3B6F08F3"/>
    <w:rsid w:val="3B8F36BC"/>
    <w:rsid w:val="3B91709A"/>
    <w:rsid w:val="3D295E51"/>
    <w:rsid w:val="40124538"/>
    <w:rsid w:val="4125649B"/>
    <w:rsid w:val="413649CA"/>
    <w:rsid w:val="43E23908"/>
    <w:rsid w:val="43EB5BA5"/>
    <w:rsid w:val="44056110"/>
    <w:rsid w:val="44D77833"/>
    <w:rsid w:val="45280308"/>
    <w:rsid w:val="45E36925"/>
    <w:rsid w:val="48B65B6A"/>
    <w:rsid w:val="491FF225"/>
    <w:rsid w:val="49D31863"/>
    <w:rsid w:val="4C201404"/>
    <w:rsid w:val="4CC4660B"/>
    <w:rsid w:val="4E7640F4"/>
    <w:rsid w:val="4EC310A1"/>
    <w:rsid w:val="4F8D1EC7"/>
    <w:rsid w:val="4FFD214C"/>
    <w:rsid w:val="509E51FA"/>
    <w:rsid w:val="527C1C93"/>
    <w:rsid w:val="52E53CDC"/>
    <w:rsid w:val="5352765A"/>
    <w:rsid w:val="55807CEC"/>
    <w:rsid w:val="55EC155A"/>
    <w:rsid w:val="55F34962"/>
    <w:rsid w:val="5777D4F5"/>
    <w:rsid w:val="57EBA9D6"/>
    <w:rsid w:val="57EE5C6E"/>
    <w:rsid w:val="57F22B6F"/>
    <w:rsid w:val="59DD8326"/>
    <w:rsid w:val="5C4D58B9"/>
    <w:rsid w:val="5DEF592A"/>
    <w:rsid w:val="5E224037"/>
    <w:rsid w:val="5F9C1BC7"/>
    <w:rsid w:val="5FC6BB1E"/>
    <w:rsid w:val="5FF720F1"/>
    <w:rsid w:val="622964C1"/>
    <w:rsid w:val="63984453"/>
    <w:rsid w:val="66303069"/>
    <w:rsid w:val="67A535E2"/>
    <w:rsid w:val="67FF5C0B"/>
    <w:rsid w:val="68A04B20"/>
    <w:rsid w:val="69782D5D"/>
    <w:rsid w:val="69A9560C"/>
    <w:rsid w:val="6BAA4A2F"/>
    <w:rsid w:val="6D942A3A"/>
    <w:rsid w:val="6DDEC5C0"/>
    <w:rsid w:val="6E922B12"/>
    <w:rsid w:val="6EFC0924"/>
    <w:rsid w:val="6F9E8580"/>
    <w:rsid w:val="6FB74722"/>
    <w:rsid w:val="6FEF8B7E"/>
    <w:rsid w:val="71126879"/>
    <w:rsid w:val="717FE77F"/>
    <w:rsid w:val="71A6591B"/>
    <w:rsid w:val="721B4BCD"/>
    <w:rsid w:val="72723B18"/>
    <w:rsid w:val="730B450D"/>
    <w:rsid w:val="737D59BA"/>
    <w:rsid w:val="737F32B1"/>
    <w:rsid w:val="73BD3FCA"/>
    <w:rsid w:val="73DC65DE"/>
    <w:rsid w:val="74AC471C"/>
    <w:rsid w:val="753C651C"/>
    <w:rsid w:val="75622B13"/>
    <w:rsid w:val="76391AC6"/>
    <w:rsid w:val="776BDA01"/>
    <w:rsid w:val="77C37683"/>
    <w:rsid w:val="79FF515B"/>
    <w:rsid w:val="7B567622"/>
    <w:rsid w:val="7BF5023D"/>
    <w:rsid w:val="7D5D2B5C"/>
    <w:rsid w:val="7D853842"/>
    <w:rsid w:val="7DFBFF20"/>
    <w:rsid w:val="7E9E1962"/>
    <w:rsid w:val="7E9F11B4"/>
    <w:rsid w:val="7F37EC1E"/>
    <w:rsid w:val="7F385010"/>
    <w:rsid w:val="7F7C0DDA"/>
    <w:rsid w:val="7F7DCD9D"/>
    <w:rsid w:val="7F970A6F"/>
    <w:rsid w:val="7FC1FFF3"/>
    <w:rsid w:val="7FC69637"/>
    <w:rsid w:val="7FDF8620"/>
    <w:rsid w:val="7FFB242F"/>
    <w:rsid w:val="7FFDB408"/>
    <w:rsid w:val="7FFE4EEB"/>
    <w:rsid w:val="95FB2B98"/>
    <w:rsid w:val="9A639BC2"/>
    <w:rsid w:val="9FF7D786"/>
    <w:rsid w:val="ABBFB23D"/>
    <w:rsid w:val="B6BE5A03"/>
    <w:rsid w:val="B8C93228"/>
    <w:rsid w:val="C3B4DA5A"/>
    <w:rsid w:val="C4FF458C"/>
    <w:rsid w:val="C7BBD038"/>
    <w:rsid w:val="CBFF70E0"/>
    <w:rsid w:val="CFF50B82"/>
    <w:rsid w:val="CFFFAD89"/>
    <w:rsid w:val="DFFE359E"/>
    <w:rsid w:val="DFFE4FFD"/>
    <w:rsid w:val="DFFF5403"/>
    <w:rsid w:val="EBC3E00A"/>
    <w:rsid w:val="EDFBE100"/>
    <w:rsid w:val="EEABED75"/>
    <w:rsid w:val="EF7E8003"/>
    <w:rsid w:val="F56FDF51"/>
    <w:rsid w:val="F5F3EE78"/>
    <w:rsid w:val="F6B69F17"/>
    <w:rsid w:val="F6E5BB3A"/>
    <w:rsid w:val="F77F1D61"/>
    <w:rsid w:val="F7C36722"/>
    <w:rsid w:val="F7FED3A9"/>
    <w:rsid w:val="F8C9DB26"/>
    <w:rsid w:val="F97E8EAE"/>
    <w:rsid w:val="FB36E1A6"/>
    <w:rsid w:val="FB3BE134"/>
    <w:rsid w:val="FCFF4275"/>
    <w:rsid w:val="FD7FEEEA"/>
    <w:rsid w:val="FDFFB577"/>
    <w:rsid w:val="FEEA50FE"/>
    <w:rsid w:val="FF7D47A9"/>
    <w:rsid w:val="FFCF21CB"/>
    <w:rsid w:val="FFF94102"/>
    <w:rsid w:val="FFFF1C8B"/>
    <w:rsid w:val="FFFF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semiHidden/>
    <w:unhideWhenUsed/>
    <w:qFormat/>
    <w:uiPriority w:val="99"/>
    <w:rPr>
      <w:rFonts w:ascii="宋体" w:hAnsi="Courier New" w:cs="Courier New"/>
      <w:sz w:val="21"/>
      <w:szCs w:val="21"/>
    </w:rPr>
  </w:style>
  <w:style w:type="paragraph" w:styleId="4">
    <w:name w:val="Body Text Indent"/>
    <w:basedOn w:val="1"/>
    <w:next w:val="5"/>
    <w:unhideWhenUsed/>
    <w:qFormat/>
    <w:uiPriority w:val="99"/>
    <w:pPr>
      <w:widowControl/>
      <w:spacing w:after="120"/>
      <w:ind w:left="420" w:leftChars="200"/>
      <w:jc w:val="left"/>
    </w:pPr>
    <w:rPr>
      <w:rFonts w:ascii="宋体" w:hAnsi="宋体" w:eastAsia="宋体" w:cs="宋体"/>
      <w:kern w:val="0"/>
      <w:sz w:val="24"/>
    </w:rPr>
  </w:style>
  <w:style w:type="paragraph" w:styleId="5">
    <w:name w:val="Body Text First Indent 2"/>
    <w:basedOn w:val="4"/>
    <w:next w:val="1"/>
    <w:unhideWhenUsed/>
    <w:qFormat/>
    <w:uiPriority w:val="99"/>
    <w:pPr>
      <w:ind w:firstLine="420" w:firstLineChars="200"/>
    </w:pPr>
  </w:style>
  <w:style w:type="paragraph" w:styleId="6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footnote text"/>
    <w:basedOn w:val="1"/>
    <w:next w:val="5"/>
    <w:semiHidden/>
    <w:qFormat/>
    <w:uiPriority w:val="0"/>
    <w:pPr>
      <w:snapToGrid w:val="0"/>
      <w:jc w:val="left"/>
    </w:pPr>
    <w:rPr>
      <w:sz w:val="18"/>
      <w:szCs w:val="18"/>
    </w:rPr>
  </w:style>
  <w:style w:type="character" w:customStyle="1" w:styleId="12">
    <w:name w:val="页眉 Char"/>
    <w:basedOn w:val="11"/>
    <w:link w:val="8"/>
    <w:qFormat/>
    <w:uiPriority w:val="99"/>
    <w:rPr>
      <w:sz w:val="18"/>
      <w:szCs w:val="18"/>
    </w:rPr>
  </w:style>
  <w:style w:type="character" w:customStyle="1" w:styleId="13">
    <w:name w:val="页脚 Char"/>
    <w:basedOn w:val="11"/>
    <w:link w:val="7"/>
    <w:qFormat/>
    <w:uiPriority w:val="99"/>
    <w:rPr>
      <w:sz w:val="18"/>
      <w:szCs w:val="18"/>
    </w:rPr>
  </w:style>
  <w:style w:type="paragraph" w:customStyle="1" w:styleId="14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eastAsia="黑体" w:cs="黑体" w:hAnsiTheme="minorHAnsi"/>
      <w:color w:val="000000"/>
      <w:kern w:val="0"/>
      <w:sz w:val="24"/>
      <w:szCs w:val="24"/>
      <w:lang w:val="en-US" w:eastAsia="zh-CN" w:bidi="ar-SA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批注框文本 Char"/>
    <w:basedOn w:val="11"/>
    <w:link w:val="6"/>
    <w:semiHidden/>
    <w:qFormat/>
    <w:uiPriority w:val="99"/>
    <w:rPr>
      <w:sz w:val="18"/>
      <w:szCs w:val="18"/>
    </w:rPr>
  </w:style>
  <w:style w:type="character" w:customStyle="1" w:styleId="17">
    <w:name w:val="font01"/>
    <w:basedOn w:val="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8">
    <w:name w:val="font2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9">
    <w:name w:val="font1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19</Pages>
  <Words>7730</Words>
  <Characters>8296</Characters>
  <Lines>63</Lines>
  <Paragraphs>18</Paragraphs>
  <TotalTime>2</TotalTime>
  <ScaleCrop>false</ScaleCrop>
  <LinksUpToDate>false</LinksUpToDate>
  <CharactersWithSpaces>8377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2020-07-11T10:32:00Z</dcterms:created>
  <dc:creator>李航 null</dc:creator>
  <cp:lastModifiedBy>东隅桑榆</cp:lastModifiedBy>
  <cp:lastPrinted>2024-08-11T18:20:00Z</cp:lastPrinted>
  <dcterms:modified xsi:type="dcterms:W3CDTF">2026-10-12T08:43:57Z</dcterms:modified>
  <cp:revision>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98623D6660B449428EB8E073C6C952EA</vt:lpwstr>
  </property>
  <property fmtid="{D5CDD505-2E9C-101B-9397-08002B2CF9AE}" pid="4" name="KSOTemplateDocerSaveRecord">
    <vt:lpwstr>eyJoZGlkIjoiZjAzMmRmYjRjNWE2ZGQ3MWRmN2QxNmE0NjRmMDRiODQiLCJ1c2VySWQiOiIzMDQ1MDU0NTkifQ==</vt:lpwstr>
  </property>
</Properties>
</file>