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sz w:val="56"/>
          <w:szCs w:val="56"/>
        </w:rPr>
      </w:pPr>
    </w:p>
    <w:p>
      <w:pPr>
        <w:pStyle w:val="12"/>
        <w:jc w:val="center"/>
        <w:rPr>
          <w:sz w:val="56"/>
          <w:szCs w:val="56"/>
        </w:rPr>
      </w:pPr>
    </w:p>
    <w:p>
      <w:pPr>
        <w:pStyle w:val="12"/>
        <w:jc w:val="center"/>
        <w:rPr>
          <w:sz w:val="84"/>
          <w:szCs w:val="84"/>
        </w:rPr>
      </w:pPr>
    </w:p>
    <w:p>
      <w:pPr>
        <w:pStyle w:val="12"/>
        <w:jc w:val="center"/>
        <w:rPr>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2"/>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中共岳阳市委社会工作部</w: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2"/>
        <w:jc w:val="center"/>
        <w:rPr>
          <w:rFonts w:hint="eastAsia" w:ascii="方正小标宋_GBK" w:hAnsi="方正小标宋_GBK" w:eastAsia="方正小标宋_GBK" w:cs="方正小标宋_GBK"/>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spacing w:line="540" w:lineRule="exact"/>
        <w:jc w:val="center"/>
        <w:rPr>
          <w:sz w:val="56"/>
          <w:szCs w:val="56"/>
        </w:rPr>
      </w:pPr>
    </w:p>
    <w:p>
      <w:pPr>
        <w:pStyle w:val="12"/>
        <w:spacing w:line="500" w:lineRule="exact"/>
        <w:jc w:val="both"/>
        <w:rPr>
          <w:b/>
          <w:sz w:val="36"/>
          <w:szCs w:val="28"/>
        </w:rPr>
      </w:pPr>
    </w:p>
    <w:p>
      <w:pPr>
        <w:pStyle w:val="12"/>
        <w:spacing w:line="500" w:lineRule="exact"/>
        <w:jc w:val="center"/>
        <w:rPr>
          <w:b/>
          <w:sz w:val="36"/>
          <w:szCs w:val="28"/>
        </w:rPr>
      </w:pPr>
      <w:r>
        <w:rPr>
          <w:rFonts w:hint="eastAsia"/>
          <w:b/>
          <w:sz w:val="36"/>
          <w:szCs w:val="28"/>
        </w:rPr>
        <w:t>目录</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中共岳阳市委社会工作部</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br w:type="page"/>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2"/>
        <w:jc w:val="center"/>
        <w:rPr>
          <w:rFonts w:hint="eastAsia" w:ascii="方正小标宋_GBK" w:hAnsi="方正小标宋_GBK" w:eastAsia="方正小标宋_GBK" w:cs="方正小标宋_GBK"/>
          <w:sz w:val="84"/>
          <w:szCs w:val="84"/>
        </w:rPr>
      </w:pPr>
    </w:p>
    <w:p>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中共岳阳市委社会工作部</w:t>
      </w:r>
    </w:p>
    <w:p>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概况</w:t>
      </w:r>
    </w:p>
    <w:p>
      <w:pPr>
        <w:pStyle w:val="2"/>
        <w:rPr>
          <w:rFonts w:hint="eastAsia" w:ascii="方正小标宋_GBK" w:hAnsi="方正小标宋_GBK" w:eastAsia="方正小标宋_GBK" w:cs="方正小标宋_GBK"/>
          <w:sz w:val="84"/>
          <w:szCs w:val="84"/>
        </w:rPr>
      </w:pPr>
    </w:p>
    <w:p>
      <w:pPr>
        <w:pStyle w:val="3"/>
        <w:rPr>
          <w:rFonts w:hint="eastAsia" w:ascii="方正小标宋_GBK" w:hAnsi="方正小标宋_GBK" w:eastAsia="方正小标宋_GBK" w:cs="方正小标宋_GBK"/>
          <w:sz w:val="84"/>
          <w:szCs w:val="84"/>
        </w:rPr>
      </w:pPr>
    </w:p>
    <w:p>
      <w:pPr>
        <w:pStyle w:val="3"/>
        <w:ind w:left="0" w:leftChars="0" w:firstLine="0" w:firstLineChars="0"/>
        <w:rPr>
          <w:rFonts w:hint="eastAsia" w:ascii="方正小标宋_GBK" w:hAnsi="方正小标宋_GBK" w:eastAsia="方正小标宋_GBK" w:cs="方正小标宋_GBK"/>
          <w:sz w:val="84"/>
          <w:szCs w:val="84"/>
        </w:rPr>
      </w:pPr>
    </w:p>
    <w:p>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（一）</w:t>
      </w:r>
      <w:r>
        <w:rPr>
          <w:rFonts w:hint="eastAsia" w:ascii="Times New Roman" w:hAnsi="Times New Roman" w:eastAsia="仿宋_GB2312" w:cs="仿宋_GB2312"/>
          <w:sz w:val="32"/>
          <w:szCs w:val="32"/>
          <w:lang w:eastAsia="zh-CN"/>
        </w:rPr>
        <w:t>研究相关理论、政策和规划，拟订相关地方性法规、规章草案和其他规范性文件并组织实施。深入调查研究，及时向市委报告工作情况并提出建议。指导县市区党委社会工作部门开展工作。</w:t>
      </w:r>
    </w:p>
    <w:p>
      <w:pPr>
        <w:keepNext w:val="0"/>
        <w:keepLines w:val="0"/>
        <w:pageBreakBefore w:val="0"/>
        <w:widowControl w:val="0"/>
        <w:kinsoku/>
        <w:wordWrap/>
        <w:overflowPunct/>
        <w:topLinePunct w:val="0"/>
        <w:autoSpaceDE/>
        <w:autoSpaceDN/>
        <w:bidi w:val="0"/>
        <w:adjustRightIn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（二）</w:t>
      </w:r>
      <w:r>
        <w:rPr>
          <w:rFonts w:hint="eastAsia" w:ascii="Times New Roman" w:hAnsi="Times New Roman" w:eastAsia="仿宋_GB2312" w:cs="仿宋_GB2312"/>
          <w:sz w:val="32"/>
          <w:szCs w:val="32"/>
          <w:lang w:eastAsia="zh-CN"/>
        </w:rPr>
        <w:t>统筹指导群众利益协调、诉求表达、矛盾调处、权益保障等人民信访工作，协调解决人民群众急难愁盼的重大问题。指导人民建议征集工作，负责征集和办理公民、法人及其他组织提出的意见建议，向市委、市人民政府及时反映公民、法人及其他组织提出的有关重要意见建议。指导、规范和监督全市民意反映渠道的运行管理工作。</w:t>
      </w:r>
    </w:p>
    <w:p>
      <w:pPr>
        <w:keepNext w:val="0"/>
        <w:keepLines w:val="0"/>
        <w:pageBreakBefore w:val="0"/>
        <w:widowControl w:val="0"/>
        <w:kinsoku/>
        <w:wordWrap/>
        <w:overflowPunct/>
        <w:topLinePunct w:val="0"/>
        <w:autoSpaceDE/>
        <w:autoSpaceDN/>
        <w:bidi w:val="0"/>
        <w:adjustRightIn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（三）统筹推进党建引领基层治理和基层政权建设，协调推进城乡社区治理体系和治理能力建设，推动基层民主政治建设，指导、监督基层群众自治制度的有效实施，健全基层群众自治机制。</w:t>
      </w:r>
    </w:p>
    <w:p>
      <w:pPr>
        <w:keepNext w:val="0"/>
        <w:keepLines w:val="0"/>
        <w:pageBreakBefore w:val="0"/>
        <w:widowControl w:val="0"/>
        <w:kinsoku/>
        <w:wordWrap/>
        <w:overflowPunct/>
        <w:topLinePunct w:val="0"/>
        <w:autoSpaceDE/>
        <w:autoSpaceDN/>
        <w:bidi w:val="0"/>
        <w:adjustRightInd/>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四）指导混合所有制企业、非公有制企业和新经济组织、新社会组织、新就业群体党建工作，指导协调相关企业单位、社会组织、就业群体中党员的教育、管理、监督和服务工作，研究完善相关领域群体利益协调机制。</w:t>
      </w:r>
    </w:p>
    <w:p>
      <w:pPr>
        <w:keepNext w:val="0"/>
        <w:keepLines w:val="0"/>
        <w:pageBreakBefore w:val="0"/>
        <w:widowControl w:val="0"/>
        <w:kinsoku/>
        <w:wordWrap/>
        <w:overflowPunct/>
        <w:topLinePunct w:val="0"/>
        <w:autoSpaceDE/>
        <w:autoSpaceDN/>
        <w:bidi w:val="0"/>
        <w:adjustRightInd/>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（五）指导全市性社会组织党建工作，统一领导全市行业协会商会党的工作，协调推动行业协会商会深化改革和转型发展。</w:t>
      </w:r>
    </w:p>
    <w:p>
      <w:pPr>
        <w:keepNext w:val="0"/>
        <w:keepLines w:val="0"/>
        <w:pageBreakBefore w:val="0"/>
        <w:widowControl w:val="0"/>
        <w:kinsoku/>
        <w:wordWrap/>
        <w:overflowPunct/>
        <w:topLinePunct w:val="0"/>
        <w:autoSpaceDE/>
        <w:autoSpaceDN/>
        <w:bidi w:val="0"/>
        <w:adjustRightInd/>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（六）负责全市志愿服务工作的统筹规划、协调指导、督促检查。指导社会工作人才队伍建设。</w:t>
      </w:r>
    </w:p>
    <w:p>
      <w:pPr>
        <w:keepNext w:val="0"/>
        <w:keepLines w:val="0"/>
        <w:pageBreakBefore w:val="0"/>
        <w:widowControl w:val="0"/>
        <w:kinsoku/>
        <w:wordWrap/>
        <w:overflowPunct/>
        <w:topLinePunct w:val="0"/>
        <w:autoSpaceDE/>
        <w:autoSpaceDN/>
        <w:bidi w:val="0"/>
        <w:adjustRightInd/>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（七）完成市委交办的其他任务。</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中共岳阳市委社会工作部</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eastAsia="zh-CN"/>
        </w:rPr>
        <w:t>综合科、基层治理和基层政权建设科、两企三新党建科、行业协会商会工作科、人民建议征集科、志愿服务和社会工作服务科。</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（二）决算单位构成。本单位无独立核算的下属单位，202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年度部门决算汇总公开单位仅包括</w:t>
      </w:r>
      <w:r>
        <w:rPr>
          <w:rFonts w:hint="eastAsia" w:ascii="Times New Roman" w:hAnsi="Times New Roman" w:eastAsia="仿宋_GB2312" w:cs="仿宋_GB2312"/>
          <w:bCs/>
          <w:kern w:val="0"/>
          <w:sz w:val="32"/>
          <w:szCs w:val="32"/>
          <w:lang w:eastAsia="zh-CN"/>
        </w:rPr>
        <w:t>中共岳阳市委社会工作部</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仿宋_GB2312" w:hAnsi="仿宋_GB2312" w:eastAsia="仿宋_GB2312" w:cs="仿宋_GB2312"/>
          <w:b w:val="0"/>
          <w:bCs w:val="0"/>
          <w:sz w:val="72"/>
          <w:szCs w:val="72"/>
          <w:lang w:eastAsia="zh-CN"/>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436.92</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234.28</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115.61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我单位为</w:t>
      </w:r>
      <w:r>
        <w:rPr>
          <w:rFonts w:hint="eastAsia" w:ascii="仿宋_GB2312" w:hAnsi="仿宋_GB2312" w:eastAsia="仿宋_GB2312" w:cs="仿宋_GB2312"/>
          <w:sz w:val="32"/>
          <w:szCs w:val="32"/>
          <w:lang w:val="en-US" w:eastAsia="zh-CN"/>
        </w:rPr>
        <w:t>2024年5月新成立的单位，上年收支非全年数据。</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436.92</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436.92</w:t>
      </w:r>
      <w:r>
        <w:rPr>
          <w:rFonts w:hint="eastAsia" w:ascii="仿宋_GB2312" w:hAnsi="仿宋_GB2312" w:eastAsia="仿宋_GB2312" w:cs="仿宋_GB2312"/>
          <w:sz w:val="32"/>
          <w:szCs w:val="32"/>
        </w:rPr>
        <w:t>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436.92</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338.86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77.56</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98.06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22.44</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431.32</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228.68</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112.85</w:t>
      </w:r>
      <w:r>
        <w:rPr>
          <w:rFonts w:hint="eastAsia" w:ascii="仿宋_GB2312" w:hAnsi="仿宋_GB2312" w:eastAsia="仿宋_GB2312" w:cs="仿宋_GB2312"/>
          <w:sz w:val="32"/>
          <w:szCs w:val="32"/>
        </w:rPr>
        <w:t>%，主要是因为我单位为2024年5月新成立的单位，上年收支非全年数据。</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431.32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98.72</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228.68</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112.85</w:t>
      </w:r>
      <w:r>
        <w:rPr>
          <w:rFonts w:hint="eastAsia" w:ascii="仿宋_GB2312" w:hAnsi="仿宋_GB2312" w:eastAsia="仿宋_GB2312" w:cs="仿宋_GB2312"/>
          <w:sz w:val="32"/>
          <w:szCs w:val="32"/>
        </w:rPr>
        <w:t>%，主要是因为我单位为2024年5月新成立的单位，上年收支非全年数据。</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431.32</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368.04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85.33</w:t>
      </w:r>
      <w:r>
        <w:rPr>
          <w:rFonts w:hint="eastAsia" w:ascii="仿宋_GB2312" w:hAnsi="仿宋_GB2312" w:eastAsia="仿宋_GB2312" w:cs="仿宋_GB2312"/>
          <w:sz w:val="32"/>
          <w:szCs w:val="32"/>
        </w:rPr>
        <w:t>%；公共安全（类）支出</w:t>
      </w:r>
      <w:r>
        <w:rPr>
          <w:rFonts w:hint="eastAsia" w:ascii="仿宋_GB2312" w:hAnsi="仿宋_GB2312" w:eastAsia="仿宋_GB2312" w:cs="仿宋_GB2312"/>
          <w:sz w:val="32"/>
          <w:szCs w:val="32"/>
          <w:lang w:val="en-US" w:eastAsia="zh-CN"/>
        </w:rPr>
        <w:t>7.13</w:t>
      </w:r>
      <w:r>
        <w:rPr>
          <w:rFonts w:hint="eastAsia" w:ascii="仿宋_GB2312" w:hAnsi="仿宋_GB2312" w:eastAsia="仿宋_GB2312" w:cs="仿宋_GB2312"/>
          <w:sz w:val="32"/>
          <w:szCs w:val="32"/>
        </w:rPr>
        <w:t>万元，占1.</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%；社会保障和就业（类）支出</w:t>
      </w:r>
      <w:r>
        <w:rPr>
          <w:rFonts w:hint="eastAsia" w:ascii="仿宋_GB2312" w:hAnsi="仿宋_GB2312" w:eastAsia="仿宋_GB2312" w:cs="仿宋_GB2312"/>
          <w:sz w:val="32"/>
          <w:szCs w:val="32"/>
          <w:lang w:val="en-US" w:eastAsia="zh-CN"/>
        </w:rPr>
        <w:t>24.46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5.67</w:t>
      </w:r>
      <w:r>
        <w:rPr>
          <w:rFonts w:hint="eastAsia" w:ascii="仿宋_GB2312" w:hAnsi="仿宋_GB2312" w:eastAsia="仿宋_GB2312" w:cs="仿宋_GB2312"/>
          <w:sz w:val="32"/>
          <w:szCs w:val="32"/>
        </w:rPr>
        <w:t>%；卫生健康（类）支出</w:t>
      </w:r>
      <w:r>
        <w:rPr>
          <w:rFonts w:hint="eastAsia" w:ascii="仿宋_GB2312" w:hAnsi="仿宋_GB2312" w:eastAsia="仿宋_GB2312" w:cs="仿宋_GB2312"/>
          <w:sz w:val="32"/>
          <w:szCs w:val="32"/>
          <w:lang w:val="en-US" w:eastAsia="zh-CN"/>
        </w:rPr>
        <w:t>14.06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3.26</w:t>
      </w:r>
      <w:r>
        <w:rPr>
          <w:rFonts w:hint="eastAsia" w:ascii="仿宋_GB2312" w:hAnsi="仿宋_GB2312" w:eastAsia="仿宋_GB2312" w:cs="仿宋_GB2312"/>
          <w:sz w:val="32"/>
          <w:szCs w:val="32"/>
        </w:rPr>
        <w:t>%；住房保障（类）支出</w:t>
      </w:r>
      <w:r>
        <w:rPr>
          <w:rFonts w:hint="eastAsia" w:ascii="仿宋_GB2312" w:hAnsi="仿宋_GB2312" w:eastAsia="仿宋_GB2312" w:cs="仿宋_GB2312"/>
          <w:sz w:val="32"/>
          <w:szCs w:val="32"/>
          <w:lang w:val="en-US" w:eastAsia="zh-CN"/>
        </w:rPr>
        <w:t>17.64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4.09</w:t>
      </w:r>
      <w:r>
        <w:rPr>
          <w:rFonts w:hint="eastAsia" w:ascii="仿宋_GB2312" w:hAnsi="仿宋_GB2312" w:eastAsia="仿宋_GB2312" w:cs="仿宋_GB2312"/>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431.32</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431.32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1、一般公共服务（类）政府办公厅（室）及相关机构事务（款）行政运行（项）。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1.41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2、一般公共服务（类）党委办公厅（室）及相关机构事务（款）行政运行（项）。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38.77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38.77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3、一般公共服务（类）社会工作事务（款）行政运行（项）。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年初预算为226.21万元，支出决算为212.87万元，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94.10</w:t>
      </w:r>
      <w:r>
        <w:rPr>
          <w:rFonts w:hint="eastAsia" w:ascii="仿宋_GB2312" w:hAnsi="仿宋_GB2312" w:eastAsia="仿宋_GB2312" w:cs="仿宋_GB2312"/>
          <w:sz w:val="32"/>
          <w:szCs w:val="32"/>
        </w:rPr>
        <w:t>%，决算数小于年初预算数的主要原因是：我单位严格按预算执行决算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4、一般公共服务（类）社会工作事务（款）一般行政管理事务（项）。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年初预算为24.87万元，支出决算为24.87万元，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5、一般公共服务（类）社会工作事务（款）其他社会工作事务支出（项）。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年初预算为102.12万元，支出决算为90.12万元，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88.25</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6、公共安全支出（类）其他公共安全支出（款）其他公共安全支出（项）。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年初预算为7.13万元，支出决算为7.13万元，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7、社会保障和就业支出（类）行政事业单位养老支出（款）机关事业单位基本养老保险缴费支出（项）。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年初预算为24.38万元，支出决算为24.38万元，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8、社会保障和就业支出（类）其他社会保障和就业支出（款）其他社会保障和就业支出（项）。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年初预算为0.08万元，支出决算为0.08万元，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9、卫生健康支出（类）行政事业单位医疗（款）行政单位医疗（项）。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年初预算为9.40万元，支出决算为9.40万元，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10、卫生健康支出（类）行政事业单位医疗（款）公务员医疗补助（项）。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年初预算为4.66万元，支出决算为4.66万元，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11、住房保障支出（类）住房改革支出（款）住房公积金（项）。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年初预算为17.64万元，支出决算为17.64万元，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年初预算数的主要原因是：我单位严格按预算执行决算</w:t>
      </w:r>
      <w:r>
        <w:rPr>
          <w:rFonts w:hint="eastAsia" w:ascii="仿宋_GB2312" w:hAnsi="仿宋_GB2312" w:eastAsia="仿宋_GB2312" w:cs="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338.85</w:t>
      </w:r>
      <w:r>
        <w:rPr>
          <w:rFonts w:hint="eastAsia" w:ascii="仿宋_GB2312" w:hAnsi="仿宋_GB2312" w:eastAsia="仿宋_GB2312" w:cs="仿宋_GB2312"/>
          <w:sz w:val="32"/>
          <w:szCs w:val="32"/>
        </w:rPr>
        <w:t>万元，其中：</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297.03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87.66</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、绩效工资、机关事业单位基本养老保险缴费、职工基本医疗保险缴费、其他社会保障缴费、住房公积金、生活补助。</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41.82</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12.34</w:t>
      </w:r>
      <w:r>
        <w:rPr>
          <w:rFonts w:hint="eastAsia" w:ascii="仿宋_GB2312" w:hAnsi="仿宋_GB2312" w:eastAsia="仿宋_GB2312" w:cs="仿宋_GB2312"/>
          <w:sz w:val="32"/>
          <w:szCs w:val="32"/>
        </w:rPr>
        <w:t>%，主要包括办公费、印刷费、</w:t>
      </w:r>
      <w:r>
        <w:rPr>
          <w:rFonts w:hint="eastAsia" w:ascii="仿宋_GB2312" w:hAnsi="仿宋_GB2312" w:eastAsia="仿宋_GB2312" w:cs="仿宋_GB2312"/>
          <w:sz w:val="32"/>
          <w:szCs w:val="32"/>
          <w:lang w:eastAsia="zh-CN"/>
        </w:rPr>
        <w:t>水费、电费、邮电费、物业管理费、差旅费、维修（护）费、会议费、培训费、劳务费、工会经费、公务用车运行维护费、其他交通费用</w:t>
      </w:r>
      <w:r>
        <w:rPr>
          <w:rFonts w:hint="eastAsia" w:ascii="仿宋_GB2312" w:hAnsi="仿宋_GB2312" w:eastAsia="仿宋_GB2312" w:cs="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highlight w:val="none"/>
          <w:lang w:val="en-US" w:eastAsia="zh-CN" w:bidi="ar-SA"/>
        </w:rPr>
      </w:pPr>
      <w:r>
        <w:rPr>
          <w:rFonts w:hint="eastAsia" w:ascii="仿宋_GB2312" w:hAnsi="仿宋_GB2312" w:eastAsia="仿宋_GB2312" w:cs="仿宋_GB2312"/>
          <w:sz w:val="32"/>
          <w:szCs w:val="32"/>
          <w:lang w:eastAsia="zh-CN"/>
        </w:rPr>
        <w:t>2025年度政府性基金预算财政拨款收入0万元；年初结转和结余0万元；支出0万元，其中基本支出0万元，项目支出0万元；年末结转和结余0万元。</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2025年度国有资本经营预算财政拨款收入0万元；年初结转和结余0万；支出0万元，其中：基本支出0万元，项目支出0万元；年末结转和结余0万元。</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3.50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60.29</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我单位严格按预算执行决算</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我单位</w:t>
      </w:r>
      <w:r>
        <w:rPr>
          <w:rFonts w:hint="eastAsia" w:ascii="Times New Roman" w:hAnsi="Times New Roman" w:eastAsia="仿宋_GB2312" w:cs="Times New Roman"/>
          <w:sz w:val="32"/>
          <w:szCs w:val="32"/>
          <w:lang w:val="en-US" w:eastAsia="zh-CN"/>
        </w:rPr>
        <w:t>2024年受“三公”经费支付限制，未支付“三公”经费，本年正常支付</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因公出国（境）费支出预算为0万元，支出决算为0万元，决算数等于预算数，主要原因是我单位严格按预算执行决算；与上年一致，无增减变动，主要原因是未安排因公出国（境）活动。2025年度安排因公出国（境）团组0个，累计0人次。</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70.33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公务用车购置费支出预算为0万元，支出决算为0万元，决算数等于预算数，主要原因是我单位严格按预算执行决算；与上年一致，无增减变动，主要原因是两年均未购置公务用车。本单位更新公务用车0辆。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万元，</w:t>
      </w:r>
    </w:p>
    <w:p>
      <w:pPr>
        <w:pStyle w:val="12"/>
        <w:overflowPunct w:val="0"/>
        <w:autoSpaceDE/>
        <w:autoSpaceDN/>
        <w:spacing w:line="600" w:lineRule="exact"/>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公务用车维修费、高速通行费、油费、保险费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70.33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我单位严格按预算执行决算，做到不超预算</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我单位2024年受“三公”经费支付限制，未支付“三公”经费，本年正常支付</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公务接待费支出预算为0.50万元，支出决算为0万元，决算数小于预算数，主要原因是严格执行中央八项规定；与上年一致，无增减变动，主要原因是按有关政策厉行节约，严控公务接待支出。2025年度共接待来访团组0个、来宾0人次。</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bookmarkStart w:id="0" w:name="_GoBack"/>
      <w:r>
        <w:rPr>
          <w:rFonts w:hint="eastAsia" w:ascii="黑体" w:hAnsi="黑体" w:eastAsia="黑体" w:cs="黑体"/>
          <w:b w:val="0"/>
          <w:bCs/>
          <w:sz w:val="32"/>
          <w:szCs w:val="32"/>
          <w:highlight w:val="none"/>
          <w:lang w:eastAsia="zh-CN"/>
        </w:rPr>
        <w:t>十</w:t>
      </w:r>
      <w:r>
        <w:rPr>
          <w:rFonts w:hint="eastAsia" w:ascii="黑体" w:hAnsi="黑体" w:eastAsia="黑体" w:cs="黑体"/>
          <w:b w:val="0"/>
          <w:bCs/>
          <w:sz w:val="32"/>
          <w:szCs w:val="32"/>
          <w:highlight w:val="none"/>
        </w:rPr>
        <w:t>、关于机关运行经费支出说明</w:t>
      </w:r>
    </w:p>
    <w:bookmarkEnd w:id="0"/>
    <w:p>
      <w:pPr>
        <w:pStyle w:val="12"/>
        <w:ind w:firstLine="640" w:firstLineChars="200"/>
        <w:rPr>
          <w:rFonts w:hint="eastAsia" w:ascii="Times New Roman" w:hAnsi="Times New Roman" w:eastAsia="仿宋_GB2312"/>
          <w:sz w:val="32"/>
          <w:szCs w:val="32"/>
          <w:highlight w:val="none"/>
          <w:lang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41.82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比年初预算数减少</w:t>
      </w:r>
      <w:r>
        <w:rPr>
          <w:rFonts w:hint="eastAsia" w:ascii="仿宋_GB2312" w:hAnsi="仿宋_GB2312" w:eastAsia="仿宋_GB2312" w:cs="仿宋_GB2312"/>
          <w:sz w:val="32"/>
          <w:szCs w:val="32"/>
          <w:highlight w:val="none"/>
          <w:lang w:val="en-US" w:eastAsia="zh-CN"/>
        </w:rPr>
        <w:t>6.18</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12.88</w:t>
      </w:r>
      <w:r>
        <w:rPr>
          <w:rFonts w:hint="eastAsia" w:ascii="仿宋_GB2312" w:hAnsi="仿宋_GB2312" w:eastAsia="仿宋_GB2312" w:cs="仿宋_GB2312"/>
          <w:sz w:val="32"/>
          <w:szCs w:val="32"/>
          <w:highlight w:val="none"/>
        </w:rPr>
        <w:t>%。主要原因是：</w:t>
      </w:r>
      <w:r>
        <w:rPr>
          <w:rFonts w:hint="eastAsia" w:ascii="Times New Roman" w:hAnsi="Times New Roman" w:eastAsia="仿宋_GB2312" w:cs="Times New Roman"/>
          <w:sz w:val="32"/>
          <w:szCs w:val="32"/>
        </w:rPr>
        <w:t>我单位严格按预算执行决算</w:t>
      </w:r>
      <w:r>
        <w:rPr>
          <w:rFonts w:hint="eastAsia" w:ascii="Times New Roman" w:hAnsi="Times New Roman" w:eastAsia="仿宋_GB2312" w:cs="Times New Roman"/>
          <w:sz w:val="32"/>
          <w:szCs w:val="32"/>
          <w:lang w:eastAsia="zh-CN"/>
        </w:rPr>
        <w:t>，严格落实过“紧日子”要求。</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十</w:t>
      </w:r>
      <w:r>
        <w:rPr>
          <w:rFonts w:hint="eastAsia" w:hAnsi="黑体" w:cs="黑体"/>
          <w:b w:val="0"/>
          <w:bCs/>
          <w:sz w:val="32"/>
          <w:szCs w:val="32"/>
          <w:highlight w:val="none"/>
          <w:lang w:eastAsia="zh-CN"/>
        </w:rPr>
        <w:t>一</w:t>
      </w:r>
      <w:r>
        <w:rPr>
          <w:rFonts w:hint="eastAsia" w:ascii="黑体" w:hAnsi="黑体" w:eastAsia="黑体" w:cs="黑体"/>
          <w:b w:val="0"/>
          <w:bCs/>
          <w:sz w:val="32"/>
          <w:szCs w:val="32"/>
          <w:highlight w:val="none"/>
        </w:rPr>
        <w:t>、一般性支出情况说明</w:t>
      </w:r>
    </w:p>
    <w:p>
      <w:pPr>
        <w:pStyle w:val="12"/>
        <w:ind w:firstLine="640" w:firstLineChars="200"/>
        <w:jc w:val="both"/>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年度，会议费年初预算2万元，支出决算为1.97万元，</w:t>
      </w:r>
      <w:r>
        <w:rPr>
          <w:rFonts w:hint="eastAsia" w:ascii="仿宋_GB2312" w:hAnsi="仿宋_GB2312" w:eastAsia="仿宋_GB2312" w:cs="仿宋_GB2312"/>
          <w:sz w:val="32"/>
          <w:szCs w:val="32"/>
          <w:highlight w:val="none"/>
          <w:lang w:val="en-US" w:eastAsia="zh-CN"/>
        </w:rPr>
        <w:t>完成年初预算的98.5%。用于召开岳阳市“人人当好东道主，个个展示新形象”全民志愿服务活动部署会议，</w:t>
      </w:r>
      <w:r>
        <w:rPr>
          <w:rFonts w:hint="eastAsia" w:ascii="仿宋_GB2312" w:hAnsi="仿宋_GB2312" w:eastAsia="仿宋_GB2312" w:cs="仿宋_GB2312"/>
          <w:sz w:val="32"/>
          <w:szCs w:val="32"/>
          <w:highlight w:val="none"/>
        </w:rPr>
        <w:t>人数</w:t>
      </w:r>
      <w:r>
        <w:rPr>
          <w:rFonts w:hint="eastAsia" w:ascii="仿宋_GB2312" w:hAnsi="仿宋_GB2312" w:eastAsia="仿宋_GB2312" w:cs="仿宋_GB2312"/>
          <w:sz w:val="32"/>
          <w:szCs w:val="32"/>
          <w:highlight w:val="none"/>
          <w:lang w:val="en-US" w:eastAsia="zh-CN"/>
        </w:rPr>
        <w:t>63</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eastAsia="zh-CN"/>
        </w:rPr>
        <w:t>部署旅发大会期间志愿服务工作；召开“群英断是非”工作法现场推进会暨研讨会议，人数</w:t>
      </w:r>
      <w:r>
        <w:rPr>
          <w:rFonts w:hint="eastAsia" w:ascii="仿宋_GB2312" w:hAnsi="仿宋_GB2312" w:eastAsia="仿宋_GB2312" w:cs="仿宋_GB2312"/>
          <w:sz w:val="32"/>
          <w:szCs w:val="32"/>
          <w:highlight w:val="none"/>
          <w:lang w:val="en-US" w:eastAsia="zh-CN"/>
        </w:rPr>
        <w:t>92</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eastAsia="zh-CN"/>
        </w:rPr>
        <w:t>推动“群英断是非”工作法全域推广工作；召开两新工委相关工作会议，人数</w:t>
      </w:r>
      <w:r>
        <w:rPr>
          <w:rFonts w:hint="eastAsia" w:ascii="仿宋_GB2312" w:hAnsi="仿宋_GB2312" w:eastAsia="仿宋_GB2312" w:cs="仿宋_GB2312"/>
          <w:sz w:val="32"/>
          <w:szCs w:val="32"/>
          <w:highlight w:val="none"/>
          <w:lang w:val="en-US" w:eastAsia="zh-CN"/>
        </w:rPr>
        <w:t>75</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val="en-US" w:eastAsia="zh-CN"/>
        </w:rPr>
        <w:t>2024年度</w:t>
      </w:r>
      <w:r>
        <w:rPr>
          <w:rFonts w:hint="eastAsia" w:ascii="仿宋_GB2312" w:hAnsi="仿宋_GB2312" w:eastAsia="仿宋_GB2312" w:cs="仿宋_GB2312"/>
          <w:sz w:val="32"/>
          <w:szCs w:val="32"/>
          <w:highlight w:val="none"/>
          <w:lang w:eastAsia="zh-CN"/>
        </w:rPr>
        <w:t>市级综合（行业）党委书记抓两新党建工作述职评议及部署</w:t>
      </w:r>
      <w:r>
        <w:rPr>
          <w:rFonts w:hint="eastAsia" w:ascii="仿宋_GB2312" w:hAnsi="仿宋_GB2312" w:eastAsia="仿宋_GB2312" w:cs="仿宋_GB2312"/>
          <w:sz w:val="32"/>
          <w:szCs w:val="32"/>
          <w:highlight w:val="none"/>
          <w:lang w:val="en-US" w:eastAsia="zh-CN"/>
        </w:rPr>
        <w:t>2025年市委两新工委工作</w:t>
      </w:r>
      <w:r>
        <w:rPr>
          <w:rFonts w:hint="eastAsia" w:ascii="仿宋_GB2312" w:hAnsi="仿宋_GB2312" w:eastAsia="仿宋_GB2312" w:cs="仿宋_GB2312"/>
          <w:sz w:val="32"/>
          <w:szCs w:val="32"/>
          <w:highlight w:val="none"/>
          <w:lang w:eastAsia="zh-CN"/>
        </w:rPr>
        <w:t>；召开</w:t>
      </w:r>
      <w:r>
        <w:rPr>
          <w:rFonts w:hint="eastAsia" w:ascii="仿宋_GB2312" w:hAnsi="仿宋_GB2312" w:eastAsia="仿宋_GB2312" w:cs="仿宋_GB2312"/>
          <w:sz w:val="32"/>
          <w:szCs w:val="32"/>
          <w:highlight w:val="none"/>
          <w:lang w:val="en-US" w:eastAsia="zh-CN"/>
        </w:rPr>
        <w:t>10.21工作汇报会议</w:t>
      </w:r>
      <w:r>
        <w:rPr>
          <w:rFonts w:hint="eastAsia" w:ascii="仿宋_GB2312" w:hAnsi="仿宋_GB2312" w:eastAsia="仿宋_GB2312" w:cs="仿宋_GB2312"/>
          <w:sz w:val="32"/>
          <w:szCs w:val="32"/>
          <w:highlight w:val="none"/>
          <w:lang w:eastAsia="zh-CN"/>
        </w:rPr>
        <w:t>，人数</w:t>
      </w:r>
      <w:r>
        <w:rPr>
          <w:rFonts w:hint="default" w:ascii="仿宋_GB2312" w:hAnsi="仿宋_GB2312" w:eastAsia="仿宋_GB2312" w:cs="仿宋_GB2312"/>
          <w:sz w:val="32"/>
          <w:szCs w:val="32"/>
          <w:highlight w:val="none"/>
          <w:lang w:val="en"/>
        </w:rPr>
        <w:t>20</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eastAsia="zh-CN"/>
        </w:rPr>
        <w:t>市委主要领导听取社会工作部门有关职能和运行机制情况、政法机关领导干部交流情况。</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培训费年初预算2万元，支出决算为2万元，完成年初预算的100%。</w:t>
      </w:r>
      <w:r>
        <w:rPr>
          <w:rFonts w:hint="eastAsia" w:ascii="仿宋_GB2312" w:hAnsi="仿宋_GB2312" w:eastAsia="仿宋_GB2312" w:cs="仿宋_GB2312"/>
          <w:color w:val="000000"/>
          <w:kern w:val="0"/>
          <w:sz w:val="32"/>
          <w:szCs w:val="32"/>
          <w:highlight w:val="none"/>
          <w:lang w:val="en-US" w:eastAsia="zh-CN" w:bidi="ar-SA"/>
        </w:rPr>
        <w:t>用于开展新兴领域党员发展对象培训，人数</w:t>
      </w:r>
      <w:r>
        <w:rPr>
          <w:rFonts w:hint="default" w:ascii="仿宋_GB2312" w:hAnsi="仿宋_GB2312" w:eastAsia="仿宋_GB2312" w:cs="仿宋_GB2312"/>
          <w:color w:val="000000"/>
          <w:kern w:val="0"/>
          <w:sz w:val="32"/>
          <w:szCs w:val="32"/>
          <w:highlight w:val="none"/>
          <w:lang w:val="en" w:eastAsia="zh-CN" w:bidi="ar-SA"/>
        </w:rPr>
        <w:t>107</w:t>
      </w:r>
      <w:r>
        <w:rPr>
          <w:rFonts w:hint="eastAsia" w:ascii="仿宋_GB2312" w:hAnsi="仿宋_GB2312" w:eastAsia="仿宋_GB2312" w:cs="仿宋_GB2312"/>
          <w:color w:val="000000"/>
          <w:kern w:val="0"/>
          <w:sz w:val="32"/>
          <w:szCs w:val="32"/>
          <w:highlight w:val="none"/>
          <w:lang w:val="en-US" w:eastAsia="zh-CN" w:bidi="ar-SA"/>
        </w:rPr>
        <w:t>人，内容为组织新兴领域发展对象学习党的理论知识。</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本单位无举办节庆、晚会、论坛、赛事等活动的预算和支出决算数。</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83.33</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80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95</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92</w:t>
      </w:r>
      <w:r>
        <w:rPr>
          <w:rFonts w:hint="eastAsia" w:ascii="仿宋_GB2312" w:hAnsi="仿宋_GB2312" w:eastAsia="仿宋_GB2312" w:cs="仿宋_GB2312"/>
          <w:color w:val="auto"/>
          <w:sz w:val="32"/>
          <w:szCs w:val="32"/>
        </w:rPr>
        <w:t>%。</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w:t>
      </w:r>
      <w:r>
        <w:rPr>
          <w:rFonts w:hint="eastAsia" w:ascii="黑体" w:hAnsi="黑体" w:eastAsia="黑体" w:cs="黑体"/>
          <w:b w:val="0"/>
          <w:bCs/>
          <w:color w:val="auto"/>
          <w:sz w:val="32"/>
          <w:szCs w:val="32"/>
          <w:highlight w:val="none"/>
          <w:lang w:eastAsia="zh-CN"/>
        </w:rPr>
        <w:t>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436.92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436.92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lang w:eastAsia="zh-CN"/>
        </w:rPr>
        <w:t>社会工作专项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日常工作经费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98.06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kern w:val="0"/>
          <w:sz w:val="32"/>
          <w:szCs w:val="32"/>
        </w:rPr>
        <w:t>本单位及所属单位本年度未新增重大政策和重大项目，所以无事前绩效评估开展情况。</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462.26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436.92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94.52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98.40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严格预算支出管理，在支出预算编制上，人员经费按照配置定额，逐人核定编制，公用经费分类分档，按定额编制，根据“总量控制、计划管理”的要求从严控制行政经费，严格控制“三公”经费，资产的配置严格执行政府采购程序，按照预算科目和项目资金的规定使用财政资金，保障部门整体支出的规范化、制度化；二是财务管理按制度运行，按照国家法律法规，制定了机关财务、资产配置使用、接待、会务、因公出差、车辆使用等内部控制制度，并按照制度管理和执行，防范风险，保证财政资金的安全和高效运行；三是各项工作良好开局，持续推动机构组建，召开系列重要会议，着力开展业务培训，建立健全工作机制，成功举办多个大型活动，积极参与防范化解社会风险工作，畅通人民建议渠道，开展特色志愿服务，高度重视媒体赋能，积极开展社会工作课题研究。发现的主要问题及原因：一是预算编制还不够精细，因</w:t>
      </w:r>
      <w:r>
        <w:rPr>
          <w:rFonts w:hint="eastAsia" w:ascii="Times New Roman" w:hAnsi="Times New Roman" w:eastAsia="仿宋_GB2312" w:cs="Times New Roman"/>
          <w:sz w:val="32"/>
          <w:szCs w:val="32"/>
          <w:lang w:eastAsia="zh-CN"/>
        </w:rPr>
        <w:t>单位</w:t>
      </w:r>
      <w:r>
        <w:rPr>
          <w:rFonts w:hint="eastAsia" w:ascii="Times New Roman" w:hAnsi="Times New Roman" w:eastAsia="仿宋_GB2312" w:cs="Times New Roman"/>
          <w:sz w:val="32"/>
          <w:szCs w:val="32"/>
        </w:rPr>
        <w:t>成立</w:t>
      </w:r>
      <w:r>
        <w:rPr>
          <w:rFonts w:hint="eastAsia" w:ascii="Times New Roman" w:hAnsi="Times New Roman" w:eastAsia="仿宋_GB2312" w:cs="Times New Roman"/>
          <w:sz w:val="32"/>
          <w:szCs w:val="32"/>
          <w:lang w:eastAsia="zh-CN"/>
        </w:rPr>
        <w:t>不久</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对</w:t>
      </w:r>
      <w:r>
        <w:rPr>
          <w:rFonts w:hint="eastAsia" w:ascii="Times New Roman" w:hAnsi="Times New Roman" w:eastAsia="仿宋_GB2312" w:cs="Times New Roman"/>
          <w:sz w:val="32"/>
          <w:szCs w:val="32"/>
        </w:rPr>
        <w:t>支出情况</w:t>
      </w:r>
      <w:r>
        <w:rPr>
          <w:rFonts w:hint="eastAsia" w:ascii="Times New Roman" w:hAnsi="Times New Roman" w:eastAsia="仿宋_GB2312" w:cs="Times New Roman"/>
          <w:sz w:val="32"/>
          <w:szCs w:val="32"/>
          <w:lang w:eastAsia="zh-CN"/>
        </w:rPr>
        <w:t>把握不够清晰</w:t>
      </w:r>
      <w:r>
        <w:rPr>
          <w:rFonts w:hint="eastAsia" w:ascii="Times New Roman" w:hAnsi="Times New Roman" w:eastAsia="仿宋_GB2312" w:cs="Times New Roman"/>
          <w:sz w:val="32"/>
          <w:szCs w:val="32"/>
        </w:rPr>
        <w:t>，在编制预算时存在简单分配后续再调整指标的情况；二是绩效管理还不够科学，因对绩效管理工作重要性认识不够，在设置评价指标和开展绩效自评时主要由财务人员负责，业务科室参与度较低；三是部门履职效能还有待提高，因部门工作还在摸索中前进，工作缺少抓手，部门工作成效还不够突出。下一步改进措施：一是提高思想认识，构建全员参与格局，每半年度开展一次绩效管理专题培训，提升领导干部对绩效管理工作的重视程度，要求各业务科室积极参与绩效评价指标的设置和自评；二是深化结果运用，提升预算编制水平，认真分析上一年度绩效评价结果和决算数据，作为下一年预算编制的基础，提升预算指标分配的科学性；三是锚定工作目标，展现社会工作风采，贯彻落实习总书记对社会工作的重要指示、中央社会工作会议精神，聚焦新兴领域党建、党建引领基层治理和基层政权建设、凝聚服务群众三大职责任务，全面提升我市社会工作履职效能。</w:t>
      </w:r>
    </w:p>
    <w:p>
      <w:pPr>
        <w:overflowPunct w:val="0"/>
        <w:spacing w:line="600" w:lineRule="exact"/>
        <w:ind w:firstLine="640" w:firstLineChars="200"/>
        <w:rPr>
          <w:rFonts w:ascii="Times New Roman" w:hAnsi="Times New Roman" w:eastAsia="仿宋_GB2312" w:cs="Times New Roman"/>
          <w:sz w:val="32"/>
          <w:szCs w:val="32"/>
          <w:highlight w:val="yellow"/>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lang w:eastAsia="zh-CN"/>
        </w:rPr>
        <w:t>社会工作专项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97.70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发现的主要问题及原因：预算执行率不高，</w:t>
      </w:r>
      <w:r>
        <w:rPr>
          <w:rFonts w:hint="eastAsia" w:ascii="Times New Roman" w:hAnsi="Times New Roman" w:eastAsia="仿宋_GB2312" w:cs="Times New Roman"/>
          <w:sz w:val="32"/>
          <w:szCs w:val="32"/>
          <w:lang w:eastAsia="zh-CN"/>
        </w:rPr>
        <w:t>由于</w:t>
      </w:r>
      <w:r>
        <w:rPr>
          <w:rFonts w:hint="eastAsia" w:ascii="Times New Roman" w:hAnsi="Times New Roman" w:eastAsia="仿宋_GB2312" w:cs="Times New Roman"/>
          <w:sz w:val="32"/>
          <w:szCs w:val="32"/>
        </w:rPr>
        <w:t>前期谋划不</w:t>
      </w:r>
      <w:r>
        <w:rPr>
          <w:rFonts w:hint="eastAsia" w:ascii="Times New Roman" w:hAnsi="Times New Roman" w:eastAsia="仿宋_GB2312" w:cs="Times New Roman"/>
          <w:sz w:val="32"/>
          <w:szCs w:val="32"/>
          <w:lang w:eastAsia="zh-CN"/>
        </w:rPr>
        <w:t>足</w:t>
      </w:r>
      <w:r>
        <w:rPr>
          <w:rFonts w:hint="eastAsia" w:ascii="Times New Roman" w:hAnsi="Times New Roman" w:eastAsia="仿宋_GB2312" w:cs="Times New Roman"/>
          <w:sz w:val="32"/>
          <w:szCs w:val="32"/>
        </w:rPr>
        <w:t>，支出时序安排不</w:t>
      </w:r>
      <w:r>
        <w:rPr>
          <w:rFonts w:hint="eastAsia" w:ascii="Times New Roman" w:hAnsi="Times New Roman" w:eastAsia="仿宋_GB2312" w:cs="Times New Roman"/>
          <w:sz w:val="32"/>
          <w:szCs w:val="32"/>
          <w:lang w:eastAsia="zh-CN"/>
        </w:rPr>
        <w:t>够</w:t>
      </w:r>
      <w:r>
        <w:rPr>
          <w:rFonts w:hint="eastAsia" w:ascii="Times New Roman" w:hAnsi="Times New Roman" w:eastAsia="仿宋_GB2312" w:cs="Times New Roman"/>
          <w:sz w:val="32"/>
          <w:szCs w:val="32"/>
        </w:rPr>
        <w:t>合理。下一步改进措施：细化支出计划</w:t>
      </w:r>
      <w:r>
        <w:rPr>
          <w:rFonts w:hint="eastAsia" w:ascii="Times New Roman" w:hAnsi="Times New Roman" w:eastAsia="仿宋_GB2312" w:cs="Times New Roman"/>
          <w:sz w:val="32"/>
          <w:szCs w:val="32"/>
          <w:lang w:eastAsia="zh-CN"/>
        </w:rPr>
        <w:t>，及时</w:t>
      </w:r>
      <w:r>
        <w:rPr>
          <w:rFonts w:hint="eastAsia" w:ascii="Times New Roman" w:hAnsi="Times New Roman" w:eastAsia="仿宋_GB2312" w:cs="Times New Roman"/>
          <w:sz w:val="32"/>
          <w:szCs w:val="32"/>
        </w:rPr>
        <w:t>跟踪执行进度，加快资金拨付。</w:t>
      </w:r>
      <w:r>
        <w:rPr>
          <w:rFonts w:hint="eastAsia" w:ascii="Times New Roman" w:hAnsi="Times New Roman" w:eastAsia="仿宋_GB2312" w:cs="Times New Roman"/>
          <w:sz w:val="32"/>
          <w:szCs w:val="32"/>
          <w:lang w:eastAsia="zh-CN"/>
        </w:rPr>
        <w:t>日常工作经费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37.86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94.65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lang w:eastAsia="zh-CN"/>
        </w:rPr>
        <w:t>预算执行过程中指标调剂较为频繁，由于预算编制前瞻性不足，对年度内工作任务变化预判不够</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优化预算经济科目安排，细化项目支出明细测算，提升预算编制精准性</w:t>
      </w:r>
      <w:r>
        <w:rPr>
          <w:rFonts w:ascii="Times New Roman" w:hAnsi="Times New Roman" w:eastAsia="仿宋_GB2312" w:cs="Times New Roman"/>
          <w:sz w:val="32"/>
          <w:szCs w:val="32"/>
          <w:highlight w:val="none"/>
        </w:rPr>
        <w:t>。</w:t>
      </w:r>
    </w:p>
    <w:p>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sz w:val="32"/>
          <w:szCs w:val="32"/>
          <w:lang w:val="en-US" w:eastAsia="zh-CN"/>
        </w:rPr>
        <w:t>本单位及所属单位本年度未开展事前绩效评估，所以无事前绩效评估结果。</w:t>
      </w:r>
    </w:p>
    <w:p>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一是运用评估结果，精准优化预算安排。对于绩效目标达成度高、效益显著的工作领域，202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预算安排予以重点保障，优先满足其合理资金需求；对于绩效成效不佳、资源配置效率低的领域，适当压缩预算规模，或暂缓新增预算安排，推动预算资源向高绩效领域倾斜。二是聚焦反馈问题，系统调整支出结构。针对绩效评价中指出的 “低效支出”“冗余支出” 类别，削减相关支出占比；对于绩效表现突出、与部门核心职能关联紧密的支出类别，提高其在总支出中的比重。同时，根据事前绩效评价对拟新增支出项目的评估结论，合理纳入或剔除相关支出，确保支出结构与部门战略目标、绩效目标相匹配。三是依托结果导向，升级资金管理机制。结合自评与部门评价中对资金效益的分析结论，建立资金使用效益跟踪机制，对 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资金使用过程进行动态监控，及时纠正偏离绩效目标的资金使用行为，保障资金安全高效运行。四是立足结果闭环，健全制度保障体系。针对绩效评价中暴露的如绩效目标设定不科学、评价结果应用不充分等问题，制定或修订相应的管理制度，明确预算编制、执行、评价全流程的操作规范；同时，建立事前评估制度，为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年及后续年度预算项目立项、资金安排提供更科学的制度依据，推动预算管理工作制度化、规范化。</w:t>
      </w:r>
    </w:p>
    <w:p>
      <w:pPr>
        <w:autoSpaceDE w:val="0"/>
        <w:autoSpaceDN w:val="0"/>
        <w:adjustRightInd w:val="0"/>
        <w:ind w:firstLine="640" w:firstLineChars="200"/>
        <w:jc w:val="left"/>
        <w:rPr>
          <w:rFonts w:hint="eastAsia" w:ascii="方正小标宋_GBK" w:hAnsi="方正小标宋_GBK" w:eastAsia="方正小标宋_GBK" w:cs="方正小标宋_GBK"/>
          <w:sz w:val="24"/>
          <w:szCs w:val="24"/>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br w:type="page"/>
      </w: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pStyle w:val="2"/>
        <w:rPr>
          <w:rFonts w:hint="eastAsia"/>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一、财政拨款收入：指同级政府财政部门当年拨付的各类财政拨款。</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二、基本支出：指为保障机构正常运转、完成日常工作任务而发生的人员支出和公用支出。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三、项目支出：指在基本支出之外为完成特定行政任务和事业发展目标所发生的支出。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四、财政拨款支出：指单位本年发生的财政拨款支出金额。</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五、一般公共服务（类）支出：指主要用于保障机关事业单位正常运转,支持各机关单位履行职能,保障各机关部门的项目支出需要。</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六、公共安全（类）支出：指政府为了维护社会秩序、保护人民生命财产安全、预防和应对各种突发事件、事故和灾害而进行的财政支出。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七</w:t>
      </w:r>
      <w:r>
        <w:rPr>
          <w:rFonts w:hint="eastAsia" w:ascii="仿宋_GB2312" w:hAnsi="仿宋_GB2312" w:eastAsia="仿宋_GB2312" w:cs="仿宋_GB2312"/>
          <w:color w:val="000000"/>
          <w:kern w:val="0"/>
          <w:sz w:val="32"/>
          <w:szCs w:val="32"/>
        </w:rPr>
        <w:t>、社会保障和就业（类）支出：指用于社会保障和就业方面的支出，包括保障机构正常运转、完成日常和特定的工作任务或事业发展目标的支出。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八</w:t>
      </w:r>
      <w:r>
        <w:rPr>
          <w:rFonts w:hint="eastAsia" w:ascii="仿宋_GB2312" w:hAnsi="仿宋_GB2312" w:eastAsia="仿宋_GB2312" w:cs="仿宋_GB2312"/>
          <w:color w:val="000000"/>
          <w:kern w:val="0"/>
          <w:sz w:val="32"/>
          <w:szCs w:val="32"/>
        </w:rPr>
        <w:t>、卫生健康（类）支出：指用于医疗卫生与计划生育方面的支出，包括保障机构正常运转、完成日常和特定的工作任务或事业发展目标的支出。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九</w:t>
      </w:r>
      <w:r>
        <w:rPr>
          <w:rFonts w:hint="eastAsia" w:ascii="仿宋_GB2312" w:hAnsi="仿宋_GB2312" w:eastAsia="仿宋_GB2312" w:cs="仿宋_GB2312"/>
          <w:color w:val="000000"/>
          <w:kern w:val="0"/>
          <w:sz w:val="32"/>
          <w:szCs w:val="32"/>
        </w:rPr>
        <w:t>、住房保障（类）支出：指用于住房方面的支出，包括保障机构正常运转、完成日常和特定的工作任务或事业发展目标的支出。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十、人员经费：指单位基本支出中用一般公共预算财政拨款安排的工资福利支出和对个人和家庭的补助。</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一</w:t>
      </w:r>
      <w:r>
        <w:rPr>
          <w:rFonts w:hint="eastAsia" w:ascii="仿宋_GB2312" w:hAnsi="仿宋_GB2312" w:eastAsia="仿宋_GB2312" w:cs="仿宋_GB2312"/>
          <w:color w:val="000000"/>
          <w:kern w:val="0"/>
          <w:sz w:val="32"/>
          <w:szCs w:val="32"/>
        </w:rPr>
        <w:t>、公用经费：指部门和单位“商品和服务支出”和“资本性支出”中属于基本支出内容的支出。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含武警）军官、文职干部的职务（专业技术等级）工资、军衔（级别）工资和军龄工资；军队士官的军衔等级工资和军龄工资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津贴补贴：反映按规定发放的津贴、补贴,包括机关工作人员工作性津贴、生活性补贴、地区附加津贴、岗位津贴，机关事业单位艰苦边远地区津贴，事业单位工作人员特殊岗位津贴补贴，以及机关事业单位提租补贴、购房补贴、采暖补贴、物业服务补贴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、奖金：反映按规定发放的奖金，包括机关工作人员年终一次性奖金、绩效奖金（基础绩效奖、年度绩效奖）等。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五</w:t>
      </w:r>
      <w:r>
        <w:rPr>
          <w:rFonts w:hint="eastAsia" w:ascii="仿宋_GB2312" w:hAnsi="仿宋_GB2312" w:eastAsia="仿宋_GB2312" w:cs="仿宋_GB2312"/>
          <w:color w:val="000000"/>
          <w:kern w:val="0"/>
          <w:sz w:val="32"/>
          <w:szCs w:val="32"/>
        </w:rPr>
        <w:t>、伙食补助费：反映单位发给职工的伙食补助费，因公负伤等住院治疗、住疗养院期间的伙食补助费，军队（含武警）人员的伙食费等。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六</w:t>
      </w:r>
      <w:r>
        <w:rPr>
          <w:rFonts w:hint="eastAsia" w:ascii="仿宋_GB2312" w:hAnsi="仿宋_GB2312" w:eastAsia="仿宋_GB2312" w:cs="仿宋_GB2312"/>
          <w:color w:val="000000"/>
          <w:kern w:val="0"/>
          <w:sz w:val="32"/>
          <w:szCs w:val="32"/>
        </w:rPr>
        <w:t>、绩效工资：反映事业单位工作人员的绩效工资。</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七</w:t>
      </w:r>
      <w:r>
        <w:rPr>
          <w:rFonts w:hint="eastAsia" w:ascii="仿宋_GB2312" w:hAnsi="仿宋_GB2312" w:eastAsia="仿宋_GB2312" w:cs="仿宋_GB2312"/>
          <w:color w:val="000000"/>
          <w:kern w:val="0"/>
          <w:sz w:val="32"/>
          <w:szCs w:val="32"/>
        </w:rPr>
        <w:t>、机关事业单位基本养老保险缴费：反映单位为职工缴纳的基本养老保险费。</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十八</w:t>
      </w:r>
      <w:r>
        <w:rPr>
          <w:rFonts w:hint="eastAsia" w:ascii="仿宋_GB2312" w:hAnsi="仿宋_GB2312" w:eastAsia="仿宋_GB2312" w:cs="仿宋_GB2312"/>
          <w:color w:val="000000"/>
          <w:kern w:val="0"/>
          <w:sz w:val="32"/>
          <w:szCs w:val="32"/>
        </w:rPr>
        <w:t>、职工基本医疗保险缴费：反映单位为职工缴纳的基本医疗保险（含生育保险）费。</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十九</w:t>
      </w:r>
      <w:r>
        <w:rPr>
          <w:rFonts w:hint="eastAsia" w:ascii="仿宋_GB2312" w:hAnsi="仿宋_GB2312" w:eastAsia="仿宋_GB2312" w:cs="仿宋_GB2312"/>
          <w:color w:val="000000"/>
          <w:kern w:val="0"/>
          <w:sz w:val="32"/>
          <w:szCs w:val="32"/>
        </w:rPr>
        <w:t>、其他社会保障缴费：反映单位为职工缴纳的失业、工伤等社会保险费，军队（含武警）为军人缴纳的退役养老、医疗等社会保险费。</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二十、住房公积金：反映单位按规定为职工缴纳的住房公积金。</w:t>
      </w:r>
    </w:p>
    <w:p>
      <w:pPr>
        <w:ind w:firstLine="640" w:firstLineChars="200"/>
        <w:jc w:val="left"/>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lang w:eastAsia="zh-CN"/>
        </w:rPr>
        <w:t>二十一、生活补助：反映按规定开支的优抚对象定期定量生活补助费，退役军人生活补助费，退役军人及其他优抚对象慰问金、机关事业单位职工遗属生活补助，长期赡养人员补助费，由于国家实行退耕还林禁牧舍饲政策补偿给农牧民的现金、粮食支出，对农村党员、复员军人以及村干部的补助支出，罪犯、戒毒人员的伙食费、被服费、医疗卫生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w:t>
      </w: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、办公费：反映单位购买日常办公用品、书报杂志等支出。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w:t>
      </w: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、印刷费：反映单位的印刷费支出。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w:t>
      </w: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、水费：反映单位的水费、污水处理费等支出。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w:t>
      </w:r>
      <w:r>
        <w:rPr>
          <w:rFonts w:hint="eastAsia" w:ascii="仿宋_GB2312" w:hAnsi="仿宋_GB2312" w:eastAsia="仿宋_GB2312" w:cs="仿宋_GB2312"/>
          <w:color w:val="000000"/>
          <w:kern w:val="0"/>
          <w:sz w:val="32"/>
          <w:szCs w:val="32"/>
          <w:lang w:eastAsia="zh-CN"/>
        </w:rPr>
        <w:t>五</w:t>
      </w:r>
      <w:r>
        <w:rPr>
          <w:rFonts w:hint="eastAsia" w:ascii="仿宋_GB2312" w:hAnsi="仿宋_GB2312" w:eastAsia="仿宋_GB2312" w:cs="仿宋_GB2312"/>
          <w:color w:val="000000"/>
          <w:kern w:val="0"/>
          <w:sz w:val="32"/>
          <w:szCs w:val="32"/>
        </w:rPr>
        <w:t>、电费：反映单位的电费支出。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w:t>
      </w:r>
      <w:r>
        <w:rPr>
          <w:rFonts w:hint="eastAsia" w:ascii="仿宋_GB2312" w:hAnsi="仿宋_GB2312" w:eastAsia="仿宋_GB2312" w:cs="仿宋_GB2312"/>
          <w:color w:val="000000"/>
          <w:kern w:val="0"/>
          <w:sz w:val="32"/>
          <w:szCs w:val="32"/>
          <w:lang w:eastAsia="zh-CN"/>
        </w:rPr>
        <w:t>六</w:t>
      </w:r>
      <w:r>
        <w:rPr>
          <w:rFonts w:hint="eastAsia" w:ascii="仿宋_GB2312" w:hAnsi="仿宋_GB2312" w:eastAsia="仿宋_GB2312" w:cs="仿宋_GB2312"/>
          <w:color w:val="000000"/>
          <w:kern w:val="0"/>
          <w:sz w:val="32"/>
          <w:szCs w:val="32"/>
        </w:rPr>
        <w:t>、邮电费：反映单位开支的信函、包裹、货物等物品的邮寄费及电话费、电报费、传真费、网络通讯费等。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w:t>
      </w:r>
      <w:r>
        <w:rPr>
          <w:rFonts w:hint="eastAsia" w:ascii="仿宋_GB2312" w:hAnsi="仿宋_GB2312" w:eastAsia="仿宋_GB2312" w:cs="仿宋_GB2312"/>
          <w:color w:val="000000"/>
          <w:kern w:val="0"/>
          <w:sz w:val="32"/>
          <w:szCs w:val="32"/>
          <w:lang w:eastAsia="zh-CN"/>
        </w:rPr>
        <w:t>七</w:t>
      </w:r>
      <w:r>
        <w:rPr>
          <w:rFonts w:hint="eastAsia" w:ascii="仿宋_GB2312" w:hAnsi="仿宋_GB2312" w:eastAsia="仿宋_GB2312" w:cs="仿宋_GB2312"/>
          <w:color w:val="000000"/>
          <w:kern w:val="0"/>
          <w:sz w:val="32"/>
          <w:szCs w:val="32"/>
        </w:rPr>
        <w:t>、物业管理费： 反映单位开支的办公用房以及未实行职工住宅物业服务改革的在职职工和离退休人员宿舍等的物业管理费，包括综合治理、绿化、卫生等方面的支出。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二十八</w:t>
      </w:r>
      <w:r>
        <w:rPr>
          <w:rFonts w:hint="eastAsia" w:ascii="仿宋_GB2312" w:hAnsi="仿宋_GB2312" w:eastAsia="仿宋_GB2312" w:cs="仿宋_GB2312"/>
          <w:color w:val="000000"/>
          <w:kern w:val="0"/>
          <w:sz w:val="32"/>
          <w:szCs w:val="32"/>
        </w:rPr>
        <w:t>、差旅费：反映单位工作人员国（境）内出差发生的城市间交通费、住宿费、伙食补助费和市内交通费。</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二十九</w:t>
      </w:r>
      <w:r>
        <w:rPr>
          <w:rFonts w:hint="eastAsia" w:ascii="仿宋_GB2312" w:hAnsi="仿宋_GB2312" w:eastAsia="仿宋_GB2312" w:cs="仿宋_GB2312"/>
          <w:color w:val="000000"/>
          <w:kern w:val="0"/>
          <w:sz w:val="32"/>
          <w:szCs w:val="32"/>
        </w:rPr>
        <w:t>、维修（护）费：反映单位日常开支的固定资产（不包括车船等交通工具）修理和维护费用，网络信息系统运行与维护费用。</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会议费：反映单位在会议期间按规定开支的住宿费、伙食费、会议场地租金、交通费、文件印刷费、医药费、设备租赁费、线路费、电视电话会议通话费、技术服务费、软件应用费、音视频制作费等各类会议费用。</w:t>
      </w:r>
    </w:p>
    <w:p>
      <w:pPr>
        <w:ind w:firstLine="640" w:firstLineChars="200"/>
        <w:jc w:val="left"/>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三十</w:t>
      </w:r>
      <w:r>
        <w:rPr>
          <w:rFonts w:hint="eastAsia" w:ascii="仿宋_GB2312" w:hAnsi="仿宋_GB2312" w:eastAsia="仿宋_GB2312" w:cs="仿宋_GB2312"/>
          <w:color w:val="000000"/>
          <w:kern w:val="0"/>
          <w:sz w:val="32"/>
          <w:szCs w:val="32"/>
          <w:highlight w:val="none"/>
          <w:lang w:eastAsia="zh-CN"/>
        </w:rPr>
        <w:t>一</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eastAsia="zh-CN"/>
        </w:rPr>
        <w:t>培训费：反映除因公出国（境）培训费以外的，在培训期间发生的师资费、住宿费、伙食费、培训场地费、培训资料费、交通费等各类培训费用。</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三十二、</w:t>
      </w:r>
      <w:r>
        <w:rPr>
          <w:rFonts w:hint="eastAsia" w:ascii="仿宋_GB2312" w:hAnsi="仿宋_GB2312" w:eastAsia="仿宋_GB2312" w:cs="仿宋_GB2312"/>
          <w:color w:val="000000"/>
          <w:kern w:val="0"/>
          <w:sz w:val="32"/>
          <w:szCs w:val="32"/>
        </w:rPr>
        <w:t>劳务费：反映支付给个人的劳务费用，如临时聘用人员、钟点工工资，稿费、翻译费，评审费等。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w:t>
      </w: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、工会经费：反映单位按规定提取或安排的工会经费。</w:t>
      </w:r>
    </w:p>
    <w:p>
      <w:pPr>
        <w:ind w:firstLine="640" w:firstLineChars="200"/>
        <w:jc w:val="left"/>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lang w:eastAsia="zh-CN"/>
        </w:rPr>
        <w:t>三十四、公务用车运行维护费：反映单位按规定保留的公务用车燃料费、新能源汽车充电费、维修费、过桥过路费、保险费、安全奖励费用等支出。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w:t>
      </w:r>
      <w:r>
        <w:rPr>
          <w:rFonts w:hint="eastAsia" w:ascii="仿宋_GB2312" w:hAnsi="仿宋_GB2312" w:eastAsia="仿宋_GB2312" w:cs="仿宋_GB2312"/>
          <w:color w:val="000000"/>
          <w:kern w:val="0"/>
          <w:sz w:val="32"/>
          <w:szCs w:val="32"/>
          <w:lang w:eastAsia="zh-CN"/>
        </w:rPr>
        <w:t>五</w:t>
      </w:r>
      <w:r>
        <w:rPr>
          <w:rFonts w:hint="eastAsia" w:ascii="仿宋_GB2312" w:hAnsi="仿宋_GB2312" w:eastAsia="仿宋_GB2312" w:cs="仿宋_GB2312"/>
          <w:color w:val="000000"/>
          <w:kern w:val="0"/>
          <w:sz w:val="32"/>
          <w:szCs w:val="32"/>
        </w:rPr>
        <w:t>、其他交通费用：反映单位除公务用车运行维护费以外的其他交通费用。如公务交通补贴，租车费用、出租车费用，飞机、船舶等的燃料费、维修费、保险费等。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w:t>
      </w:r>
      <w:r>
        <w:rPr>
          <w:rFonts w:hint="eastAsia" w:ascii="仿宋_GB2312" w:hAnsi="仿宋_GB2312" w:eastAsia="仿宋_GB2312" w:cs="仿宋_GB2312"/>
          <w:color w:val="000000"/>
          <w:kern w:val="0"/>
          <w:sz w:val="32"/>
          <w:szCs w:val="32"/>
          <w:lang w:eastAsia="zh-CN"/>
        </w:rPr>
        <w:t>六</w:t>
      </w:r>
      <w:r>
        <w:rPr>
          <w:rFonts w:hint="eastAsia" w:ascii="仿宋_GB2312" w:hAnsi="仿宋_GB2312" w:eastAsia="仿宋_GB2312" w:cs="仿宋_GB2312"/>
          <w:color w:val="000000"/>
          <w:kern w:val="0"/>
          <w:sz w:val="32"/>
          <w:szCs w:val="32"/>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三十七</w:t>
      </w:r>
      <w:r>
        <w:rPr>
          <w:rFonts w:hint="eastAsia" w:ascii="仿宋_GB2312" w:hAnsi="仿宋_GB2312" w:eastAsia="仿宋_GB2312" w:cs="仿宋_GB2312"/>
          <w:color w:val="000000"/>
          <w:kern w:val="0"/>
          <w:sz w:val="32"/>
          <w:szCs w:val="32"/>
        </w:rPr>
        <w:t>、机关运行经费：指为保障行政单位（包括参照公务员法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三十八</w:t>
      </w:r>
      <w:r>
        <w:rPr>
          <w:rFonts w:hint="eastAsia" w:ascii="仿宋_GB2312" w:hAnsi="仿宋_GB2312" w:eastAsia="仿宋_GB2312" w:cs="仿宋_GB2312"/>
          <w:color w:val="000000"/>
          <w:kern w:val="0"/>
          <w:sz w:val="32"/>
          <w:szCs w:val="32"/>
        </w:rPr>
        <w:t>、一般性支出：指国家权力机关和行政机关的经费支出，主要包括各级人大及人大常委会的活动费用，各级人民政府及其职能部门的活动费用。</w:t>
      </w:r>
    </w:p>
    <w:p>
      <w:pPr>
        <w:ind w:firstLine="640" w:firstLineChars="200"/>
        <w:jc w:val="left"/>
        <w:rPr>
          <w:rFonts w:hint="eastAsia" w:ascii="方正小标宋_GBK" w:hAnsi="方正小标宋_GBK" w:eastAsia="方正小标宋_GBK" w:cs="方正小标宋_GBK"/>
          <w:sz w:val="72"/>
          <w:szCs w:val="72"/>
        </w:rPr>
      </w:pPr>
      <w:r>
        <w:rPr>
          <w:rFonts w:hint="eastAsia" w:ascii="仿宋_GB2312" w:hAnsi="仿宋_GB2312" w:eastAsia="仿宋_GB2312" w:cs="仿宋_GB2312"/>
          <w:color w:val="000000"/>
          <w:kern w:val="0"/>
          <w:sz w:val="32"/>
          <w:szCs w:val="32"/>
          <w:lang w:eastAsia="zh-CN"/>
        </w:rPr>
        <w:t>三十九</w:t>
      </w:r>
      <w:r>
        <w:rPr>
          <w:rFonts w:hint="eastAsia" w:ascii="仿宋_GB2312" w:hAnsi="仿宋_GB2312" w:eastAsia="仿宋_GB2312" w:cs="仿宋_GB2312"/>
          <w:color w:val="000000"/>
          <w:kern w:val="0"/>
          <w:sz w:val="32"/>
          <w:szCs w:val="32"/>
        </w:rPr>
        <w:t>、政府采购支出：指政府为了满足公共需求，购买货物、工程和服务的支出。</w:t>
      </w:r>
      <w:r>
        <w:rPr>
          <w:rFonts w:hint="eastAsia" w:ascii="方正小标宋_GBK" w:hAnsi="方正小标宋_GBK" w:eastAsia="方正小标宋_GBK" w:cs="方正小标宋_GBK"/>
          <w:sz w:val="72"/>
          <w:szCs w:val="72"/>
        </w:rPr>
        <w:br w:type="page"/>
      </w: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2"/>
        <w:jc w:val="both"/>
        <w:rPr>
          <w:rFonts w:hint="eastAsia" w:ascii="方正小标宋_GBK" w:hAnsi="方正小标宋_GBK" w:eastAsia="方正小标宋_GBK" w:cs="方正小标宋_GBK"/>
          <w:sz w:val="70"/>
          <w:szCs w:val="70"/>
          <w:lang w:eastAsia="zh-CN"/>
        </w:rPr>
      </w:pPr>
    </w:p>
    <w:p>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640" w:firstLineChars="200"/>
        <w:jc w:val="left"/>
        <w:rPr>
          <w:rFonts w:hint="eastAsia" w:ascii="宋体" w:hAnsi="宋体" w:eastAsia="宋体" w:cs="黑体"/>
          <w:b/>
          <w:color w:val="000000"/>
          <w:kern w:val="0"/>
          <w:sz w:val="32"/>
          <w:szCs w:val="32"/>
          <w:lang w:val="en-US" w:eastAsia="zh-CN"/>
        </w:rPr>
      </w:pPr>
    </w:p>
    <w:p>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2583BA5"/>
    <w:rsid w:val="13BA5B9C"/>
    <w:rsid w:val="1D97DEFF"/>
    <w:rsid w:val="1DFF72E5"/>
    <w:rsid w:val="1EFC6F07"/>
    <w:rsid w:val="1F0527A6"/>
    <w:rsid w:val="22AC03C2"/>
    <w:rsid w:val="283B15FE"/>
    <w:rsid w:val="2B378B01"/>
    <w:rsid w:val="2DFD9F08"/>
    <w:rsid w:val="2F77CF54"/>
    <w:rsid w:val="2FDF85B8"/>
    <w:rsid w:val="2FFB724D"/>
    <w:rsid w:val="2FFFEE04"/>
    <w:rsid w:val="31C95635"/>
    <w:rsid w:val="31DEA9A9"/>
    <w:rsid w:val="347FC6CB"/>
    <w:rsid w:val="34DF85B0"/>
    <w:rsid w:val="37DF2363"/>
    <w:rsid w:val="37DF55AF"/>
    <w:rsid w:val="388BF996"/>
    <w:rsid w:val="3ACBE98A"/>
    <w:rsid w:val="3B8F36BC"/>
    <w:rsid w:val="3BFBABC7"/>
    <w:rsid w:val="3D79FD7F"/>
    <w:rsid w:val="3EB94A23"/>
    <w:rsid w:val="3F4D1CAC"/>
    <w:rsid w:val="43EB5BA5"/>
    <w:rsid w:val="44F7054B"/>
    <w:rsid w:val="491FF225"/>
    <w:rsid w:val="4CFE7D25"/>
    <w:rsid w:val="4DBB1417"/>
    <w:rsid w:val="4EC310A1"/>
    <w:rsid w:val="4FC5E79C"/>
    <w:rsid w:val="4FFD214C"/>
    <w:rsid w:val="5352765A"/>
    <w:rsid w:val="56766A7D"/>
    <w:rsid w:val="5777D4F5"/>
    <w:rsid w:val="57D73433"/>
    <w:rsid w:val="57EBA9D6"/>
    <w:rsid w:val="57F22B6F"/>
    <w:rsid w:val="59DD8326"/>
    <w:rsid w:val="5ADE23EE"/>
    <w:rsid w:val="5BCD2284"/>
    <w:rsid w:val="5C5A7337"/>
    <w:rsid w:val="5DEF592A"/>
    <w:rsid w:val="5DFF4AD4"/>
    <w:rsid w:val="5ED5C4DD"/>
    <w:rsid w:val="5F35D3A9"/>
    <w:rsid w:val="5FA799DC"/>
    <w:rsid w:val="5FC6BB1E"/>
    <w:rsid w:val="5FF720F1"/>
    <w:rsid w:val="5FFF525D"/>
    <w:rsid w:val="61672043"/>
    <w:rsid w:val="622964C1"/>
    <w:rsid w:val="66EF6FF3"/>
    <w:rsid w:val="67FD7625"/>
    <w:rsid w:val="67FF3628"/>
    <w:rsid w:val="67FF5C0B"/>
    <w:rsid w:val="6BAA4A2F"/>
    <w:rsid w:val="6BB2150A"/>
    <w:rsid w:val="6BC7B4D8"/>
    <w:rsid w:val="6DDEC5C0"/>
    <w:rsid w:val="6E7B614B"/>
    <w:rsid w:val="6EA41E4C"/>
    <w:rsid w:val="6EC76A11"/>
    <w:rsid w:val="6EFC0924"/>
    <w:rsid w:val="6EFD2867"/>
    <w:rsid w:val="6F57D65C"/>
    <w:rsid w:val="6F7F08C8"/>
    <w:rsid w:val="6F7F631D"/>
    <w:rsid w:val="6F9E8580"/>
    <w:rsid w:val="6FB74722"/>
    <w:rsid w:val="6FD7014A"/>
    <w:rsid w:val="6FEF8B7E"/>
    <w:rsid w:val="717FE77F"/>
    <w:rsid w:val="71A6591B"/>
    <w:rsid w:val="737D59BA"/>
    <w:rsid w:val="737F32B1"/>
    <w:rsid w:val="73BD3FCA"/>
    <w:rsid w:val="75BD31E4"/>
    <w:rsid w:val="75FFA885"/>
    <w:rsid w:val="776BDA01"/>
    <w:rsid w:val="77BEA327"/>
    <w:rsid w:val="77BFFAFD"/>
    <w:rsid w:val="77C37683"/>
    <w:rsid w:val="77DF230F"/>
    <w:rsid w:val="77F99E26"/>
    <w:rsid w:val="79F8F82A"/>
    <w:rsid w:val="79FF515B"/>
    <w:rsid w:val="7A73C769"/>
    <w:rsid w:val="7B4B8D7A"/>
    <w:rsid w:val="7BEFB99F"/>
    <w:rsid w:val="7BF95FE0"/>
    <w:rsid w:val="7BFE0E45"/>
    <w:rsid w:val="7BFF307B"/>
    <w:rsid w:val="7D6D014B"/>
    <w:rsid w:val="7DBF5D82"/>
    <w:rsid w:val="7DFBFF20"/>
    <w:rsid w:val="7E2FAB3C"/>
    <w:rsid w:val="7E9E1962"/>
    <w:rsid w:val="7E9F11B4"/>
    <w:rsid w:val="7EEB8D0B"/>
    <w:rsid w:val="7EFF1935"/>
    <w:rsid w:val="7F37EC1E"/>
    <w:rsid w:val="7F4B7802"/>
    <w:rsid w:val="7F77CA0B"/>
    <w:rsid w:val="7F7C0DDA"/>
    <w:rsid w:val="7F7DCD9D"/>
    <w:rsid w:val="7F970A6F"/>
    <w:rsid w:val="7FBFE7CC"/>
    <w:rsid w:val="7FC1FFF3"/>
    <w:rsid w:val="7FC69637"/>
    <w:rsid w:val="7FDF8620"/>
    <w:rsid w:val="7FE2776D"/>
    <w:rsid w:val="7FF084C3"/>
    <w:rsid w:val="7FF10610"/>
    <w:rsid w:val="7FFB242F"/>
    <w:rsid w:val="7FFB9041"/>
    <w:rsid w:val="7FFDB408"/>
    <w:rsid w:val="7FFE4EEB"/>
    <w:rsid w:val="8F9F713F"/>
    <w:rsid w:val="95FB2B98"/>
    <w:rsid w:val="98FDB26A"/>
    <w:rsid w:val="9A639BC2"/>
    <w:rsid w:val="9DEEF054"/>
    <w:rsid w:val="9E7E3313"/>
    <w:rsid w:val="9FF7D786"/>
    <w:rsid w:val="ABB9CEC0"/>
    <w:rsid w:val="ABBFB23D"/>
    <w:rsid w:val="B36F817A"/>
    <w:rsid w:val="B37FAEAD"/>
    <w:rsid w:val="B5FFC9F7"/>
    <w:rsid w:val="B63D8819"/>
    <w:rsid w:val="B6BE5A03"/>
    <w:rsid w:val="B8C93228"/>
    <w:rsid w:val="BB7EB0EA"/>
    <w:rsid w:val="BBEE6E3A"/>
    <w:rsid w:val="BC75CA3D"/>
    <w:rsid w:val="C3B4DA5A"/>
    <w:rsid w:val="C4FF458C"/>
    <w:rsid w:val="C7BBD038"/>
    <w:rsid w:val="CBFF70E0"/>
    <w:rsid w:val="CDF72F6D"/>
    <w:rsid w:val="CFF50B82"/>
    <w:rsid w:val="CFFD18E6"/>
    <w:rsid w:val="CFFFAD89"/>
    <w:rsid w:val="DBADDE66"/>
    <w:rsid w:val="DBEDB5A5"/>
    <w:rsid w:val="DE562399"/>
    <w:rsid w:val="DEBF271F"/>
    <w:rsid w:val="DEE51FED"/>
    <w:rsid w:val="DEFD1373"/>
    <w:rsid w:val="DEFE26B4"/>
    <w:rsid w:val="DF5F67E9"/>
    <w:rsid w:val="DF770771"/>
    <w:rsid w:val="DF778816"/>
    <w:rsid w:val="DFB6C583"/>
    <w:rsid w:val="DFDACDE9"/>
    <w:rsid w:val="DFDF43BB"/>
    <w:rsid w:val="DFFE359E"/>
    <w:rsid w:val="DFFE4FFD"/>
    <w:rsid w:val="DFFF5403"/>
    <w:rsid w:val="E6DF78D1"/>
    <w:rsid w:val="E86D6D69"/>
    <w:rsid w:val="EA76F7E5"/>
    <w:rsid w:val="EBC3E00A"/>
    <w:rsid w:val="EDBDE807"/>
    <w:rsid w:val="EDEFF956"/>
    <w:rsid w:val="EDFBE100"/>
    <w:rsid w:val="EEABED75"/>
    <w:rsid w:val="EF359F65"/>
    <w:rsid w:val="EF6FEBB5"/>
    <w:rsid w:val="EF7E8003"/>
    <w:rsid w:val="EFAEF212"/>
    <w:rsid w:val="EFDE5209"/>
    <w:rsid w:val="F3D7F988"/>
    <w:rsid w:val="F3F76965"/>
    <w:rsid w:val="F4F12EAF"/>
    <w:rsid w:val="F56FDF51"/>
    <w:rsid w:val="F5AEC9FE"/>
    <w:rsid w:val="F5F3EE78"/>
    <w:rsid w:val="F6317E8B"/>
    <w:rsid w:val="F6B69F17"/>
    <w:rsid w:val="F6E5BB3A"/>
    <w:rsid w:val="F77F1D61"/>
    <w:rsid w:val="F7C36722"/>
    <w:rsid w:val="F7FED3A9"/>
    <w:rsid w:val="F8C9DB26"/>
    <w:rsid w:val="F97E8EAE"/>
    <w:rsid w:val="FB13B6CB"/>
    <w:rsid w:val="FB36E1A6"/>
    <w:rsid w:val="FB3BE134"/>
    <w:rsid w:val="FBB3992A"/>
    <w:rsid w:val="FBD93C9A"/>
    <w:rsid w:val="FCFDE313"/>
    <w:rsid w:val="FCFF4275"/>
    <w:rsid w:val="FCFFE04B"/>
    <w:rsid w:val="FD571A21"/>
    <w:rsid w:val="FD7A5556"/>
    <w:rsid w:val="FD7FEEEA"/>
    <w:rsid w:val="FDBFFA88"/>
    <w:rsid w:val="FDDF5AB0"/>
    <w:rsid w:val="FDE532E8"/>
    <w:rsid w:val="FDFFB577"/>
    <w:rsid w:val="FDFFB934"/>
    <w:rsid w:val="FE3AD184"/>
    <w:rsid w:val="FE5811BA"/>
    <w:rsid w:val="FE7F8F95"/>
    <w:rsid w:val="FE9F5F3D"/>
    <w:rsid w:val="FEB989C5"/>
    <w:rsid w:val="FEEA50FE"/>
    <w:rsid w:val="FEFB00D5"/>
    <w:rsid w:val="FF5523FA"/>
    <w:rsid w:val="FF7D300B"/>
    <w:rsid w:val="FF7D47A9"/>
    <w:rsid w:val="FF7E4E26"/>
    <w:rsid w:val="FF8F13AE"/>
    <w:rsid w:val="FF9FE809"/>
    <w:rsid w:val="FFA12B27"/>
    <w:rsid w:val="FFCF21CB"/>
    <w:rsid w:val="FFEDC6A4"/>
    <w:rsid w:val="FFF5FAAE"/>
    <w:rsid w:val="FFF94102"/>
    <w:rsid w:val="FFFB9426"/>
    <w:rsid w:val="FFFD3CC2"/>
    <w:rsid w:val="FFFE7A9B"/>
    <w:rsid w:val="FFFF06A3"/>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1347</Words>
  <Characters>7679</Characters>
  <Lines>63</Lines>
  <Paragraphs>18</Paragraphs>
  <TotalTime>2</TotalTime>
  <ScaleCrop>false</ScaleCrop>
  <LinksUpToDate>false</LinksUpToDate>
  <CharactersWithSpaces>9008</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2020-07-12T02:32:00Z</dcterms:created>
  <dc:creator>李航 null</dc:creator>
  <cp:lastModifiedBy>kylin</cp:lastModifiedBy>
  <cp:lastPrinted>2024-08-12T10:20:00Z</cp:lastPrinted>
  <dcterms:modified xsi:type="dcterms:W3CDTF">2026-09-24T17:44:36Z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98623D6660B449428EB8E073C6C952EA</vt:lpwstr>
  </property>
</Properties>
</file>