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6AAD5B">
      <w:pPr>
        <w:pStyle w:val="13"/>
        <w:jc w:val="center"/>
        <w:rPr>
          <w:sz w:val="56"/>
          <w:szCs w:val="56"/>
        </w:rPr>
      </w:pPr>
    </w:p>
    <w:p w14:paraId="682EB3F7">
      <w:pPr>
        <w:pStyle w:val="13"/>
        <w:jc w:val="center"/>
        <w:rPr>
          <w:sz w:val="56"/>
          <w:szCs w:val="56"/>
        </w:rPr>
      </w:pPr>
    </w:p>
    <w:p w14:paraId="2F151417">
      <w:pPr>
        <w:pStyle w:val="13"/>
        <w:jc w:val="center"/>
        <w:rPr>
          <w:sz w:val="84"/>
          <w:szCs w:val="84"/>
        </w:rPr>
      </w:pPr>
    </w:p>
    <w:p w14:paraId="5B8DC5F1">
      <w:pPr>
        <w:pStyle w:val="13"/>
        <w:jc w:val="center"/>
        <w:rPr>
          <w:sz w:val="84"/>
          <w:szCs w:val="84"/>
        </w:rPr>
      </w:pPr>
    </w:p>
    <w:p w14:paraId="066BCF76">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14:paraId="2A9E001B">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岳阳市人民政府研究室单位部门决算</w:t>
      </w:r>
    </w:p>
    <w:p w14:paraId="39A5F403">
      <w:pPr>
        <w:pStyle w:val="13"/>
        <w:jc w:val="center"/>
        <w:rPr>
          <w:rFonts w:hint="eastAsia" w:ascii="方正小标宋_GBK" w:hAnsi="方正小标宋_GBK" w:eastAsia="方正小标宋_GBK" w:cs="方正小标宋_GBK"/>
          <w:sz w:val="56"/>
          <w:szCs w:val="56"/>
        </w:rPr>
      </w:pPr>
    </w:p>
    <w:p w14:paraId="7C49B291">
      <w:pPr>
        <w:pStyle w:val="13"/>
        <w:jc w:val="center"/>
        <w:rPr>
          <w:sz w:val="56"/>
          <w:szCs w:val="56"/>
        </w:rPr>
      </w:pPr>
    </w:p>
    <w:p w14:paraId="4EF53E93">
      <w:pPr>
        <w:pStyle w:val="13"/>
        <w:jc w:val="center"/>
        <w:rPr>
          <w:sz w:val="56"/>
          <w:szCs w:val="56"/>
        </w:rPr>
      </w:pPr>
    </w:p>
    <w:p w14:paraId="0E1DB498">
      <w:pPr>
        <w:pStyle w:val="13"/>
        <w:jc w:val="center"/>
        <w:rPr>
          <w:sz w:val="56"/>
          <w:szCs w:val="56"/>
        </w:rPr>
      </w:pPr>
    </w:p>
    <w:p w14:paraId="2C0BC46C">
      <w:pPr>
        <w:pStyle w:val="13"/>
        <w:jc w:val="center"/>
        <w:rPr>
          <w:sz w:val="32"/>
          <w:szCs w:val="32"/>
        </w:rPr>
      </w:pPr>
    </w:p>
    <w:p w14:paraId="387E72C9">
      <w:pPr>
        <w:pStyle w:val="13"/>
        <w:jc w:val="center"/>
        <w:rPr>
          <w:sz w:val="32"/>
          <w:szCs w:val="32"/>
        </w:rPr>
      </w:pPr>
    </w:p>
    <w:p w14:paraId="65B8C9A0">
      <w:pPr>
        <w:pStyle w:val="13"/>
        <w:jc w:val="center"/>
        <w:rPr>
          <w:sz w:val="32"/>
          <w:szCs w:val="32"/>
        </w:rPr>
      </w:pPr>
    </w:p>
    <w:p w14:paraId="04932227">
      <w:pPr>
        <w:pStyle w:val="13"/>
        <w:jc w:val="center"/>
        <w:rPr>
          <w:sz w:val="32"/>
          <w:szCs w:val="32"/>
        </w:rPr>
      </w:pPr>
    </w:p>
    <w:p w14:paraId="14D8DE8F">
      <w:pPr>
        <w:pStyle w:val="13"/>
        <w:spacing w:line="500" w:lineRule="exact"/>
        <w:jc w:val="center"/>
        <w:rPr>
          <w:b/>
          <w:sz w:val="36"/>
          <w:szCs w:val="28"/>
        </w:rPr>
      </w:pPr>
      <w:r>
        <w:rPr>
          <w:rFonts w:hint="eastAsia"/>
          <w:b/>
          <w:sz w:val="36"/>
          <w:szCs w:val="28"/>
        </w:rPr>
        <w:t>目录</w:t>
      </w:r>
    </w:p>
    <w:p w14:paraId="30183778">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岳阳市人民政府研究室单位概况</w:t>
      </w:r>
    </w:p>
    <w:p w14:paraId="40BA135B">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3020CB3F">
      <w:pPr>
        <w:pStyle w:val="13"/>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360636AC">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26F8E14F">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69016B72">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7ED5BDEB">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48CC7406">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56C1A743">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16D7F1F8">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1DCA54AB">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318E176A">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0FEABF3B">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0F29D60F">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0CD97E28">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0067ED3C">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7B7FA0C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13EA99F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03E0042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553ED5D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0061A6B1">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4FAB2460">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337B2C34">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125A3367">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78736B94">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4F43F184">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007DD1D7">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6E8CC2F0">
      <w:pPr>
        <w:pStyle w:val="13"/>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73B2007E">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3B78E4C6">
      <w:pPr>
        <w:pStyle w:val="13"/>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6592CB7E">
      <w:pPr>
        <w:pStyle w:val="13"/>
        <w:jc w:val="center"/>
        <w:rPr>
          <w:rFonts w:hint="eastAsia" w:ascii="方正小标宋_GBK" w:hAnsi="方正小标宋_GBK" w:eastAsia="方正小标宋_GBK" w:cs="方正小标宋_GBK"/>
          <w:sz w:val="84"/>
          <w:szCs w:val="84"/>
        </w:rPr>
      </w:pPr>
    </w:p>
    <w:p w14:paraId="113E280D">
      <w:pPr>
        <w:pStyle w:val="13"/>
        <w:jc w:val="center"/>
        <w:rPr>
          <w:rFonts w:hint="eastAsia" w:ascii="方正小标宋_GBK" w:hAnsi="方正小标宋_GBK" w:eastAsia="方正小标宋_GBK" w:cs="方正小标宋_GBK"/>
          <w:sz w:val="84"/>
          <w:szCs w:val="84"/>
        </w:rPr>
      </w:pPr>
    </w:p>
    <w:p w14:paraId="03B80FAF">
      <w:pPr>
        <w:pStyle w:val="13"/>
        <w:jc w:val="center"/>
        <w:rPr>
          <w:rFonts w:hint="eastAsia" w:ascii="方正小标宋_GBK" w:hAnsi="方正小标宋_GBK" w:eastAsia="方正小标宋_GBK" w:cs="方正小标宋_GBK"/>
          <w:sz w:val="84"/>
          <w:szCs w:val="84"/>
        </w:rPr>
      </w:pPr>
    </w:p>
    <w:p w14:paraId="083AAC93">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4275086B">
      <w:pPr>
        <w:pStyle w:val="13"/>
        <w:jc w:val="center"/>
        <w:rPr>
          <w:rFonts w:hint="eastAsia" w:ascii="方正小标宋_GBK" w:hAnsi="方正小标宋_GBK" w:eastAsia="方正小标宋_GBK" w:cs="方正小标宋_GBK"/>
          <w:sz w:val="84"/>
          <w:szCs w:val="84"/>
        </w:rPr>
      </w:pPr>
    </w:p>
    <w:p w14:paraId="6FCDC1EC">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岳阳市人民政府研究室单位概况</w:t>
      </w:r>
    </w:p>
    <w:p w14:paraId="4B96759E">
      <w:pPr>
        <w:pStyle w:val="2"/>
        <w:rPr>
          <w:rFonts w:hint="eastAsia" w:ascii="方正小标宋_GBK" w:hAnsi="方正小标宋_GBK" w:eastAsia="方正小标宋_GBK" w:cs="方正小标宋_GBK"/>
          <w:sz w:val="84"/>
          <w:szCs w:val="84"/>
        </w:rPr>
      </w:pPr>
    </w:p>
    <w:p w14:paraId="4A28F7DE">
      <w:pPr>
        <w:pStyle w:val="3"/>
        <w:rPr>
          <w:rFonts w:hint="eastAsia" w:ascii="方正小标宋_GBK" w:hAnsi="方正小标宋_GBK" w:eastAsia="方正小标宋_GBK" w:cs="方正小标宋_GBK"/>
          <w:sz w:val="84"/>
          <w:szCs w:val="84"/>
        </w:rPr>
      </w:pPr>
    </w:p>
    <w:p w14:paraId="56CEE4D9">
      <w:pPr>
        <w:rPr>
          <w:rFonts w:hint="eastAsia" w:ascii="方正小标宋_GBK" w:hAnsi="方正小标宋_GBK" w:eastAsia="方正小标宋_GBK" w:cs="方正小标宋_GBK"/>
          <w:sz w:val="84"/>
          <w:szCs w:val="84"/>
        </w:rPr>
      </w:pPr>
    </w:p>
    <w:p w14:paraId="39FD9610">
      <w:pPr>
        <w:pStyle w:val="14"/>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545FB7CF">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（一）负责起草《政府工作报告》和市政府主要领导同志重要讲话、报告、文章。</w:t>
      </w:r>
    </w:p>
    <w:p w14:paraId="59BC0884">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（二）负责起草市政府向省委、省政府的重要汇报材料；组织和协同有关方面起草、修改市政府的有关重要综合性文件；参与起草市委、市政府有关重要会议的文件。</w:t>
      </w:r>
    </w:p>
    <w:p w14:paraId="089E5CC7">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三</w:t>
      </w:r>
      <w:r>
        <w:rPr>
          <w:rFonts w:hint="eastAsia" w:ascii="Times New Roman" w:hAnsi="Times New Roman" w:eastAsia="仿宋_GB2312" w:cs="仿宋_GB2312"/>
          <w:sz w:val="32"/>
          <w:szCs w:val="32"/>
        </w:rPr>
        <w:t>）对涉及全市经济建设、社会发展和改革开放等全局性工作的重大课题组织调查研究，及时综合归纳，提出供市政府决策的参考方案和政策性建议。</w:t>
      </w:r>
    </w:p>
    <w:p w14:paraId="50DCCD93">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四</w:t>
      </w:r>
      <w:r>
        <w:rPr>
          <w:rFonts w:hint="eastAsia" w:ascii="Times New Roman" w:hAnsi="Times New Roman" w:eastAsia="仿宋_GB2312" w:cs="仿宋_GB2312"/>
          <w:sz w:val="32"/>
          <w:szCs w:val="32"/>
        </w:rPr>
        <w:t>）对市内外经济形势和社会发展政策进行分析和研究，提出政策建议。</w:t>
      </w:r>
    </w:p>
    <w:p w14:paraId="1D1D2A62">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五</w:t>
      </w:r>
      <w:r>
        <w:rPr>
          <w:rFonts w:hint="eastAsia" w:ascii="Times New Roman" w:hAnsi="Times New Roman" w:eastAsia="仿宋_GB2312" w:cs="仿宋_GB2312"/>
          <w:sz w:val="32"/>
          <w:szCs w:val="32"/>
        </w:rPr>
        <w:t>）收集、整理全市政务信息，及时向省政府办公厅传报；收集、分析、整理和报送经济社会发展的重要信息、动态，为市政府决策提供参考建议。</w:t>
      </w:r>
    </w:p>
    <w:p w14:paraId="1597D03A">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六</w:t>
      </w:r>
      <w:r>
        <w:rPr>
          <w:rFonts w:hint="eastAsia" w:ascii="Times New Roman" w:hAnsi="Times New Roman" w:eastAsia="仿宋_GB2312" w:cs="仿宋_GB2312"/>
          <w:sz w:val="32"/>
          <w:szCs w:val="32"/>
        </w:rPr>
        <w:t>）负责全市政府系统的情况综合、调查研究和信息工作指导。</w:t>
      </w:r>
    </w:p>
    <w:p w14:paraId="4B364232">
      <w:pPr>
        <w:ind w:firstLine="800" w:firstLineChars="250"/>
        <w:jc w:val="left"/>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七</w:t>
      </w:r>
      <w:r>
        <w:rPr>
          <w:rFonts w:hint="eastAsia" w:ascii="Times New Roman" w:hAnsi="Times New Roman" w:eastAsia="仿宋_GB2312" w:cs="仿宋_GB2312"/>
          <w:sz w:val="32"/>
          <w:szCs w:val="32"/>
        </w:rPr>
        <w:t>）编发《政务信息与交流》、《经济动态》、《领导决策参考》。</w:t>
      </w:r>
    </w:p>
    <w:p w14:paraId="71BD62F2">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3F0A5DBD">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（一）内设机构设置。岳阳市人民政府研究室内设机构包括：办公室、综合科、经济科、社会科</w:t>
      </w:r>
      <w:r>
        <w:rPr>
          <w:rFonts w:hint="eastAsia" w:ascii="Times New Roman" w:hAnsi="Times New Roman" w:eastAsia="仿宋_GB2312" w:cs="仿宋_GB2312"/>
          <w:bCs/>
          <w:kern w:val="0"/>
          <w:sz w:val="32"/>
          <w:szCs w:val="32"/>
          <w:lang w:eastAsia="zh-CN"/>
        </w:rPr>
        <w:t>。下属二级机构：岳阳市发展研究中心。人员编制数12名，实有人数11人；下属二级机构人员编制数7个，实有人数3个。</w:t>
      </w:r>
    </w:p>
    <w:p w14:paraId="5DD6E994">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（二）决算单位构成。岳阳市人民政府研究室</w:t>
      </w:r>
      <w:r>
        <w:rPr>
          <w:rFonts w:hint="eastAsia" w:ascii="Times New Roman" w:hAnsi="Times New Roman" w:eastAsia="仿宋_GB2312" w:cs="仿宋_GB2312"/>
          <w:bCs/>
          <w:kern w:val="0"/>
          <w:sz w:val="32"/>
          <w:szCs w:val="32"/>
          <w:lang w:eastAsia="zh-CN"/>
        </w:rPr>
        <w:t>2025年</w:t>
      </w:r>
      <w:r>
        <w:rPr>
          <w:rFonts w:hint="eastAsia" w:ascii="Times New Roman" w:hAnsi="Times New Roman" w:eastAsia="仿宋_GB2312" w:cs="仿宋_GB2312"/>
          <w:bCs/>
          <w:kern w:val="0"/>
          <w:sz w:val="32"/>
          <w:szCs w:val="32"/>
        </w:rPr>
        <w:t>部门决算汇总公开单位构成包括：岳阳市人民政府研究室本级以及岳阳市发展研究中心</w:t>
      </w:r>
      <w:r>
        <w:rPr>
          <w:rFonts w:hint="eastAsia" w:ascii="Times New Roman" w:hAnsi="Times New Roman" w:eastAsia="仿宋_GB2312" w:cs="仿宋_GB2312"/>
          <w:bCs/>
          <w:kern w:val="0"/>
          <w:sz w:val="32"/>
          <w:szCs w:val="32"/>
          <w:lang w:eastAsia="zh-CN"/>
        </w:rPr>
        <w:t>。</w:t>
      </w:r>
    </w:p>
    <w:p w14:paraId="62AC6143">
      <w:pPr>
        <w:pStyle w:val="3"/>
      </w:pPr>
    </w:p>
    <w:p w14:paraId="6A0A8F9B"/>
    <w:p w14:paraId="01644847">
      <w:pPr>
        <w:pStyle w:val="2"/>
      </w:pPr>
    </w:p>
    <w:p w14:paraId="23F13435">
      <w:pPr>
        <w:pStyle w:val="3"/>
      </w:pPr>
    </w:p>
    <w:p w14:paraId="5D49B23C"/>
    <w:p w14:paraId="6AB462BE">
      <w:pPr>
        <w:pStyle w:val="2"/>
      </w:pPr>
    </w:p>
    <w:p w14:paraId="7AC51588">
      <w:pPr>
        <w:pStyle w:val="3"/>
      </w:pPr>
    </w:p>
    <w:p w14:paraId="19D1D120"/>
    <w:p w14:paraId="1FD4E8BB">
      <w:pPr>
        <w:pStyle w:val="13"/>
        <w:jc w:val="center"/>
        <w:rPr>
          <w:rFonts w:hint="eastAsia" w:ascii="方正小标宋_GBK" w:hAnsi="方正小标宋_GBK" w:eastAsia="方正小标宋_GBK" w:cs="方正小标宋_GBK"/>
          <w:sz w:val="84"/>
          <w:szCs w:val="84"/>
        </w:rPr>
      </w:pPr>
    </w:p>
    <w:p w14:paraId="62F89E36">
      <w:pPr>
        <w:pStyle w:val="13"/>
        <w:jc w:val="center"/>
        <w:rPr>
          <w:rFonts w:hint="eastAsia" w:ascii="方正小标宋_GBK" w:hAnsi="方正小标宋_GBK" w:eastAsia="方正小标宋_GBK" w:cs="方正小标宋_GBK"/>
          <w:sz w:val="84"/>
          <w:szCs w:val="84"/>
        </w:rPr>
      </w:pPr>
    </w:p>
    <w:p w14:paraId="2F6297B2">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01EB3AD4">
      <w:pPr>
        <w:pStyle w:val="13"/>
        <w:jc w:val="center"/>
        <w:rPr>
          <w:rFonts w:hint="eastAsia" w:ascii="方正小标宋_GBK" w:hAnsi="方正小标宋_GBK" w:eastAsia="方正小标宋_GBK" w:cs="方正小标宋_GBK"/>
          <w:sz w:val="84"/>
          <w:szCs w:val="84"/>
        </w:rPr>
      </w:pPr>
    </w:p>
    <w:p w14:paraId="5EF09DC6">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29AEB4AE">
      <w:pPr>
        <w:pStyle w:val="13"/>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359AB57D">
      <w:pPr>
        <w:pStyle w:val="13"/>
        <w:jc w:val="center"/>
        <w:rPr>
          <w:rFonts w:hint="eastAsia" w:ascii="仿宋_GB2312" w:hAnsi="仿宋_GB2312" w:eastAsia="仿宋_GB2312" w:cs="仿宋_GB2312"/>
          <w:b w:val="0"/>
          <w:bCs w:val="0"/>
          <w:sz w:val="72"/>
          <w:szCs w:val="72"/>
          <w:lang w:eastAsia="zh-CN"/>
        </w:rPr>
      </w:pPr>
    </w:p>
    <w:p w14:paraId="69627D7A">
      <w:pPr>
        <w:pStyle w:val="13"/>
        <w:jc w:val="center"/>
        <w:rPr>
          <w:rFonts w:hint="eastAsia" w:ascii="仿宋_GB2312" w:hAnsi="仿宋_GB2312" w:eastAsia="仿宋_GB2312" w:cs="仿宋_GB2312"/>
          <w:b w:val="0"/>
          <w:bCs w:val="0"/>
          <w:sz w:val="72"/>
          <w:szCs w:val="72"/>
          <w:lang w:eastAsia="zh-CN"/>
        </w:rPr>
      </w:pPr>
    </w:p>
    <w:p w14:paraId="2DBFCC49">
      <w:pPr>
        <w:pStyle w:val="13"/>
        <w:jc w:val="center"/>
        <w:rPr>
          <w:rFonts w:hint="eastAsia" w:ascii="仿宋_GB2312" w:hAnsi="仿宋_GB2312" w:eastAsia="仿宋_GB2312" w:cs="仿宋_GB2312"/>
          <w:b w:val="0"/>
          <w:bCs w:val="0"/>
          <w:sz w:val="72"/>
          <w:szCs w:val="72"/>
          <w:lang w:eastAsia="zh-CN"/>
        </w:rPr>
      </w:pPr>
    </w:p>
    <w:p w14:paraId="5729D7CD">
      <w:pPr>
        <w:pStyle w:val="13"/>
        <w:jc w:val="center"/>
        <w:rPr>
          <w:rFonts w:hint="eastAsia" w:ascii="仿宋_GB2312" w:hAnsi="仿宋_GB2312" w:eastAsia="仿宋_GB2312" w:cs="仿宋_GB2312"/>
          <w:b w:val="0"/>
          <w:bCs w:val="0"/>
          <w:sz w:val="72"/>
          <w:szCs w:val="72"/>
          <w:lang w:eastAsia="zh-CN"/>
        </w:rPr>
      </w:pPr>
    </w:p>
    <w:p w14:paraId="00D5D9F3">
      <w:pPr>
        <w:pStyle w:val="13"/>
        <w:jc w:val="center"/>
        <w:rPr>
          <w:rFonts w:hint="eastAsia" w:ascii="仿宋_GB2312" w:hAnsi="仿宋_GB2312" w:eastAsia="仿宋_GB2312" w:cs="仿宋_GB2312"/>
          <w:b w:val="0"/>
          <w:bCs w:val="0"/>
          <w:sz w:val="72"/>
          <w:szCs w:val="72"/>
          <w:lang w:eastAsia="zh-CN"/>
        </w:rPr>
      </w:pPr>
    </w:p>
    <w:p w14:paraId="77D2C27B">
      <w:pPr>
        <w:pStyle w:val="13"/>
        <w:jc w:val="center"/>
        <w:rPr>
          <w:rFonts w:hint="eastAsia" w:ascii="仿宋_GB2312" w:hAnsi="仿宋_GB2312" w:eastAsia="仿宋_GB2312" w:cs="仿宋_GB2312"/>
          <w:b w:val="0"/>
          <w:bCs w:val="0"/>
          <w:sz w:val="72"/>
          <w:szCs w:val="72"/>
          <w:lang w:eastAsia="zh-CN"/>
        </w:rPr>
      </w:pPr>
    </w:p>
    <w:p w14:paraId="54490B41">
      <w:pPr>
        <w:pStyle w:val="13"/>
        <w:jc w:val="center"/>
        <w:rPr>
          <w:rFonts w:hint="eastAsia" w:ascii="仿宋_GB2312" w:hAnsi="仿宋_GB2312" w:eastAsia="仿宋_GB2312" w:cs="仿宋_GB2312"/>
          <w:b w:val="0"/>
          <w:bCs w:val="0"/>
          <w:sz w:val="72"/>
          <w:szCs w:val="72"/>
          <w:lang w:eastAsia="zh-CN"/>
        </w:rPr>
      </w:pPr>
    </w:p>
    <w:p w14:paraId="6743C943">
      <w:pPr>
        <w:pStyle w:val="13"/>
        <w:jc w:val="center"/>
        <w:rPr>
          <w:rFonts w:hint="eastAsia" w:ascii="方正小标宋_GBK" w:hAnsi="方正小标宋_GBK" w:eastAsia="方正小标宋_GBK" w:cs="方正小标宋_GBK"/>
          <w:sz w:val="72"/>
          <w:szCs w:val="72"/>
        </w:rPr>
      </w:pPr>
    </w:p>
    <w:p w14:paraId="01BA0F1E">
      <w:pPr>
        <w:pStyle w:val="13"/>
        <w:jc w:val="center"/>
        <w:rPr>
          <w:rFonts w:hint="eastAsia" w:ascii="方正小标宋_GBK" w:hAnsi="方正小标宋_GBK" w:eastAsia="方正小标宋_GBK" w:cs="方正小标宋_GBK"/>
          <w:sz w:val="72"/>
          <w:szCs w:val="72"/>
        </w:rPr>
      </w:pPr>
    </w:p>
    <w:p w14:paraId="73B72E8C">
      <w:pPr>
        <w:pStyle w:val="13"/>
        <w:jc w:val="both"/>
        <w:rPr>
          <w:rFonts w:hint="eastAsia" w:ascii="方正小标宋_GBK" w:hAnsi="方正小标宋_GBK" w:eastAsia="方正小标宋_GBK" w:cs="方正小标宋_GBK"/>
          <w:sz w:val="72"/>
          <w:szCs w:val="72"/>
        </w:rPr>
      </w:pPr>
    </w:p>
    <w:p w14:paraId="4DF22412">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6F9928FD">
      <w:pPr>
        <w:pStyle w:val="13"/>
        <w:jc w:val="center"/>
        <w:rPr>
          <w:rFonts w:hint="eastAsia" w:ascii="方正小标宋_GBK" w:hAnsi="方正小标宋_GBK" w:eastAsia="方正小标宋_GBK" w:cs="方正小标宋_GBK"/>
          <w:sz w:val="70"/>
          <w:szCs w:val="70"/>
        </w:rPr>
      </w:pPr>
    </w:p>
    <w:p w14:paraId="27D17DA3">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14:paraId="35CB3BB7">
      <w:pPr>
        <w:pStyle w:val="13"/>
        <w:jc w:val="center"/>
        <w:rPr>
          <w:rFonts w:hint="eastAsia" w:ascii="方正小标宋_GBK" w:hAnsi="方正小标宋_GBK" w:eastAsia="方正小标宋_GBK" w:cs="方正小标宋_GBK"/>
          <w:sz w:val="70"/>
          <w:szCs w:val="70"/>
        </w:rPr>
      </w:pPr>
    </w:p>
    <w:p w14:paraId="70D2883C">
      <w:pPr>
        <w:pStyle w:val="13"/>
        <w:jc w:val="center"/>
        <w:rPr>
          <w:rFonts w:hint="eastAsia" w:ascii="方正小标宋_GBK" w:hAnsi="方正小标宋_GBK" w:eastAsia="方正小标宋_GBK" w:cs="方正小标宋_GBK"/>
          <w:sz w:val="70"/>
          <w:szCs w:val="70"/>
        </w:rPr>
      </w:pPr>
    </w:p>
    <w:p w14:paraId="64940451">
      <w:pPr>
        <w:pStyle w:val="13"/>
        <w:jc w:val="center"/>
        <w:rPr>
          <w:rFonts w:hint="eastAsia" w:ascii="方正小标宋_GBK" w:hAnsi="方正小标宋_GBK" w:eastAsia="方正小标宋_GBK" w:cs="方正小标宋_GBK"/>
          <w:sz w:val="70"/>
          <w:szCs w:val="70"/>
        </w:rPr>
      </w:pPr>
    </w:p>
    <w:p w14:paraId="73D875A8">
      <w:pPr>
        <w:pStyle w:val="13"/>
        <w:jc w:val="center"/>
        <w:rPr>
          <w:rFonts w:hint="eastAsia" w:ascii="方正小标宋_GBK" w:hAnsi="方正小标宋_GBK" w:eastAsia="方正小标宋_GBK" w:cs="方正小标宋_GBK"/>
          <w:sz w:val="70"/>
          <w:szCs w:val="70"/>
        </w:rPr>
      </w:pPr>
    </w:p>
    <w:p w14:paraId="1C58F446">
      <w:pPr>
        <w:pStyle w:val="13"/>
        <w:jc w:val="center"/>
        <w:rPr>
          <w:rFonts w:hint="eastAsia" w:ascii="方正小标宋_GBK" w:hAnsi="方正小标宋_GBK" w:eastAsia="方正小标宋_GBK" w:cs="方正小标宋_GBK"/>
          <w:sz w:val="70"/>
          <w:szCs w:val="70"/>
        </w:rPr>
      </w:pPr>
    </w:p>
    <w:p w14:paraId="5CF062FE">
      <w:pPr>
        <w:widowControl/>
        <w:ind w:firstLine="640" w:firstLineChars="200"/>
        <w:jc w:val="left"/>
        <w:rPr>
          <w:rFonts w:hint="eastAsia" w:ascii="仿宋_GB2312" w:hAnsi="仿宋_GB2312" w:eastAsia="仿宋_GB2312" w:cs="仿宋_GB2312"/>
          <w:sz w:val="32"/>
          <w:szCs w:val="32"/>
        </w:rPr>
      </w:pPr>
    </w:p>
    <w:p w14:paraId="0E8487E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7ECC649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度收、支总计364.32万元。与上年相比，增加13.34万元，增长</w:t>
      </w:r>
      <w:r>
        <w:rPr>
          <w:rFonts w:hint="eastAsia" w:ascii="仿宋_GB2312" w:hAnsi="仿宋_GB2312" w:eastAsia="仿宋_GB2312" w:cs="仿宋_GB2312"/>
          <w:sz w:val="32"/>
          <w:szCs w:val="32"/>
          <w:lang w:val="en-US" w:eastAsia="zh-CN"/>
        </w:rPr>
        <w:t>3.80</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工资福利调整。</w:t>
      </w:r>
    </w:p>
    <w:p w14:paraId="181BC74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6BD3EAC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度收入合计364.32万元，其中：财政拨款收入364.32万元，占</w:t>
      </w:r>
      <w:r>
        <w:rPr>
          <w:rFonts w:hint="eastAsia" w:ascii="仿宋_GB2312" w:hAnsi="仿宋_GB2312" w:eastAsia="仿宋_GB2312" w:cs="仿宋_GB2312"/>
          <w:sz w:val="32"/>
          <w:szCs w:val="32"/>
          <w:lang w:val="en-US" w:eastAsia="zh-CN"/>
        </w:rPr>
        <w:t>100.00</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6A3247F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79CA847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度支出合计364.32万元，其中：基本支出276.52万元，占75.9</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%；项目支出87.8</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万元，占24.1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31529C3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47CB6F1D">
      <w:pPr>
        <w:pStyle w:val="13"/>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 w:val="32"/>
          <w:szCs w:val="32"/>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度财政拨款收、支总计364.32万元，与上年相比，增加13.34万元,增长</w:t>
      </w:r>
      <w:r>
        <w:rPr>
          <w:rFonts w:hint="eastAsia" w:ascii="仿宋_GB2312" w:hAnsi="仿宋_GB2312" w:eastAsia="仿宋_GB2312" w:cs="仿宋_GB2312"/>
          <w:sz w:val="32"/>
          <w:szCs w:val="32"/>
          <w:lang w:val="en-US" w:eastAsia="zh-CN"/>
        </w:rPr>
        <w:t>3.80</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工资福利调整。</w:t>
      </w:r>
    </w:p>
    <w:p w14:paraId="73B3353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76EDC9C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69B1168C">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度财政拨款支出364.32万元，占本年支出合计的</w:t>
      </w:r>
      <w:r>
        <w:rPr>
          <w:rFonts w:hint="eastAsia" w:ascii="仿宋_GB2312" w:hAnsi="仿宋_GB2312" w:eastAsia="仿宋_GB2312" w:cs="仿宋_GB2312"/>
          <w:sz w:val="32"/>
          <w:szCs w:val="32"/>
          <w:lang w:val="en-US" w:eastAsia="zh-CN"/>
        </w:rPr>
        <w:t>100.00</w:t>
      </w:r>
      <w:r>
        <w:rPr>
          <w:rFonts w:hint="eastAsia" w:ascii="仿宋_GB2312" w:hAnsi="仿宋_GB2312" w:eastAsia="仿宋_GB2312" w:cs="仿宋_GB2312"/>
          <w:sz w:val="32"/>
          <w:szCs w:val="32"/>
        </w:rPr>
        <w:t>%，与上年相比，财政拨款支出增加</w:t>
      </w:r>
      <w:r>
        <w:rPr>
          <w:rFonts w:hint="eastAsia" w:ascii="仿宋_GB2312" w:hAnsi="仿宋_GB2312" w:eastAsia="仿宋_GB2312" w:cs="仿宋_GB2312"/>
          <w:sz w:val="32"/>
          <w:szCs w:val="32"/>
          <w:lang w:val="en-US" w:eastAsia="zh-CN"/>
        </w:rPr>
        <w:t>13.34</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3.80</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工资福利调整。</w:t>
      </w:r>
    </w:p>
    <w:p w14:paraId="550A8E9F">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1B2298A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度财政拨款支出364.32万元，主要用于以下方面：一般公共服务（类）支出</w:t>
      </w:r>
      <w:r>
        <w:rPr>
          <w:rFonts w:hint="eastAsia" w:ascii="仿宋_GB2312" w:hAnsi="仿宋_GB2312" w:eastAsia="仿宋_GB2312" w:cs="仿宋_GB2312"/>
          <w:sz w:val="32"/>
          <w:szCs w:val="32"/>
          <w:lang w:val="en-US" w:eastAsia="zh-CN"/>
        </w:rPr>
        <w:t>323.36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88.76</w:t>
      </w:r>
      <w:r>
        <w:rPr>
          <w:rFonts w:hint="eastAsia" w:ascii="仿宋_GB2312" w:hAnsi="仿宋_GB2312" w:eastAsia="仿宋_GB2312" w:cs="仿宋_GB2312"/>
          <w:sz w:val="32"/>
          <w:szCs w:val="32"/>
        </w:rPr>
        <w:t>%；社会保障和就业（类）支出</w:t>
      </w:r>
      <w:r>
        <w:rPr>
          <w:rFonts w:hint="eastAsia" w:ascii="仿宋_GB2312" w:hAnsi="仿宋_GB2312" w:eastAsia="仿宋_GB2312" w:cs="仿宋_GB2312"/>
          <w:sz w:val="32"/>
          <w:szCs w:val="32"/>
          <w:lang w:val="en-US" w:eastAsia="zh-CN"/>
        </w:rPr>
        <w:t>26.12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7.17</w:t>
      </w:r>
      <w:r>
        <w:rPr>
          <w:rFonts w:hint="eastAsia" w:ascii="仿宋_GB2312" w:hAnsi="仿宋_GB2312" w:eastAsia="仿宋_GB2312" w:cs="仿宋_GB2312"/>
          <w:sz w:val="32"/>
          <w:szCs w:val="32"/>
        </w:rPr>
        <w:t>%</w:t>
      </w:r>
      <w:r>
        <w:rPr>
          <w:rFonts w:hint="eastAsia" w:ascii="Times New Roman" w:hAnsi="Times New Roman" w:eastAsia="仿宋_GB2312"/>
          <w:sz w:val="32"/>
          <w:szCs w:val="32"/>
          <w:lang w:eastAsia="zh-CN"/>
        </w:rPr>
        <w:t>；</w:t>
      </w:r>
      <w:r>
        <w:rPr>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2"/>
          <w:lang w:val="en-US" w:eastAsia="zh-CN"/>
        </w:rPr>
        <w:t>14.84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4.07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14:paraId="7A506BBE">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3EB2FCA4">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w:t>
      </w:r>
      <w:r>
        <w:rPr>
          <w:rFonts w:hint="eastAsia" w:ascii="仿宋_GB2312" w:hAnsi="仿宋_GB2312" w:eastAsia="仿宋_GB2312" w:cs="仿宋_GB2312"/>
          <w:sz w:val="32"/>
          <w:szCs w:val="32"/>
          <w:lang w:val="en-US" w:eastAsia="zh-CN"/>
        </w:rPr>
        <w:t>297.67</w:t>
      </w:r>
      <w:r>
        <w:rPr>
          <w:rFonts w:hint="eastAsia" w:ascii="仿宋_GB2312" w:hAnsi="仿宋_GB2312" w:eastAsia="仿宋_GB2312" w:cs="仿宋_GB2312"/>
          <w:sz w:val="32"/>
          <w:szCs w:val="32"/>
        </w:rPr>
        <w:t>万元，支出决算数为364.32万元，完成年初预算的122.39%，其中：</w:t>
      </w:r>
    </w:p>
    <w:p w14:paraId="39430B52">
      <w:pPr>
        <w:pStyle w:val="13"/>
        <w:keepNext w:val="0"/>
        <w:keepLines w:val="0"/>
        <w:pageBreakBefore w:val="0"/>
        <w:widowControl w:val="0"/>
        <w:numPr>
          <w:ilvl w:val="0"/>
          <w:numId w:val="2"/>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eastAsia="zh-CN"/>
        </w:rPr>
        <w:t>政府办公</w:t>
      </w:r>
      <w:r>
        <w:rPr>
          <w:rFonts w:hint="eastAsia" w:ascii="Times New Roman" w:hAnsi="Times New Roman" w:eastAsia="仿宋_GB2312"/>
          <w:sz w:val="32"/>
          <w:szCs w:val="32"/>
          <w:lang w:val="en-US" w:eastAsia="zh-CN"/>
        </w:rPr>
        <w:t>室</w:t>
      </w:r>
      <w:r>
        <w:rPr>
          <w:rFonts w:hint="eastAsia" w:ascii="Times New Roman" w:hAnsi="Times New Roman" w:eastAsia="仿宋_GB2312"/>
          <w:sz w:val="32"/>
          <w:szCs w:val="32"/>
          <w:lang w:eastAsia="zh-CN"/>
        </w:rPr>
        <w:t>及相关机构事务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行政运行</w:t>
      </w:r>
      <w:r>
        <w:rPr>
          <w:rFonts w:hint="eastAsia" w:ascii="Times New Roman" w:hAnsi="Times New Roman" w:eastAsia="仿宋_GB2312"/>
          <w:sz w:val="32"/>
          <w:szCs w:val="32"/>
        </w:rPr>
        <w:t>（项）。</w:t>
      </w:r>
    </w:p>
    <w:p w14:paraId="45001F65">
      <w:pPr>
        <w:pStyle w:val="13"/>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249.81</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219.74</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87.96</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小于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val="en-US" w:eastAsia="zh-CN"/>
        </w:rPr>
        <w:t>决算时部分计入</w:t>
      </w:r>
      <w:r>
        <w:rPr>
          <w:rFonts w:hint="eastAsia" w:ascii="Times New Roman" w:hAnsi="Times New Roman" w:eastAsia="仿宋_GB2312"/>
          <w:sz w:val="32"/>
          <w:szCs w:val="32"/>
        </w:rPr>
        <w:t>其他政府办公厅（室）及相关机构事务支出</w:t>
      </w:r>
      <w:r>
        <w:rPr>
          <w:rFonts w:hint="eastAsia" w:ascii="仿宋_GB2312" w:hAnsi="仿宋_GB2312" w:eastAsia="仿宋_GB2312" w:cs="仿宋_GB2312"/>
          <w:sz w:val="32"/>
          <w:szCs w:val="32"/>
          <w:highlight w:val="none"/>
          <w:lang w:eastAsia="zh-CN"/>
        </w:rPr>
        <w:t>。</w:t>
      </w:r>
    </w:p>
    <w:p w14:paraId="01374DCF">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Times New Roman" w:hAnsi="Times New Roman" w:eastAsia="仿宋_GB2312"/>
          <w:sz w:val="32"/>
          <w:szCs w:val="32"/>
        </w:rPr>
        <w:t>2、一般公</w:t>
      </w:r>
      <w:r>
        <w:rPr>
          <w:rFonts w:hint="eastAsia" w:ascii="仿宋_GB2312" w:hAnsi="仿宋_GB2312" w:eastAsia="仿宋_GB2312" w:cs="仿宋_GB2312"/>
          <w:sz w:val="32"/>
          <w:szCs w:val="32"/>
        </w:rPr>
        <w:t>共服务（类）</w:t>
      </w:r>
      <w:r>
        <w:rPr>
          <w:rFonts w:hint="eastAsia" w:ascii="Times New Roman" w:hAnsi="Times New Roman" w:eastAsia="仿宋_GB2312"/>
          <w:sz w:val="32"/>
          <w:szCs w:val="32"/>
          <w:lang w:eastAsia="zh-CN"/>
        </w:rPr>
        <w:t>政府办公</w:t>
      </w:r>
      <w:r>
        <w:rPr>
          <w:rFonts w:hint="eastAsia" w:ascii="Times New Roman" w:hAnsi="Times New Roman" w:eastAsia="仿宋_GB2312"/>
          <w:sz w:val="32"/>
          <w:szCs w:val="32"/>
          <w:lang w:val="en-US" w:eastAsia="zh-CN"/>
        </w:rPr>
        <w:t>室</w:t>
      </w:r>
      <w:r>
        <w:rPr>
          <w:rFonts w:hint="eastAsia" w:ascii="Times New Roman" w:hAnsi="Times New Roman" w:eastAsia="仿宋_GB2312"/>
          <w:sz w:val="32"/>
          <w:szCs w:val="32"/>
          <w:lang w:eastAsia="zh-CN"/>
        </w:rPr>
        <w:t>及相关机构事务</w:t>
      </w:r>
      <w:r>
        <w:rPr>
          <w:rFonts w:hint="eastAsia" w:ascii="仿宋_GB2312" w:hAnsi="仿宋_GB2312" w:eastAsia="仿宋_GB2312" w:cs="仿宋_GB2312"/>
          <w:sz w:val="32"/>
          <w:szCs w:val="32"/>
        </w:rPr>
        <w:t>（款）一般行政管理事务（项）。</w:t>
      </w:r>
    </w:p>
    <w:p w14:paraId="3FDE54E1">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36.86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由于预算数为0，无法计算完成年初预算的百分</w:t>
      </w:r>
      <w:r>
        <w:rPr>
          <w:rFonts w:hint="eastAsia" w:ascii="仿宋_GB2312" w:hAnsi="仿宋_GB2312" w:eastAsia="仿宋_GB2312" w:cs="仿宋_GB2312"/>
          <w:sz w:val="32"/>
          <w:szCs w:val="32"/>
          <w:highlight w:val="none"/>
          <w:lang w:val="en-US" w:eastAsia="zh-CN"/>
        </w:rPr>
        <w:t>比</w:t>
      </w:r>
      <w:r>
        <w:rPr>
          <w:rFonts w:hint="eastAsia" w:ascii="仿宋_GB2312" w:hAnsi="仿宋_GB2312" w:eastAsia="仿宋_GB2312" w:cs="仿宋_GB2312"/>
          <w:sz w:val="32"/>
          <w:szCs w:val="32"/>
          <w:highlight w:val="none"/>
        </w:rPr>
        <w:t>，决算数大于年初预算数的主要原因是：</w:t>
      </w:r>
      <w:r>
        <w:rPr>
          <w:rFonts w:hint="eastAsia" w:ascii="Times New Roman" w:hAnsi="Times New Roman" w:eastAsia="仿宋_GB2312"/>
          <w:sz w:val="32"/>
          <w:szCs w:val="32"/>
          <w:highlight w:val="none"/>
          <w:lang w:eastAsia="zh-CN"/>
        </w:rPr>
        <w:t>财政追加拨付</w:t>
      </w:r>
      <w:r>
        <w:rPr>
          <w:rFonts w:hint="eastAsia" w:ascii="Times New Roman" w:hAnsi="Times New Roman" w:eastAsia="仿宋_GB2312"/>
          <w:sz w:val="32"/>
          <w:szCs w:val="32"/>
          <w:highlight w:val="none"/>
          <w:lang w:val="en-US" w:eastAsia="zh-CN"/>
        </w:rPr>
        <w:t>项目</w:t>
      </w:r>
      <w:r>
        <w:rPr>
          <w:rFonts w:hint="eastAsia" w:ascii="Times New Roman" w:hAnsi="Times New Roman" w:eastAsia="仿宋_GB2312"/>
          <w:sz w:val="32"/>
          <w:szCs w:val="32"/>
          <w:highlight w:val="none"/>
          <w:lang w:eastAsia="zh-CN"/>
        </w:rPr>
        <w:t>经费等</w:t>
      </w:r>
      <w:r>
        <w:rPr>
          <w:rFonts w:hint="eastAsia" w:ascii="Times New Roman" w:hAnsi="Times New Roman" w:eastAsia="仿宋_GB2312"/>
          <w:sz w:val="32"/>
          <w:szCs w:val="32"/>
          <w:lang w:eastAsia="zh-CN"/>
        </w:rPr>
        <w:t>。</w:t>
      </w:r>
    </w:p>
    <w:p w14:paraId="7336317C">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一般公共服务（类）政府办公厅（室）及相关机构事务（款）其他政府办公厅（室）及相关机构事务支出（项）。</w:t>
      </w:r>
    </w:p>
    <w:p w14:paraId="02DCEE9C">
      <w:pPr>
        <w:pStyle w:val="13"/>
        <w:keepNext w:val="0"/>
        <w:keepLines w:val="0"/>
        <w:pageBreakBefore w:val="0"/>
        <w:widowControl w:val="0"/>
        <w:numPr>
          <w:ilvl w:val="0"/>
          <w:numId w:val="0"/>
        </w:numPr>
        <w:kinsoku/>
        <w:wordWrap/>
        <w:overflowPunct/>
        <w:topLinePunct w:val="0"/>
        <w:bidi w:val="0"/>
        <w:snapToGrid/>
        <w:spacing w:line="600" w:lineRule="exact"/>
        <w:ind w:firstLine="960" w:firstLineChars="3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66.76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由于预算数为0，无法计算完成年初预算的百分比</w:t>
      </w:r>
      <w:r>
        <w:rPr>
          <w:rFonts w:hint="eastAsia" w:ascii="仿宋_GB2312" w:hAnsi="仿宋_GB2312" w:eastAsia="仿宋_GB2312" w:cs="仿宋_GB2312"/>
          <w:sz w:val="32"/>
          <w:szCs w:val="32"/>
        </w:rPr>
        <w:t>，决算数大于年初预算数的主要原因是：</w:t>
      </w:r>
      <w:r>
        <w:rPr>
          <w:rFonts w:hint="eastAsia" w:ascii="Times New Roman" w:hAnsi="Times New Roman" w:eastAsia="仿宋_GB2312"/>
          <w:sz w:val="32"/>
          <w:szCs w:val="32"/>
          <w:highlight w:val="none"/>
          <w:lang w:eastAsia="zh-CN"/>
        </w:rPr>
        <w:t>财政追加拨付</w:t>
      </w:r>
      <w:r>
        <w:rPr>
          <w:rFonts w:hint="eastAsia" w:ascii="Times New Roman" w:hAnsi="Times New Roman" w:eastAsia="仿宋_GB2312"/>
          <w:sz w:val="32"/>
          <w:szCs w:val="32"/>
          <w:highlight w:val="none"/>
          <w:lang w:val="en-US" w:eastAsia="zh-CN"/>
        </w:rPr>
        <w:t>项目</w:t>
      </w:r>
      <w:r>
        <w:rPr>
          <w:rFonts w:hint="eastAsia" w:ascii="Times New Roman" w:hAnsi="Times New Roman" w:eastAsia="仿宋_GB2312"/>
          <w:sz w:val="32"/>
          <w:szCs w:val="32"/>
          <w:highlight w:val="none"/>
          <w:lang w:eastAsia="zh-CN"/>
        </w:rPr>
        <w:t>经费等</w:t>
      </w:r>
      <w:r>
        <w:rPr>
          <w:rFonts w:hint="eastAsia" w:ascii="Times New Roman" w:hAnsi="Times New Roman" w:eastAsia="仿宋_GB2312"/>
          <w:sz w:val="32"/>
          <w:szCs w:val="32"/>
          <w:lang w:eastAsia="zh-CN"/>
        </w:rPr>
        <w:t>。</w:t>
      </w:r>
    </w:p>
    <w:p w14:paraId="285E895A">
      <w:pPr>
        <w:pStyle w:val="13"/>
        <w:keepNext w:val="0"/>
        <w:keepLines w:val="0"/>
        <w:pageBreakBefore w:val="0"/>
        <w:widowControl w:val="0"/>
        <w:numPr>
          <w:ilvl w:val="0"/>
          <w:numId w:val="3"/>
        </w:numPr>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社会保障和就业支出（类）行政事业单位养老支出（款）行政单位离退休（项）。</w:t>
      </w:r>
    </w:p>
    <w:p w14:paraId="217532FA">
      <w:pPr>
        <w:pStyle w:val="13"/>
        <w:keepNext w:val="0"/>
        <w:keepLines w:val="0"/>
        <w:pageBreakBefore w:val="0"/>
        <w:widowControl w:val="0"/>
        <w:numPr>
          <w:ilvl w:val="0"/>
          <w:numId w:val="0"/>
        </w:numPr>
        <w:kinsoku/>
        <w:wordWrap/>
        <w:overflowPunct/>
        <w:topLinePunct w:val="0"/>
        <w:bidi w:val="0"/>
        <w:snapToGrid/>
        <w:spacing w:line="600" w:lineRule="exact"/>
        <w:ind w:firstLine="64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年初预算为3.28万元，支出决算为2.94万元，</w:t>
      </w:r>
      <w:r>
        <w:rPr>
          <w:rFonts w:hint="eastAsia" w:ascii="Times New Roman" w:hAnsi="Times New Roman" w:eastAsia="仿宋_GB2312"/>
          <w:sz w:val="32"/>
          <w:szCs w:val="32"/>
        </w:rPr>
        <w:t>完成年初预算的</w:t>
      </w:r>
      <w:r>
        <w:rPr>
          <w:rFonts w:hint="eastAsia" w:ascii="Times New Roman" w:hAnsi="Times New Roman" w:eastAsia="仿宋_GB2312"/>
          <w:sz w:val="32"/>
          <w:szCs w:val="32"/>
          <w:lang w:val="en-US" w:eastAsia="zh-CN"/>
        </w:rPr>
        <w:t>89.63%，决算数小于年初预算数的主要原因是：部分为</w:t>
      </w:r>
      <w:r>
        <w:rPr>
          <w:rFonts w:hint="eastAsia" w:ascii="Times New Roman" w:hAnsi="Times New Roman" w:eastAsia="仿宋_GB2312"/>
          <w:sz w:val="32"/>
          <w:szCs w:val="32"/>
          <w:highlight w:val="none"/>
          <w:lang w:val="en-US" w:eastAsia="zh-CN"/>
        </w:rPr>
        <w:t>财政直接支付退休人员绩效</w:t>
      </w:r>
      <w:r>
        <w:rPr>
          <w:rFonts w:hint="eastAsia" w:ascii="Times New Roman" w:hAnsi="Times New Roman" w:eastAsia="仿宋_GB2312"/>
          <w:sz w:val="32"/>
          <w:szCs w:val="32"/>
          <w:lang w:val="en-US" w:eastAsia="zh-CN"/>
        </w:rPr>
        <w:t>。</w:t>
      </w:r>
    </w:p>
    <w:p w14:paraId="1E23BC6D">
      <w:pPr>
        <w:pStyle w:val="13"/>
        <w:keepNext w:val="0"/>
        <w:keepLines w:val="0"/>
        <w:pageBreakBefore w:val="0"/>
        <w:widowControl w:val="0"/>
        <w:numPr>
          <w:ilvl w:val="0"/>
          <w:numId w:val="3"/>
        </w:numPr>
        <w:kinsoku/>
        <w:wordWrap/>
        <w:overflowPunct/>
        <w:topLinePunct w:val="0"/>
        <w:bidi w:val="0"/>
        <w:snapToGrid/>
        <w:spacing w:line="600" w:lineRule="exact"/>
        <w:ind w:left="0" w:leftChars="0" w:firstLine="800" w:firstLineChars="250"/>
        <w:textAlignment w:val="auto"/>
        <w:rPr>
          <w:rFonts w:hint="eastAsia"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社会保障和就业支出（类）行政事业单位养老支出（款）机关事业单位基本养老保险缴费支出（项）。</w:t>
      </w:r>
    </w:p>
    <w:p w14:paraId="4F1E2312">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年初预算为23.21万元，支出决算为21.89万元，</w:t>
      </w:r>
      <w:r>
        <w:rPr>
          <w:rFonts w:hint="eastAsia" w:ascii="Times New Roman" w:hAnsi="Times New Roman" w:eastAsia="仿宋_GB2312"/>
          <w:sz w:val="32"/>
          <w:szCs w:val="32"/>
        </w:rPr>
        <w:t>完成年初预算的</w:t>
      </w:r>
      <w:r>
        <w:rPr>
          <w:rFonts w:hint="eastAsia" w:ascii="Times New Roman" w:hAnsi="Times New Roman" w:eastAsia="仿宋_GB2312"/>
          <w:sz w:val="32"/>
          <w:szCs w:val="32"/>
          <w:lang w:val="en-US" w:eastAsia="zh-CN"/>
        </w:rPr>
        <w:t>94.31%，决算数小于年初预算数的主要原因是：社保缴费基数调整。</w:t>
      </w:r>
    </w:p>
    <w:p w14:paraId="3859BFED">
      <w:pPr>
        <w:pStyle w:val="13"/>
        <w:keepNext w:val="0"/>
        <w:keepLines w:val="0"/>
        <w:pageBreakBefore w:val="0"/>
        <w:widowControl w:val="0"/>
        <w:numPr>
          <w:ilvl w:val="0"/>
          <w:numId w:val="3"/>
        </w:numPr>
        <w:kinsoku/>
        <w:wordWrap/>
        <w:overflowPunct/>
        <w:topLinePunct w:val="0"/>
        <w:bidi w:val="0"/>
        <w:snapToGrid/>
        <w:spacing w:line="600" w:lineRule="exact"/>
        <w:ind w:left="0" w:leftChars="0"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社会保障和就业支出（类）残疾人事业（款）其他残疾人事业支出（项）。</w:t>
      </w:r>
    </w:p>
    <w:p w14:paraId="16BA8AD0">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年初预算为1.29万元，支出决算为1.29万元，</w:t>
      </w:r>
      <w:r>
        <w:rPr>
          <w:rFonts w:hint="eastAsia" w:ascii="Times New Roman" w:hAnsi="Times New Roman" w:eastAsia="仿宋_GB2312"/>
          <w:sz w:val="32"/>
          <w:szCs w:val="32"/>
        </w:rPr>
        <w:t>完成年初预算的</w:t>
      </w:r>
      <w:r>
        <w:rPr>
          <w:rFonts w:hint="eastAsia" w:ascii="Times New Roman" w:hAnsi="Times New Roman" w:eastAsia="仿宋_GB2312"/>
          <w:sz w:val="32"/>
          <w:szCs w:val="32"/>
          <w:lang w:val="en-US" w:eastAsia="zh-CN"/>
        </w:rPr>
        <w:t>100%，决算数等于年初预算数的主要原因是：</w:t>
      </w:r>
      <w:r>
        <w:rPr>
          <w:rFonts w:hint="eastAsia" w:ascii="仿宋_GB2312" w:hAnsi="仿宋_GB2312" w:eastAsia="仿宋_GB2312" w:cs="仿宋_GB2312"/>
          <w:sz w:val="32"/>
          <w:szCs w:val="32"/>
        </w:rPr>
        <w:t>严格按照预算执行</w:t>
      </w:r>
      <w:r>
        <w:rPr>
          <w:rFonts w:hint="eastAsia" w:ascii="Times New Roman" w:hAnsi="Times New Roman" w:eastAsia="仿宋_GB2312"/>
          <w:sz w:val="32"/>
          <w:szCs w:val="32"/>
          <w:lang w:val="en-US" w:eastAsia="zh-CN"/>
        </w:rPr>
        <w:t>。</w:t>
      </w:r>
    </w:p>
    <w:p w14:paraId="2C62F844">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、卫生健康（类）行政事业单位医疗（款）公务员医疗补助（项）。</w:t>
      </w:r>
    </w:p>
    <w:p w14:paraId="5051D42D">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3.34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highlight w:val="none"/>
          <w:lang w:eastAsia="zh-CN"/>
        </w:rPr>
        <w:t>财政直接支付公务员医疗补助经费</w:t>
      </w:r>
      <w:r>
        <w:rPr>
          <w:rFonts w:hint="eastAsia" w:ascii="Times New Roman" w:hAnsi="Times New Roman" w:eastAsia="仿宋_GB2312"/>
          <w:sz w:val="32"/>
          <w:szCs w:val="32"/>
          <w:lang w:eastAsia="zh-CN"/>
        </w:rPr>
        <w:t>。</w:t>
      </w:r>
    </w:p>
    <w:p w14:paraId="5E472204">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、住房保障（类）住房改革支出（款）住房公积金（项）。</w:t>
      </w:r>
    </w:p>
    <w:p w14:paraId="17202018">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16.74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14.84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88.65</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的</w:t>
      </w:r>
      <w:r>
        <w:rPr>
          <w:rFonts w:hint="eastAsia" w:ascii="Times New Roman" w:hAnsi="Times New Roman" w:eastAsia="仿宋_GB2312"/>
          <w:sz w:val="32"/>
          <w:szCs w:val="32"/>
          <w:lang w:val="en-US" w:eastAsia="zh-CN"/>
        </w:rPr>
        <w:t>主要原因是：住房公积金缴费基数调整</w:t>
      </w:r>
      <w:r>
        <w:rPr>
          <w:rFonts w:hint="eastAsia" w:ascii="Times New Roman" w:hAnsi="Times New Roman" w:eastAsia="仿宋_GB2312"/>
          <w:sz w:val="32"/>
          <w:szCs w:val="32"/>
          <w:lang w:eastAsia="zh-CN"/>
        </w:rPr>
        <w:t>。</w:t>
      </w:r>
    </w:p>
    <w:p w14:paraId="1B68FDE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774AD79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财政拨款基本支出276.52万元，其中：</w:t>
      </w:r>
    </w:p>
    <w:p w14:paraId="20E6993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rPr>
        <w:t>239.21万元，占基本支出的86.51%,主要包括基本工资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津贴补贴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奖金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伙食补助费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绩效工资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机关事业单位基本养老保险缴费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职工基本医疗保险缴费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其他社会保障缴费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住房公积金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医疗费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退休费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其他对个人和家庭的补助</w:t>
      </w:r>
      <w:r>
        <w:rPr>
          <w:rFonts w:hint="eastAsia" w:ascii="仿宋_GB2312" w:hAnsi="仿宋_GB2312" w:eastAsia="仿宋_GB2312" w:cs="仿宋_GB2312"/>
          <w:sz w:val="32"/>
          <w:szCs w:val="32"/>
          <w:lang w:eastAsia="zh-CN"/>
        </w:rPr>
        <w:t>。</w:t>
      </w:r>
    </w:p>
    <w:p w14:paraId="0C4BAA5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rPr>
        <w:t>37.31万元，占基本支出的13.49%，主要包括办公费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物业管理费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维修（护）费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公务接待费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工会经费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福利费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公务用车运行维护费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其他交通费用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其他商品和服务支出。</w:t>
      </w:r>
    </w:p>
    <w:p w14:paraId="71A367A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6CD13D2F">
      <w:pPr>
        <w:keepNext w:val="0"/>
        <w:keepLines w:val="0"/>
        <w:pageBreakBefore w:val="0"/>
        <w:widowControl w:val="0"/>
        <w:kinsoku/>
        <w:wordWrap/>
        <w:overflowPunct/>
        <w:topLinePunct w:val="0"/>
        <w:autoSpaceDE w:val="0"/>
        <w:autoSpaceDN w:val="0"/>
        <w:bidi w:val="0"/>
        <w:adjustRightInd w:val="0"/>
        <w:snapToGrid/>
        <w:spacing w:line="600" w:lineRule="exact"/>
        <w:textAlignment w:val="auto"/>
        <w:rPr>
          <w:rFonts w:hint="eastAsia" w:ascii="黑体" w:hAnsi="黑体" w:eastAsia="黑体" w:cs="黑体"/>
          <w:b w:val="0"/>
          <w:bCs/>
          <w:color w:val="000000"/>
          <w:kern w:val="0"/>
          <w:sz w:val="32"/>
          <w:szCs w:val="32"/>
          <w:highlight w:val="none"/>
          <w:lang w:val="en-US" w:eastAsia="zh-CN" w:bidi="ar-SA"/>
        </w:rPr>
      </w:pPr>
      <w:r>
        <w:rPr>
          <w:rFonts w:hint="eastAsia" w:ascii="Times New Roman" w:hAnsi="Times New Roman" w:eastAsia="仿宋_GB2312"/>
          <w:sz w:val="32"/>
          <w:szCs w:val="32"/>
        </w:rPr>
        <w:t xml:space="preserve">    </w:t>
      </w:r>
      <w:r>
        <w:rPr>
          <w:rFonts w:hint="eastAsia" w:ascii="仿宋_GB2312" w:hAnsi="仿宋_GB2312" w:eastAsia="仿宋_GB2312" w:cs="仿宋_GB2312"/>
          <w:color w:val="000000"/>
          <w:kern w:val="0"/>
          <w:sz w:val="32"/>
          <w:szCs w:val="32"/>
          <w:lang w:val="en-US" w:eastAsia="zh-CN" w:bidi="ar-SA"/>
        </w:rPr>
        <w:t>2025年度政府性基金预算财政拨款收入0万元；年初结转和结余0万元；支出0万元，其中基本支出0万元，项目支出0万元；年末结转和结余0万元。</w:t>
      </w:r>
    </w:p>
    <w:p w14:paraId="67B2F2B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1D13A8A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2025年度国有资本经营预算财政拨款收入0万元；年初结转和结余0万；支出0万元，其中：基本支出0万元，项目支出0万元；年末结转和结余0万元。</w:t>
      </w:r>
    </w:p>
    <w:p w14:paraId="48CF84A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6E45C3CF">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14:paraId="6B58D988">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lang w:val="en-US" w:eastAsia="zh-CN"/>
        </w:rPr>
        <w:t>4.50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3.05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67.7</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1.79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36.98</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厉行节约，严格控制“三公”经费</w:t>
      </w:r>
      <w:r>
        <w:rPr>
          <w:rFonts w:ascii="Times New Roman" w:hAnsi="Times New Roman" w:eastAsia="仿宋_GB2312" w:cs="Times New Roman"/>
          <w:sz w:val="32"/>
          <w:szCs w:val="32"/>
        </w:rPr>
        <w:t>。决算数小于上年数的主要原因是</w:t>
      </w:r>
      <w:r>
        <w:rPr>
          <w:rFonts w:hint="eastAsia" w:ascii="仿宋_GB2312" w:hAnsi="仿宋_GB2312" w:eastAsia="仿宋_GB2312" w:cs="仿宋_GB2312"/>
          <w:color w:val="auto"/>
          <w:kern w:val="2"/>
          <w:sz w:val="32"/>
          <w:szCs w:val="32"/>
          <w:lang w:val="en-US" w:eastAsia="zh-CN" w:bidi="ar-SA"/>
        </w:rPr>
        <w:t>厉行节约，严格控制“三公”经费</w:t>
      </w:r>
      <w:r>
        <w:rPr>
          <w:rFonts w:ascii="Times New Roman" w:hAnsi="Times New Roman" w:eastAsia="仿宋_GB2312" w:cs="Times New Roman"/>
          <w:sz w:val="32"/>
          <w:szCs w:val="32"/>
        </w:rPr>
        <w:t>。</w:t>
      </w:r>
    </w:p>
    <w:p w14:paraId="79CC400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14:paraId="5C9DCA4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决算数等于预算数</w:t>
      </w:r>
      <w:r>
        <w:rPr>
          <w:rFonts w:hint="eastAsia" w:ascii="Times New Roman" w:hAnsi="Times New Roman" w:eastAsia="仿宋_GB2312" w:cs="Times New Roman"/>
          <w:sz w:val="32"/>
          <w:szCs w:val="32"/>
          <w:lang w:val="en-US" w:eastAsia="zh-CN"/>
        </w:rPr>
        <w:t>，主要原因是我单位严格按预算执行决算</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与上年一致，无增减变动，主要原因是未安排因公出国（境）活动。</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62238E2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与上年一致，无增减变动</w:t>
      </w:r>
      <w:r>
        <w:rPr>
          <w:rFonts w:ascii="Times New Roman" w:hAnsi="Times New Roman" w:eastAsia="仿宋_GB2312" w:cs="Times New Roman"/>
          <w:sz w:val="32"/>
          <w:szCs w:val="32"/>
        </w:rPr>
        <w:t>。其中：</w:t>
      </w:r>
    </w:p>
    <w:p w14:paraId="541CF23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决算数等于预算数，主要原因是我单位严格按预算执行决算</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与上年一致，无增减变动，主要原因是两年均未购置公务用车。本单位</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w:t>
      </w:r>
    </w:p>
    <w:p w14:paraId="5949476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2.99</w:t>
      </w:r>
      <w:r>
        <w:rPr>
          <w:rFonts w:ascii="Times New Roman" w:hAnsi="Times New Roman" w:eastAsia="仿宋_GB2312" w:cs="Times New Roman"/>
          <w:sz w:val="32"/>
          <w:szCs w:val="32"/>
        </w:rPr>
        <w:t>万元，</w:t>
      </w:r>
    </w:p>
    <w:p w14:paraId="765258F9">
      <w:pPr>
        <w:pStyle w:val="13"/>
        <w:overflowPunct w:val="0"/>
        <w:autoSpaceDE/>
        <w:autoSpaceDN/>
        <w:spacing w:line="600" w:lineRule="exact"/>
        <w:ind w:firstLine="640" w:firstLineChars="200"/>
        <w:jc w:val="both"/>
        <w:rPr>
          <w:rFonts w:ascii="Times New Roman" w:hAnsi="Times New Roman" w:eastAsia="楷体" w:cs="Times New Roman"/>
          <w:b/>
          <w:bCs/>
          <w:i/>
          <w:color w:val="FF0000"/>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公务用车加油、维修、保险支出</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rPr>
        <w:t>99.6</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25.06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厉行节约，减少开支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上年进行了大型保养</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截止</w:t>
      </w:r>
      <w:r>
        <w:rPr>
          <w:rFonts w:hint="eastAsia" w:ascii="Times New Roman" w:hAnsi="Times New Roman" w:eastAsia="仿宋_GB2312" w:cs="Times New Roman"/>
          <w:sz w:val="32"/>
          <w:szCs w:val="32"/>
          <w:highlight w:val="none"/>
          <w:lang w:eastAsia="zh-CN"/>
        </w:rPr>
        <w:t>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2DBC5DED">
      <w:pPr>
        <w:numPr>
          <w:ilvl w:val="0"/>
          <w:numId w:val="0"/>
        </w:num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rPr>
        <w:t>1.5</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0.06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0.79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92.94</w:t>
      </w:r>
      <w:r>
        <w:rPr>
          <w:rFonts w:ascii="Times New Roman" w:hAnsi="Times New Roman" w:eastAsia="仿宋_GB2312" w:cs="Times New Roman"/>
          <w:sz w:val="32"/>
          <w:szCs w:val="32"/>
        </w:rPr>
        <w:t>%。决算数小于预算数的主要原因是</w:t>
      </w:r>
      <w:r>
        <w:rPr>
          <w:rFonts w:hint="eastAsia" w:ascii="仿宋_GB2312" w:hAnsi="仿宋_GB2312" w:eastAsia="仿宋_GB2312" w:cs="仿宋_GB2312"/>
          <w:sz w:val="32"/>
          <w:szCs w:val="32"/>
        </w:rPr>
        <w:t>厉行节约，减少开支</w:t>
      </w:r>
      <w:r>
        <w:rPr>
          <w:rFonts w:ascii="Times New Roman" w:hAnsi="Times New Roman" w:eastAsia="仿宋_GB2312" w:cs="Times New Roman"/>
          <w:sz w:val="32"/>
          <w:szCs w:val="32"/>
        </w:rPr>
        <w:t>。决算数小于上年数的主要原因是</w:t>
      </w:r>
      <w:r>
        <w:rPr>
          <w:rFonts w:hint="eastAsia" w:ascii="仿宋_GB2312" w:hAnsi="仿宋_GB2312" w:eastAsia="仿宋_GB2312" w:cs="仿宋_GB2312"/>
          <w:sz w:val="32"/>
          <w:szCs w:val="32"/>
        </w:rPr>
        <w:t>厉行节约，减少开支</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w:t>
      </w:r>
      <w:r>
        <w:rPr>
          <w:rFonts w:ascii="Times New Roman" w:hAnsi="Times New Roman" w:eastAsia="仿宋_GB2312" w:cs="Times New Roman"/>
          <w:sz w:val="32"/>
          <w:szCs w:val="32"/>
          <w:highlight w:val="none"/>
        </w:rPr>
        <w:t>组</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4</w:t>
      </w:r>
      <w:r>
        <w:rPr>
          <w:rFonts w:ascii="Times New Roman" w:hAnsi="Times New Roman" w:eastAsia="仿宋_GB2312" w:cs="Times New Roman"/>
          <w:sz w:val="32"/>
          <w:szCs w:val="32"/>
          <w:highlight w:val="none"/>
        </w:rPr>
        <w:t>人次，主要是</w:t>
      </w:r>
      <w:r>
        <w:rPr>
          <w:rFonts w:hint="eastAsia" w:ascii="Times New Roman" w:hAnsi="Times New Roman" w:eastAsia="仿宋_GB2312" w:cs="Times New Roman"/>
          <w:sz w:val="32"/>
          <w:szCs w:val="32"/>
          <w:highlight w:val="none"/>
        </w:rPr>
        <w:t>用于招待考察调研、学习交流等</w:t>
      </w:r>
      <w:r>
        <w:rPr>
          <w:rFonts w:ascii="Times New Roman" w:hAnsi="Times New Roman" w:eastAsia="仿宋_GB2312" w:cs="Times New Roman"/>
          <w:sz w:val="32"/>
          <w:szCs w:val="32"/>
          <w:highlight w:val="none"/>
        </w:rPr>
        <w:t>发生的接待支出。</w:t>
      </w:r>
    </w:p>
    <w:p w14:paraId="1E6B75F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4E339ED9">
      <w:pPr>
        <w:pStyle w:val="13"/>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度机关运行经费支出37.31万元，</w:t>
      </w:r>
      <w:r>
        <w:rPr>
          <w:rFonts w:hint="eastAsia" w:ascii="仿宋_GB2312" w:hAnsi="仿宋_GB2312" w:eastAsia="仿宋_GB2312" w:cs="仿宋_GB2312"/>
          <w:sz w:val="32"/>
          <w:szCs w:val="32"/>
          <w:highlight w:val="none"/>
        </w:rPr>
        <w:t>比年初预算数减少</w:t>
      </w:r>
      <w:r>
        <w:rPr>
          <w:rFonts w:hint="eastAsia" w:ascii="仿宋_GB2312" w:hAnsi="仿宋_GB2312" w:eastAsia="仿宋_GB2312" w:cs="仿宋_GB2312"/>
          <w:sz w:val="32"/>
          <w:szCs w:val="32"/>
          <w:highlight w:val="none"/>
          <w:lang w:val="en-US" w:eastAsia="zh-CN"/>
        </w:rPr>
        <w:t>7.80</w:t>
      </w:r>
      <w:r>
        <w:rPr>
          <w:rFonts w:hint="eastAsia" w:ascii="仿宋_GB2312" w:hAnsi="仿宋_GB2312" w:eastAsia="仿宋_GB2312" w:cs="仿宋_GB2312"/>
          <w:sz w:val="32"/>
          <w:szCs w:val="32"/>
          <w:highlight w:val="none"/>
        </w:rPr>
        <w:t>万元，降低</w:t>
      </w:r>
      <w:r>
        <w:rPr>
          <w:rFonts w:hint="eastAsia" w:ascii="仿宋_GB2312" w:hAnsi="仿宋_GB2312" w:eastAsia="仿宋_GB2312" w:cs="仿宋_GB2312"/>
          <w:sz w:val="32"/>
          <w:szCs w:val="32"/>
          <w:highlight w:val="none"/>
          <w:lang w:val="en-US" w:eastAsia="zh-CN"/>
        </w:rPr>
        <w:t>17.29</w:t>
      </w:r>
      <w:r>
        <w:rPr>
          <w:rFonts w:hint="eastAsia" w:ascii="仿宋_GB2312" w:hAnsi="仿宋_GB2312" w:eastAsia="仿宋_GB2312" w:cs="仿宋_GB2312"/>
          <w:sz w:val="32"/>
          <w:szCs w:val="32"/>
          <w:highlight w:val="none"/>
        </w:rPr>
        <w:t>%。主要原因是：</w:t>
      </w:r>
      <w:r>
        <w:rPr>
          <w:rFonts w:hint="eastAsia" w:ascii="仿宋_GB2312" w:hAnsi="仿宋_GB2312" w:eastAsia="仿宋_GB2312" w:cs="仿宋_GB2312"/>
          <w:color w:val="auto"/>
          <w:kern w:val="2"/>
          <w:sz w:val="32"/>
          <w:szCs w:val="32"/>
          <w:highlight w:val="none"/>
          <w:lang w:val="en-US" w:eastAsia="zh-CN" w:bidi="ar-SA"/>
        </w:rPr>
        <w:t>严格控制经费支出,办公费减少</w:t>
      </w:r>
      <w:r>
        <w:rPr>
          <w:rFonts w:hint="eastAsia" w:ascii="楷体" w:hAnsi="楷体" w:eastAsia="楷体" w:cs="楷体"/>
          <w:sz w:val="32"/>
          <w:szCs w:val="32"/>
          <w:highlight w:val="none"/>
        </w:rPr>
        <w:t>。</w:t>
      </w:r>
    </w:p>
    <w:p w14:paraId="6A2A052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3807CEA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val="0"/>
          <w:iCs w:val="0"/>
          <w:color w:val="FF0000"/>
          <w:kern w:val="0"/>
          <w:sz w:val="40"/>
          <w:szCs w:val="40"/>
          <w:lang w:val="en-US" w:eastAsia="zh-CN" w:bidi="ar-SA"/>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度，本单位无会议费的预算和支出决算数；本单位无培训费的预算和支出决算数；本单位无举办节庆、晚会、论坛、赛事等活动的预算和支出决算数。</w:t>
      </w:r>
    </w:p>
    <w:p w14:paraId="58B4133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2E64760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度政府采购支出总额10.3</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万元，其中：政府采购货物支出6.76万元、政府采购工程支出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万元、政府采购服务支出3.54万元。授予中小企业合同金额10.3</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万元，占政府采购支出总额的1</w:t>
      </w:r>
      <w:r>
        <w:rPr>
          <w:rFonts w:hint="eastAsia" w:ascii="仿宋_GB2312" w:hAnsi="仿宋_GB2312" w:eastAsia="仿宋_GB2312" w:cs="仿宋_GB2312"/>
          <w:sz w:val="32"/>
          <w:szCs w:val="32"/>
          <w:lang w:val="en-US" w:eastAsia="zh-CN"/>
        </w:rPr>
        <w:t>00.00</w:t>
      </w:r>
      <w:r>
        <w:rPr>
          <w:rFonts w:hint="eastAsia" w:ascii="仿宋_GB2312" w:hAnsi="仿宋_GB2312" w:eastAsia="仿宋_GB2312" w:cs="仿宋_GB2312"/>
          <w:sz w:val="32"/>
          <w:szCs w:val="32"/>
        </w:rPr>
        <w:t>%，其中：授予小微企业合同金额10.3</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eastAsia="zh-CN"/>
        </w:rPr>
        <w:t>授予中小企业合同金额</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100.00</w:t>
      </w:r>
      <w:r>
        <w:rPr>
          <w:rFonts w:hint="eastAsia" w:ascii="仿宋_GB2312" w:hAnsi="仿宋_GB2312" w:eastAsia="仿宋_GB2312" w:cs="仿宋_GB2312"/>
          <w:color w:val="auto"/>
          <w:sz w:val="32"/>
          <w:szCs w:val="32"/>
        </w:rPr>
        <w:t>%。货物采购授予中小</w:t>
      </w:r>
      <w:r>
        <w:rPr>
          <w:rFonts w:hint="eastAsia" w:ascii="Times New Roman" w:hAnsi="Times New Roman" w:eastAsia="仿宋_GB2312"/>
          <w:color w:val="auto"/>
          <w:sz w:val="32"/>
          <w:szCs w:val="32"/>
        </w:rPr>
        <w:t>企业合同金</w:t>
      </w:r>
      <w:r>
        <w:rPr>
          <w:rFonts w:hint="eastAsia" w:ascii="仿宋_GB2312" w:hAnsi="仿宋_GB2312" w:eastAsia="仿宋_GB2312" w:cs="仿宋_GB2312"/>
          <w:color w:val="auto"/>
          <w:sz w:val="32"/>
          <w:szCs w:val="32"/>
        </w:rPr>
        <w:t>额占货物支出金额的</w:t>
      </w:r>
      <w:r>
        <w:rPr>
          <w:rFonts w:hint="eastAsia" w:ascii="仿宋_GB2312" w:hAnsi="仿宋_GB2312" w:eastAsia="仿宋_GB2312" w:cs="仿宋_GB2312"/>
          <w:color w:val="auto"/>
          <w:sz w:val="32"/>
          <w:szCs w:val="32"/>
          <w:lang w:val="en-US" w:eastAsia="zh-CN"/>
        </w:rPr>
        <w:t>100.00</w:t>
      </w:r>
      <w:r>
        <w:rPr>
          <w:rFonts w:hint="eastAsia" w:ascii="仿宋_GB2312" w:hAnsi="仿宋_GB2312" w:eastAsia="仿宋_GB2312" w:cs="仿宋_GB2312"/>
          <w:color w:val="auto"/>
          <w:sz w:val="32"/>
          <w:szCs w:val="32"/>
        </w:rPr>
        <w:t>%，工程采购授予中小企业合同金额占工程支出金额的</w:t>
      </w:r>
      <w:r>
        <w:rPr>
          <w:rFonts w:hint="eastAsia" w:ascii="仿宋_GB2312" w:hAnsi="仿宋_GB2312" w:eastAsia="仿宋_GB2312" w:cs="仿宋_GB2312"/>
          <w:color w:val="auto"/>
          <w:sz w:val="32"/>
          <w:szCs w:val="32"/>
          <w:lang w:val="en-US" w:eastAsia="zh-CN"/>
        </w:rPr>
        <w:t>100.00</w:t>
      </w:r>
      <w:r>
        <w:rPr>
          <w:rFonts w:hint="eastAsia" w:ascii="仿宋_GB2312" w:hAnsi="仿宋_GB2312" w:eastAsia="仿宋_GB2312" w:cs="仿宋_GB2312"/>
          <w:color w:val="auto"/>
          <w:sz w:val="32"/>
          <w:szCs w:val="32"/>
        </w:rPr>
        <w:t>%，服务采购授予中小企业合同金额占服务支出金额的</w:t>
      </w:r>
      <w:r>
        <w:rPr>
          <w:rFonts w:hint="eastAsia" w:ascii="仿宋_GB2312" w:hAnsi="仿宋_GB2312" w:eastAsia="仿宋_GB2312" w:cs="仿宋_GB2312"/>
          <w:color w:val="auto"/>
          <w:sz w:val="32"/>
          <w:szCs w:val="32"/>
          <w:lang w:val="en-US" w:eastAsia="zh-CN"/>
        </w:rPr>
        <w:t>100.00</w:t>
      </w:r>
      <w:r>
        <w:rPr>
          <w:rFonts w:hint="eastAsia" w:ascii="仿宋_GB2312" w:hAnsi="仿宋_GB2312" w:eastAsia="仿宋_GB2312" w:cs="仿宋_GB2312"/>
          <w:color w:val="auto"/>
          <w:sz w:val="32"/>
          <w:szCs w:val="32"/>
        </w:rPr>
        <w:t>%。</w:t>
      </w:r>
    </w:p>
    <w:p w14:paraId="2193197E">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70AE4F60">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2025年</w:t>
      </w:r>
      <w:r>
        <w:rPr>
          <w:rFonts w:hint="eastAsia" w:ascii="仿宋_GB2312" w:hAnsi="仿宋_GB2312" w:eastAsia="仿宋_GB2312" w:cs="仿宋_GB2312"/>
          <w:color w:val="auto"/>
          <w:sz w:val="32"/>
          <w:szCs w:val="32"/>
        </w:rPr>
        <w:t>12月31日，</w:t>
      </w:r>
      <w:r>
        <w:rPr>
          <w:rFonts w:hint="eastAsia" w:ascii="仿宋_GB2312" w:hAnsi="仿宋_GB2312" w:eastAsia="仿宋_GB2312" w:cs="仿宋_GB2312"/>
          <w:color w:val="auto"/>
          <w:sz w:val="32"/>
          <w:szCs w:val="32"/>
          <w:lang w:eastAsia="zh-CN"/>
        </w:rPr>
        <w:t>部门（单位）</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台（套）。</w:t>
      </w:r>
    </w:p>
    <w:p w14:paraId="2D4837BF">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14:paraId="09768AF4">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165CCA42">
      <w:pPr>
        <w:overflowPunct w:val="0"/>
        <w:spacing w:line="60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36.86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36.86</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rPr>
        <w:t>10.1</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0.00</w:t>
      </w:r>
      <w:r>
        <w:rPr>
          <w:rFonts w:ascii="Times New Roman" w:hAnsi="Times New Roman" w:eastAsia="仿宋_GB2312" w:cs="Times New Roman"/>
          <w:kern w:val="0"/>
          <w:sz w:val="32"/>
          <w:szCs w:val="32"/>
        </w:rPr>
        <w:t>万元，</w:t>
      </w:r>
      <w:r>
        <w:rPr>
          <w:rFonts w:hint="eastAsia" w:ascii="仿宋_GB2312" w:hAnsi="仿宋_GB2312" w:eastAsia="仿宋_GB2312" w:cs="仿宋_GB2312"/>
          <w:color w:val="auto"/>
          <w:kern w:val="2"/>
          <w:sz w:val="32"/>
          <w:szCs w:val="32"/>
          <w:lang w:val="en-US" w:eastAsia="zh-CN" w:bidi="ar-SA"/>
        </w:rPr>
        <w:t>由于政府性基金预算支出总额为0，故无法计算占政府性基金预算项目支出总额的比重；</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0.00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0.00</w:t>
      </w:r>
      <w:r>
        <w:rPr>
          <w:rFonts w:ascii="Times New Roman" w:hAnsi="Times New Roman" w:eastAsia="仿宋_GB2312" w:cs="Times New Roman"/>
          <w:kern w:val="0"/>
          <w:sz w:val="32"/>
          <w:szCs w:val="32"/>
        </w:rPr>
        <w:t>%；</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0.00</w:t>
      </w:r>
      <w:r>
        <w:rPr>
          <w:rFonts w:ascii="Times New Roman" w:hAnsi="Times New Roman" w:eastAsia="仿宋_GB2312" w:cs="Times New Roman"/>
          <w:kern w:val="0"/>
          <w:sz w:val="32"/>
          <w:szCs w:val="32"/>
          <w:highlight w:val="none"/>
        </w:rPr>
        <w:t>万元，</w:t>
      </w:r>
      <w:r>
        <w:rPr>
          <w:rFonts w:hint="eastAsia" w:ascii="仿宋_GB2312" w:hAnsi="仿宋_GB2312" w:eastAsia="仿宋_GB2312" w:cs="仿宋_GB2312"/>
          <w:color w:val="auto"/>
          <w:kern w:val="2"/>
          <w:sz w:val="32"/>
          <w:szCs w:val="32"/>
          <w:lang w:val="en-US" w:eastAsia="zh-CN" w:bidi="ar-SA"/>
        </w:rPr>
        <w:t>由于社会保险基金预算支出总额为0，故无法计算占社会保险基金预算项目支出总额的比重</w:t>
      </w:r>
      <w:r>
        <w:rPr>
          <w:rFonts w:ascii="Times New Roman" w:hAnsi="Times New Roman" w:eastAsia="仿宋_GB2312" w:cs="Times New Roman"/>
          <w:kern w:val="0"/>
          <w:sz w:val="32"/>
          <w:szCs w:val="32"/>
          <w:highlight w:val="none"/>
        </w:rPr>
        <w:t>。</w:t>
      </w:r>
    </w:p>
    <w:p w14:paraId="49F2256C">
      <w:pPr>
        <w:overflowPunct w:val="0"/>
        <w:spacing w:line="600" w:lineRule="exact"/>
        <w:ind w:firstLine="640" w:firstLineChars="200"/>
        <w:rPr>
          <w:rFonts w:hint="eastAsia" w:ascii="仿宋_GB2312" w:hAnsi="仿宋_GB2312" w:eastAsia="仿宋_GB2312" w:cs="仿宋_GB2312"/>
          <w:color w:val="auto"/>
          <w:kern w:val="2"/>
          <w:sz w:val="32"/>
          <w:szCs w:val="32"/>
          <w:lang w:val="en-US" w:eastAsia="zh-CN" w:bidi="ar-SA"/>
        </w:rPr>
      </w:pP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b/>
          <w:bCs/>
          <w:kern w:val="0"/>
          <w:sz w:val="32"/>
          <w:szCs w:val="32"/>
        </w:rPr>
        <w:t>部门评价开展情况。</w:t>
      </w:r>
      <w:r>
        <w:rPr>
          <w:rFonts w:hint="eastAsia" w:ascii="仿宋_GB2312" w:hAnsi="仿宋_GB2312" w:eastAsia="仿宋_GB2312" w:cs="仿宋_GB2312"/>
          <w:color w:val="auto"/>
          <w:kern w:val="2"/>
          <w:sz w:val="32"/>
          <w:szCs w:val="32"/>
          <w:lang w:val="en-US" w:eastAsia="zh-CN" w:bidi="ar-SA"/>
        </w:rPr>
        <w:t>本单位及所属单位本年度未开展项目，所以无部门评价开展情况。</w:t>
      </w:r>
    </w:p>
    <w:p w14:paraId="0ADA73E5">
      <w:pPr>
        <w:overflowPunct w:val="0"/>
        <w:spacing w:line="600" w:lineRule="exact"/>
        <w:ind w:firstLine="640" w:firstLineChars="200"/>
        <w:rPr>
          <w:rFonts w:ascii="Times New Roman" w:hAnsi="Times New Roman" w:eastAsia="楷体" w:cs="Times New Roman"/>
          <w:b/>
          <w:bCs/>
          <w:sz w:val="32"/>
          <w:szCs w:val="32"/>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r>
        <w:rPr>
          <w:rFonts w:hint="eastAsia" w:ascii="仿宋_GB2312" w:hAnsi="仿宋_GB2312" w:eastAsia="仿宋_GB2312" w:cs="仿宋_GB2312"/>
          <w:color w:val="auto"/>
          <w:kern w:val="2"/>
          <w:sz w:val="32"/>
          <w:szCs w:val="32"/>
          <w:lang w:val="en-US" w:eastAsia="zh-CN" w:bidi="ar-SA"/>
        </w:rPr>
        <w:t>本单位及所属单位本年度未新增重大政策和重大项目，所以无事前绩效评估开展情况。</w:t>
      </w:r>
    </w:p>
    <w:p w14:paraId="7762B140">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5C08444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3" w:lineRule="atLeast"/>
        <w:ind w:left="0" w:right="0" w:firstLine="640" w:firstLineChars="200"/>
        <w:jc w:val="both"/>
        <w:textAlignment w:val="auto"/>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378.17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364.32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96.34</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99.63</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val="en-US" w:eastAsia="zh-CN"/>
        </w:rPr>
        <w:t>起草《政府工作报告》和市政府主要领导重要讲话、报告、文章</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起草市政府向省委、省政府的重要汇报材料</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三是组织和协同起草、修改市政府的有关重要综合性文件；四是组织重大课题研究调查研究并完成有价值、有见地、有分析、有对策的调研成果，为市委市政府决策提供可靠依据和可行对策。</w:t>
      </w:r>
      <w:r>
        <w:rPr>
          <w:rFonts w:ascii="Times New Roman" w:hAnsi="Times New Roman" w:eastAsia="仿宋_GB2312" w:cs="Times New Roman"/>
          <w:sz w:val="32"/>
          <w:szCs w:val="32"/>
        </w:rPr>
        <w:t>发现的主要问题及原因：一是</w:t>
      </w:r>
      <w:r>
        <w:rPr>
          <w:rFonts w:hint="eastAsia" w:ascii="仿宋" w:hAnsi="仿宋" w:eastAsia="仿宋" w:cs="仿宋"/>
          <w:color w:val="000000"/>
          <w:spacing w:val="0"/>
          <w:kern w:val="2"/>
          <w:position w:val="0"/>
          <w:sz w:val="32"/>
          <w:szCs w:val="32"/>
          <w:lang w:val="en-US" w:eastAsia="zh-CN" w:bidi="ar-SA"/>
        </w:rPr>
        <w:t>预算编制有待进一步准确。今后工作中，进一步严格按照预算规定项目的财务支出内容进行财务预算，在预算金额内严控费用支出。推动建立过紧日子的长效机制，推进预算一体化系统建设，使预算管理水平更上台阶</w:t>
      </w:r>
      <w:r>
        <w:rPr>
          <w:rFonts w:ascii="Times New Roman" w:hAnsi="Times New Roman" w:eastAsia="仿宋_GB2312" w:cs="Times New Roman"/>
          <w:sz w:val="32"/>
          <w:szCs w:val="32"/>
        </w:rPr>
        <w:t>；二是</w:t>
      </w:r>
      <w:r>
        <w:rPr>
          <w:rFonts w:hint="eastAsia" w:ascii="仿宋" w:hAnsi="仿宋" w:eastAsia="仿宋" w:cs="仿宋"/>
          <w:color w:val="000000"/>
          <w:spacing w:val="0"/>
          <w:kern w:val="2"/>
          <w:position w:val="0"/>
          <w:sz w:val="32"/>
          <w:szCs w:val="32"/>
          <w:lang w:val="en-US" w:eastAsia="zh-CN" w:bidi="ar-SA"/>
        </w:rPr>
        <w:t>加强系统性理论学习，坚持把党的政治建设摆在首位。加强深度调查研究,推动履职效能实现新提升。</w:t>
      </w:r>
      <w:r>
        <w:rPr>
          <w:rFonts w:ascii="Times New Roman" w:hAnsi="Times New Roman" w:eastAsia="仿宋_GB2312" w:cs="Times New Roman"/>
          <w:sz w:val="32"/>
          <w:szCs w:val="32"/>
        </w:rPr>
        <w:t>下一步改进措施：一是</w:t>
      </w:r>
      <w:r>
        <w:rPr>
          <w:rFonts w:hint="eastAsia" w:ascii="仿宋" w:hAnsi="仿宋" w:eastAsia="仿宋" w:cs="仿宋"/>
          <w:color w:val="000000"/>
          <w:spacing w:val="0"/>
          <w:kern w:val="2"/>
          <w:position w:val="0"/>
          <w:sz w:val="32"/>
          <w:szCs w:val="32"/>
          <w:lang w:val="en-US" w:eastAsia="zh-CN" w:bidi="ar-SA"/>
        </w:rPr>
        <w:t>继续锚定“1376”总体思路，大力弘扬实干担当精神</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持续提升参谋辅政能力，以更高标准、更实举措、更优作风推动研究室各项工作提质增效，为中国式现代化“七个岳阳”建设贡献更多智慧和力量</w:t>
      </w:r>
      <w:r>
        <w:rPr>
          <w:rFonts w:ascii="Times New Roman" w:hAnsi="Times New Roman" w:eastAsia="仿宋_GB2312" w:cs="Times New Roman"/>
          <w:sz w:val="32"/>
          <w:szCs w:val="32"/>
        </w:rPr>
        <w:t>。</w:t>
      </w:r>
    </w:p>
    <w:p w14:paraId="3008E2BB">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rPr>
        <w:t>部门评价结果。</w:t>
      </w:r>
      <w:r>
        <w:rPr>
          <w:rFonts w:hint="eastAsia" w:ascii="Times New Roman" w:hAnsi="Times New Roman" w:eastAsia="仿宋_GB2312" w:cs="Times New Roman"/>
          <w:kern w:val="0"/>
          <w:sz w:val="32"/>
          <w:szCs w:val="32"/>
          <w:lang w:val="en-US" w:eastAsia="zh-CN" w:bidi="ar"/>
        </w:rPr>
        <w:t>本单位及所属单位本年度未开展部门评价，所以无部门评价结果</w:t>
      </w:r>
      <w:r>
        <w:rPr>
          <w:rFonts w:hint="eastAsia" w:ascii="Times New Roman" w:hAnsi="Times New Roman" w:eastAsia="仿宋_GB2312" w:cs="Times New Roman"/>
          <w:kern w:val="0"/>
          <w:sz w:val="32"/>
          <w:szCs w:val="32"/>
          <w:lang w:val="en-US" w:eastAsia="zh-CN" w:bidi="ar"/>
        </w:rPr>
        <w:t>。</w:t>
      </w:r>
    </w:p>
    <w:p w14:paraId="52CF6682">
      <w:pPr>
        <w:overflowPunct w:val="0"/>
        <w:spacing w:line="600" w:lineRule="exact"/>
        <w:ind w:firstLine="640" w:firstLineChars="200"/>
        <w:rPr>
          <w:rFonts w:hint="eastAsia" w:ascii="仿宋_GB2312" w:hAnsi="仿宋_GB2312" w:eastAsia="仿宋_GB2312" w:cs="仿宋_GB2312"/>
          <w:color w:val="auto"/>
          <w:kern w:val="2"/>
          <w:sz w:val="32"/>
          <w:szCs w:val="32"/>
          <w:lang w:val="en-US" w:eastAsia="zh-CN" w:bidi="ar-SA"/>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r>
        <w:rPr>
          <w:rFonts w:hint="eastAsia" w:ascii="仿宋_GB2312" w:hAnsi="仿宋_GB2312" w:eastAsia="仿宋_GB2312" w:cs="仿宋_GB2312"/>
          <w:color w:val="auto"/>
          <w:kern w:val="2"/>
          <w:sz w:val="32"/>
          <w:szCs w:val="32"/>
          <w:lang w:val="en-US" w:eastAsia="zh-CN" w:bidi="ar-SA"/>
        </w:rPr>
        <w:t>本单位及所属单位本年度未开展事前绩效评估，所以无事前绩效评估结果。</w:t>
      </w:r>
    </w:p>
    <w:p w14:paraId="09AB4C89">
      <w:pPr>
        <w:numPr>
          <w:ilvl w:val="0"/>
          <w:numId w:val="4"/>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6BF6E0D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3" w:lineRule="atLeast"/>
        <w:ind w:left="0" w:right="0" w:firstLine="640" w:firstLineChars="200"/>
        <w:jc w:val="both"/>
        <w:textAlignment w:val="auto"/>
        <w:rPr>
          <w:rFonts w:hint="eastAsia" w:ascii="仿宋" w:hAnsi="仿宋" w:eastAsia="仿宋" w:cs="仿宋"/>
          <w:color w:val="000000"/>
          <w:spacing w:val="0"/>
          <w:kern w:val="2"/>
          <w:position w:val="0"/>
          <w:sz w:val="32"/>
          <w:szCs w:val="32"/>
          <w:lang w:val="en-US" w:eastAsia="zh-CN" w:bidi="ar-SA"/>
        </w:rPr>
      </w:pPr>
      <w:r>
        <w:rPr>
          <w:rFonts w:hint="eastAsia" w:ascii="仿宋" w:hAnsi="仿宋" w:eastAsia="仿宋" w:cs="仿宋"/>
          <w:color w:val="000000"/>
          <w:spacing w:val="0"/>
          <w:kern w:val="2"/>
          <w:position w:val="0"/>
          <w:sz w:val="32"/>
          <w:szCs w:val="32"/>
          <w:lang w:val="en-US" w:eastAsia="zh-CN" w:bidi="ar-SA"/>
        </w:rPr>
        <w:t>本单位高度重视此项绩效自评工作，积极落实主体责任，切实加强组织领导，按照绩效评价相关制度规定，明确具体责任人，认真开展自评，撰写了此份绩效评价报告，确保绩效自评工作顺利实施，并将按照要求进行信息公开，对存在的问题积极整改。</w:t>
      </w:r>
    </w:p>
    <w:p w14:paraId="53F9A8EB">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14:paraId="2268E9D5">
      <w:pPr>
        <w:pStyle w:val="2"/>
        <w:rPr>
          <w:rFonts w:hint="eastAsia"/>
          <w:lang w:val="en-US" w:eastAsia="zh-CN"/>
        </w:rPr>
      </w:pPr>
    </w:p>
    <w:p w14:paraId="3E9664B3">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72C908D5">
      <w:pPr>
        <w:pStyle w:val="13"/>
        <w:jc w:val="center"/>
        <w:rPr>
          <w:rFonts w:hint="eastAsia" w:ascii="方正小标宋_GBK" w:hAnsi="方正小标宋_GBK" w:eastAsia="方正小标宋_GBK" w:cs="方正小标宋_GBK"/>
          <w:sz w:val="72"/>
          <w:szCs w:val="72"/>
        </w:rPr>
      </w:pPr>
    </w:p>
    <w:p w14:paraId="5EE7475F">
      <w:pPr>
        <w:pStyle w:val="13"/>
        <w:jc w:val="center"/>
        <w:rPr>
          <w:rFonts w:hint="eastAsia" w:ascii="方正小标宋_GBK" w:hAnsi="方正小标宋_GBK" w:eastAsia="方正小标宋_GBK" w:cs="方正小标宋_GBK"/>
          <w:sz w:val="72"/>
          <w:szCs w:val="72"/>
        </w:rPr>
      </w:pPr>
      <w:bookmarkStart w:id="0" w:name="_GoBack"/>
      <w:bookmarkEnd w:id="0"/>
    </w:p>
    <w:p w14:paraId="59F0B173">
      <w:pPr>
        <w:pStyle w:val="13"/>
        <w:jc w:val="center"/>
        <w:rPr>
          <w:rFonts w:hint="eastAsia" w:ascii="方正小标宋_GBK" w:hAnsi="方正小标宋_GBK" w:eastAsia="方正小标宋_GBK" w:cs="方正小标宋_GBK"/>
          <w:sz w:val="72"/>
          <w:szCs w:val="72"/>
        </w:rPr>
      </w:pPr>
    </w:p>
    <w:p w14:paraId="45AD9DD6">
      <w:pPr>
        <w:pStyle w:val="13"/>
        <w:jc w:val="center"/>
        <w:rPr>
          <w:rFonts w:hint="eastAsia" w:ascii="方正小标宋_GBK" w:hAnsi="方正小标宋_GBK" w:eastAsia="方正小标宋_GBK" w:cs="方正小标宋_GBK"/>
          <w:sz w:val="72"/>
          <w:szCs w:val="72"/>
        </w:rPr>
      </w:pPr>
    </w:p>
    <w:p w14:paraId="1145EFCA">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5A8B542F">
      <w:pPr>
        <w:jc w:val="center"/>
        <w:rPr>
          <w:rFonts w:hint="eastAsia" w:ascii="方正小标宋_GBK" w:hAnsi="方正小标宋_GBK" w:eastAsia="方正小标宋_GBK" w:cs="方正小标宋_GBK"/>
          <w:color w:val="000000"/>
          <w:kern w:val="0"/>
          <w:sz w:val="70"/>
          <w:szCs w:val="70"/>
        </w:rPr>
      </w:pPr>
    </w:p>
    <w:p w14:paraId="50E136F9">
      <w:pPr>
        <w:pStyle w:val="13"/>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14:paraId="3893E6AD">
      <w:pPr>
        <w:pStyle w:val="2"/>
      </w:pPr>
    </w:p>
    <w:p w14:paraId="754BC716">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75346AC">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二、机关运行经费</w:t>
      </w:r>
      <w:r>
        <w:rPr>
          <w:rFonts w:hint="eastAsia" w:ascii="仿宋_GB2312" w:hAnsi="仿宋_GB2312" w:eastAsia="仿宋_GB2312" w:cs="仿宋_GB2312"/>
          <w:color w:val="000000"/>
          <w:kern w:val="0"/>
          <w:sz w:val="32"/>
          <w:szCs w:val="32"/>
          <w:lang w:eastAsia="zh-CN"/>
        </w:rPr>
        <w:t>，指为保障行政单位（包括参照公务员法管理的事业单位）运行用于购买货物和服务的各项资金</w:t>
      </w:r>
      <w:r>
        <w:rPr>
          <w:rFonts w:hint="eastAsia" w:ascii="仿宋_GB2312" w:hAnsi="仿宋_GB2312" w:eastAsia="仿宋_GB2312" w:cs="仿宋_GB2312"/>
          <w:color w:val="000000"/>
          <w:kern w:val="0"/>
          <w:sz w:val="32"/>
          <w:szCs w:val="32"/>
        </w:rPr>
        <w:t>，包括办公</w:t>
      </w:r>
      <w:r>
        <w:rPr>
          <w:rFonts w:hint="eastAsia" w:ascii="仿宋_GB2312" w:hAnsi="仿宋_GB2312" w:eastAsia="仿宋_GB2312" w:cs="仿宋_GB2312"/>
          <w:color w:val="000000"/>
          <w:kern w:val="0"/>
          <w:sz w:val="32"/>
          <w:szCs w:val="32"/>
          <w:lang w:eastAsia="zh-CN"/>
        </w:rPr>
        <w:t>费、</w:t>
      </w:r>
      <w:r>
        <w:rPr>
          <w:rFonts w:hint="eastAsia" w:ascii="仿宋_GB2312" w:hAnsi="仿宋_GB2312" w:eastAsia="仿宋_GB2312" w:cs="仿宋_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14:paraId="5974BE2B">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2" w:lineRule="atLeast"/>
        <w:ind w:left="0" w:right="0" w:firstLine="640" w:firstLineChars="200"/>
        <w:jc w:val="both"/>
        <w:textAlignment w:val="center"/>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三、基本支出：指为保障机构正常运转、完成日常工作任务而发生的各项支出，包括人员支出和公用支出。</w:t>
      </w:r>
    </w:p>
    <w:p w14:paraId="5791ACA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bCs/>
          <w:i/>
          <w:color w:val="FF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四、项目支出：指在基本支出以外为完成相关行政任务和事业发展目标所发生的各项支出。</w:t>
      </w:r>
    </w:p>
    <w:p w14:paraId="609F9217">
      <w:pPr>
        <w:pStyle w:val="13"/>
        <w:jc w:val="center"/>
        <w:rPr>
          <w:rFonts w:hint="eastAsia" w:ascii="仿宋_GB2312" w:hAnsi="仿宋_GB2312" w:eastAsia="仿宋_GB2312" w:cs="仿宋_GB2312"/>
          <w:sz w:val="32"/>
          <w:szCs w:val="32"/>
        </w:rPr>
      </w:pPr>
    </w:p>
    <w:p w14:paraId="3374CAAB">
      <w:pPr>
        <w:pStyle w:val="3"/>
      </w:pPr>
    </w:p>
    <w:p w14:paraId="27174F1E"/>
    <w:p w14:paraId="4F7E9FDD">
      <w:pPr>
        <w:pStyle w:val="2"/>
      </w:pPr>
    </w:p>
    <w:p w14:paraId="2610E5CF">
      <w:pPr>
        <w:pStyle w:val="3"/>
      </w:pPr>
    </w:p>
    <w:p w14:paraId="04EA3B11"/>
    <w:p w14:paraId="64EBCF9A">
      <w:pPr>
        <w:pStyle w:val="2"/>
      </w:pPr>
    </w:p>
    <w:p w14:paraId="6DCF8D01">
      <w:pPr>
        <w:pStyle w:val="3"/>
      </w:pPr>
    </w:p>
    <w:p w14:paraId="469FBF09"/>
    <w:p w14:paraId="7E03FEC7">
      <w:pPr>
        <w:pStyle w:val="2"/>
      </w:pPr>
    </w:p>
    <w:p w14:paraId="0F35F3EB">
      <w:pPr>
        <w:pStyle w:val="3"/>
      </w:pPr>
    </w:p>
    <w:p w14:paraId="7F0674BB"/>
    <w:p w14:paraId="16E152C2">
      <w:pPr>
        <w:pStyle w:val="2"/>
      </w:pPr>
    </w:p>
    <w:p w14:paraId="70CADE2C">
      <w:pPr>
        <w:pStyle w:val="3"/>
      </w:pPr>
    </w:p>
    <w:p w14:paraId="2B941FDB"/>
    <w:p w14:paraId="3B82D69D">
      <w:pPr>
        <w:pStyle w:val="2"/>
      </w:pPr>
    </w:p>
    <w:p w14:paraId="4E03F4D5">
      <w:pPr>
        <w:pStyle w:val="3"/>
      </w:pPr>
    </w:p>
    <w:p w14:paraId="6F92E63B"/>
    <w:p w14:paraId="617CCF14">
      <w:pPr>
        <w:pStyle w:val="2"/>
      </w:pPr>
    </w:p>
    <w:p w14:paraId="3B5929BB">
      <w:pPr>
        <w:pStyle w:val="3"/>
      </w:pPr>
    </w:p>
    <w:p w14:paraId="5AF1B8FE"/>
    <w:p w14:paraId="680FE7BE"/>
    <w:p w14:paraId="7BDE0CF4">
      <w:pPr>
        <w:pStyle w:val="2"/>
      </w:pPr>
    </w:p>
    <w:p w14:paraId="48E788E8">
      <w:pPr>
        <w:pStyle w:val="13"/>
        <w:jc w:val="both"/>
        <w:rPr>
          <w:rFonts w:hint="eastAsia" w:ascii="方正小标宋_GBK" w:hAnsi="方正小标宋_GBK" w:eastAsia="方正小标宋_GBK" w:cs="方正小标宋_GBK"/>
          <w:sz w:val="72"/>
          <w:szCs w:val="72"/>
        </w:rPr>
      </w:pPr>
    </w:p>
    <w:p w14:paraId="6AD92691">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2B3528C9">
      <w:pPr>
        <w:pStyle w:val="13"/>
        <w:jc w:val="both"/>
        <w:rPr>
          <w:rFonts w:hint="eastAsia" w:ascii="方正小标宋_GBK" w:hAnsi="方正小标宋_GBK" w:eastAsia="方正小标宋_GBK" w:cs="方正小标宋_GBK"/>
          <w:sz w:val="70"/>
          <w:szCs w:val="70"/>
          <w:lang w:eastAsia="zh-CN"/>
        </w:rPr>
      </w:pPr>
    </w:p>
    <w:p w14:paraId="2C82C444">
      <w:pPr>
        <w:pStyle w:val="13"/>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432591CC">
      <w:pPr>
        <w:ind w:firstLine="640" w:firstLineChars="200"/>
        <w:jc w:val="left"/>
        <w:rPr>
          <w:rFonts w:hint="eastAsia" w:ascii="宋体" w:hAnsi="宋体" w:eastAsia="宋体" w:cs="黑体"/>
          <w:b/>
          <w:color w:val="000000"/>
          <w:kern w:val="0"/>
          <w:sz w:val="32"/>
          <w:szCs w:val="32"/>
          <w:lang w:val="en-US" w:eastAsia="zh-CN"/>
        </w:rPr>
      </w:pPr>
    </w:p>
    <w:p w14:paraId="1AFD7887">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14:paraId="7D444EE1">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14:paraId="3AB95B96"/>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8080F95D">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DA0E2483"/>
    <w:multiLevelType w:val="singleLevel"/>
    <w:tmpl w:val="DA0E2483"/>
    <w:lvl w:ilvl="0" w:tentative="0">
      <w:start w:val="1"/>
      <w:numFmt w:val="decimal"/>
      <w:suff w:val="nothing"/>
      <w:lvlText w:val="%1、"/>
      <w:lvlJc w:val="left"/>
    </w:lvl>
  </w:abstractNum>
  <w:abstractNum w:abstractNumId="2">
    <w:nsid w:val="222B3145"/>
    <w:multiLevelType w:val="singleLevel"/>
    <w:tmpl w:val="222B3145"/>
    <w:lvl w:ilvl="0" w:tentative="0">
      <w:start w:val="4"/>
      <w:numFmt w:val="decimal"/>
      <w:suff w:val="nothing"/>
      <w:lvlText w:val="%1、"/>
      <w:lvlJc w:val="left"/>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A12ECC"/>
    <w:rsid w:val="02F94AB6"/>
    <w:rsid w:val="059958AD"/>
    <w:rsid w:val="06C857E7"/>
    <w:rsid w:val="08C24A73"/>
    <w:rsid w:val="0DDF1C18"/>
    <w:rsid w:val="11944E2C"/>
    <w:rsid w:val="12583BA5"/>
    <w:rsid w:val="12665150"/>
    <w:rsid w:val="13BA5B9C"/>
    <w:rsid w:val="1D97DEFF"/>
    <w:rsid w:val="1DFF72E5"/>
    <w:rsid w:val="1EFC6F07"/>
    <w:rsid w:val="1F0527A6"/>
    <w:rsid w:val="22AC03C2"/>
    <w:rsid w:val="283B15FE"/>
    <w:rsid w:val="2FDF85B8"/>
    <w:rsid w:val="2FFFEE04"/>
    <w:rsid w:val="31C95635"/>
    <w:rsid w:val="34DF85B0"/>
    <w:rsid w:val="35CE21CA"/>
    <w:rsid w:val="3B8F36BC"/>
    <w:rsid w:val="42AC6990"/>
    <w:rsid w:val="43EB5BA5"/>
    <w:rsid w:val="491FF225"/>
    <w:rsid w:val="4EC310A1"/>
    <w:rsid w:val="4FFD214C"/>
    <w:rsid w:val="5352765A"/>
    <w:rsid w:val="5777D4F5"/>
    <w:rsid w:val="57EBA9D6"/>
    <w:rsid w:val="57F22B6F"/>
    <w:rsid w:val="59DD8326"/>
    <w:rsid w:val="5DEF592A"/>
    <w:rsid w:val="5F2F4264"/>
    <w:rsid w:val="5FC6BB1E"/>
    <w:rsid w:val="5FF720F1"/>
    <w:rsid w:val="61F21F72"/>
    <w:rsid w:val="622964C1"/>
    <w:rsid w:val="64CD2516"/>
    <w:rsid w:val="67FF5C0B"/>
    <w:rsid w:val="6BAA4A2F"/>
    <w:rsid w:val="6DDEC5C0"/>
    <w:rsid w:val="6EFC0924"/>
    <w:rsid w:val="6F9E8580"/>
    <w:rsid w:val="6FB74722"/>
    <w:rsid w:val="6FEF8B7E"/>
    <w:rsid w:val="717FE77F"/>
    <w:rsid w:val="71A6591B"/>
    <w:rsid w:val="737D59BA"/>
    <w:rsid w:val="737F32B1"/>
    <w:rsid w:val="73BD3FCA"/>
    <w:rsid w:val="776BDA01"/>
    <w:rsid w:val="77C37683"/>
    <w:rsid w:val="79FF515B"/>
    <w:rsid w:val="7DFBFF20"/>
    <w:rsid w:val="7E9E1962"/>
    <w:rsid w:val="7E9F11B4"/>
    <w:rsid w:val="7F37EC1E"/>
    <w:rsid w:val="7F7C0DDA"/>
    <w:rsid w:val="7F7DCD9D"/>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qFormat/>
    <w:uiPriority w:val="0"/>
    <w:pPr>
      <w:widowControl w:val="0"/>
      <w:spacing w:before="100" w:beforeAutospacing="1" w:after="100" w:afterAutospacing="1"/>
      <w:ind w:left="0" w:right="0"/>
      <w:jc w:val="left"/>
    </w:pPr>
    <w:rPr>
      <w:rFonts w:asciiTheme="minorHAnsi" w:hAnsiTheme="minorHAnsi" w:eastAsiaTheme="minorEastAsia" w:cstheme="minorBidi"/>
      <w:kern w:val="0"/>
      <w:sz w:val="24"/>
      <w:szCs w:val="22"/>
      <w:lang w:val="en-US" w:eastAsia="zh-CN" w:bidi="ar"/>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15</Pages>
  <Words>2493</Words>
  <Characters>2761</Characters>
  <Lines>63</Lines>
  <Paragraphs>18</Paragraphs>
  <TotalTime>2</TotalTime>
  <ScaleCrop>false</ScaleCrop>
  <LinksUpToDate>false</LinksUpToDate>
  <CharactersWithSpaces>2771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2020-07-11T10:32:00Z</dcterms:created>
  <dc:creator>李航 null</dc:creator>
  <cp:lastModifiedBy>薇笑</cp:lastModifiedBy>
  <cp:lastPrinted>2024-08-11T18:20:00Z</cp:lastPrinted>
  <dcterms:modified xsi:type="dcterms:W3CDTF">2026-09-29T01:13:31Z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2FDFFA377B514CBABE32BB48BB9DEFAC_13</vt:lpwstr>
  </property>
  <property fmtid="{D5CDD505-2E9C-101B-9397-08002B2CF9AE}" pid="4" name="KSOTemplateDocerSaveRecord">
    <vt:lpwstr>eyJoZGlkIjoiYTI1ZWRhODIzZjNkMzE5ODI3Y2UwZTM2NjQ3YjE4YjIiLCJ1c2VySWQiOiIzMDc0NTIyNTYifQ==</vt:lpwstr>
  </property>
</Properties>
</file>