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1220B">
      <w:pPr>
        <w:pStyle w:val="12"/>
        <w:jc w:val="center"/>
        <w:rPr>
          <w:sz w:val="56"/>
          <w:szCs w:val="56"/>
        </w:rPr>
      </w:pPr>
    </w:p>
    <w:p w14:paraId="15991D56">
      <w:pPr>
        <w:pStyle w:val="12"/>
        <w:jc w:val="center"/>
        <w:rPr>
          <w:sz w:val="56"/>
          <w:szCs w:val="56"/>
        </w:rPr>
      </w:pPr>
    </w:p>
    <w:p w14:paraId="59FFA9C7">
      <w:pPr>
        <w:pStyle w:val="12"/>
        <w:jc w:val="center"/>
        <w:rPr>
          <w:sz w:val="84"/>
          <w:szCs w:val="84"/>
        </w:rPr>
      </w:pPr>
    </w:p>
    <w:p w14:paraId="5012C015">
      <w:pPr>
        <w:pStyle w:val="12"/>
        <w:jc w:val="center"/>
        <w:rPr>
          <w:sz w:val="84"/>
          <w:szCs w:val="84"/>
        </w:rPr>
      </w:pPr>
    </w:p>
    <w:p w14:paraId="65F707DC">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6E82ED59">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岳阳职业技术学院</w:t>
      </w:r>
    </w:p>
    <w:p w14:paraId="37783CF5">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2B32F545">
      <w:pPr>
        <w:pStyle w:val="12"/>
        <w:jc w:val="center"/>
        <w:rPr>
          <w:rFonts w:hint="eastAsia" w:ascii="方正小标宋_GBK" w:hAnsi="方正小标宋_GBK" w:eastAsia="方正小标宋_GBK" w:cs="方正小标宋_GBK"/>
          <w:sz w:val="56"/>
          <w:szCs w:val="56"/>
        </w:rPr>
      </w:pPr>
    </w:p>
    <w:p w14:paraId="7BCE83DB">
      <w:pPr>
        <w:pStyle w:val="12"/>
        <w:jc w:val="center"/>
        <w:rPr>
          <w:sz w:val="56"/>
          <w:szCs w:val="56"/>
        </w:rPr>
      </w:pPr>
    </w:p>
    <w:p w14:paraId="00882265">
      <w:pPr>
        <w:pStyle w:val="12"/>
        <w:jc w:val="center"/>
        <w:rPr>
          <w:sz w:val="56"/>
          <w:szCs w:val="56"/>
        </w:rPr>
      </w:pPr>
    </w:p>
    <w:p w14:paraId="5E5FEA6F">
      <w:pPr>
        <w:pStyle w:val="12"/>
        <w:jc w:val="center"/>
        <w:rPr>
          <w:sz w:val="56"/>
          <w:szCs w:val="56"/>
        </w:rPr>
      </w:pPr>
    </w:p>
    <w:p w14:paraId="5D12769F">
      <w:pPr>
        <w:pStyle w:val="12"/>
        <w:jc w:val="center"/>
        <w:rPr>
          <w:sz w:val="32"/>
          <w:szCs w:val="32"/>
        </w:rPr>
      </w:pPr>
    </w:p>
    <w:p w14:paraId="0C187F7A">
      <w:pPr>
        <w:pStyle w:val="12"/>
        <w:jc w:val="center"/>
        <w:rPr>
          <w:sz w:val="32"/>
          <w:szCs w:val="32"/>
        </w:rPr>
      </w:pPr>
    </w:p>
    <w:p w14:paraId="6ED2D7CD">
      <w:pPr>
        <w:pStyle w:val="12"/>
        <w:jc w:val="center"/>
        <w:rPr>
          <w:sz w:val="32"/>
          <w:szCs w:val="32"/>
        </w:rPr>
      </w:pPr>
    </w:p>
    <w:p w14:paraId="520034F3">
      <w:pPr>
        <w:pStyle w:val="12"/>
        <w:spacing w:line="500" w:lineRule="exact"/>
        <w:jc w:val="both"/>
        <w:rPr>
          <w:b/>
          <w:sz w:val="36"/>
          <w:szCs w:val="28"/>
        </w:rPr>
      </w:pPr>
    </w:p>
    <w:p w14:paraId="3F477853">
      <w:pPr>
        <w:pStyle w:val="12"/>
        <w:spacing w:line="500" w:lineRule="exact"/>
        <w:jc w:val="center"/>
        <w:rPr>
          <w:b/>
          <w:sz w:val="36"/>
          <w:szCs w:val="28"/>
        </w:rPr>
      </w:pPr>
      <w:r>
        <w:rPr>
          <w:rFonts w:hint="eastAsia"/>
          <w:b/>
          <w:sz w:val="36"/>
          <w:szCs w:val="28"/>
        </w:rPr>
        <w:t>目录</w:t>
      </w:r>
    </w:p>
    <w:p w14:paraId="2049E73D">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第一部分岳阳职业技术学院</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概况</w:t>
      </w:r>
    </w:p>
    <w:p w14:paraId="30A9C694">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6E6C168E">
      <w:pPr>
        <w:pStyle w:val="12"/>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02D555B7">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第二部分部门决算表</w:t>
      </w:r>
    </w:p>
    <w:p w14:paraId="79FC1CBF">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672F8002">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010AEF83">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18982475">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0C3E2B6D">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3882E0D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48701431">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2C2C5D84">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B938B0D">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1CA11E73">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第三部分部门决算情况说明</w:t>
      </w:r>
    </w:p>
    <w:p w14:paraId="0BC6E386">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3A1F0613">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5172635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3415B93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5425CE7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08E441B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2C7159D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0C64B5C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21511887">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54A57827">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02FE8A10">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019C96A6">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5736C08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4CDBC2D2">
      <w:pPr>
        <w:pStyle w:val="12"/>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3C042623">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第四部分名词解释</w:t>
      </w:r>
    </w:p>
    <w:p w14:paraId="315AA6CD">
      <w:pPr>
        <w:pStyle w:val="1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hAnsi="黑体" w:cs="黑体"/>
          <w:b w:val="0"/>
          <w:bCs/>
          <w:sz w:val="28"/>
          <w:szCs w:val="28"/>
          <w:lang w:eastAsia="zh-CN"/>
        </w:rPr>
        <w:t>附件</w:t>
      </w:r>
    </w:p>
    <w:p w14:paraId="302E6E80">
      <w:pPr>
        <w:pStyle w:val="12"/>
        <w:jc w:val="center"/>
        <w:rPr>
          <w:rFonts w:hint="eastAsia" w:ascii="方正小标宋_GBK" w:hAnsi="方正小标宋_GBK" w:eastAsia="方正小标宋_GBK" w:cs="方正小标宋_GBK"/>
          <w:sz w:val="84"/>
          <w:szCs w:val="84"/>
        </w:rPr>
      </w:pPr>
    </w:p>
    <w:p w14:paraId="2E77AF35">
      <w:pPr>
        <w:pStyle w:val="12"/>
        <w:jc w:val="center"/>
        <w:rPr>
          <w:rFonts w:hint="eastAsia" w:ascii="方正小标宋_GBK" w:hAnsi="方正小标宋_GBK" w:eastAsia="方正小标宋_GBK" w:cs="方正小标宋_GBK"/>
          <w:sz w:val="84"/>
          <w:szCs w:val="84"/>
        </w:rPr>
      </w:pPr>
    </w:p>
    <w:p w14:paraId="39412E76">
      <w:pPr>
        <w:pStyle w:val="12"/>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rPr>
        <w:t>第一部分</w:t>
      </w:r>
    </w:p>
    <w:p w14:paraId="5452CA82">
      <w:pPr>
        <w:pStyle w:val="12"/>
        <w:jc w:val="center"/>
        <w:rPr>
          <w:rFonts w:hint="eastAsia" w:ascii="方正小标宋_GBK" w:hAnsi="方正小标宋_GBK" w:eastAsia="方正小标宋_GBK" w:cs="方正小标宋_GBK"/>
          <w:sz w:val="84"/>
          <w:szCs w:val="84"/>
        </w:rPr>
      </w:pPr>
    </w:p>
    <w:p w14:paraId="49E2E956">
      <w:pPr>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岳阳职业技术学院</w:t>
      </w:r>
    </w:p>
    <w:p w14:paraId="4FE69C56">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部门</w:t>
      </w:r>
      <w:r>
        <w:rPr>
          <w:rFonts w:hint="eastAsia" w:ascii="方正小标宋_GBK" w:hAnsi="方正小标宋_GBK" w:eastAsia="方正小标宋_GBK" w:cs="方正小标宋_GBK"/>
          <w:sz w:val="84"/>
          <w:szCs w:val="84"/>
        </w:rPr>
        <w:t>概况</w:t>
      </w:r>
    </w:p>
    <w:p w14:paraId="2DDEA184">
      <w:pPr>
        <w:pStyle w:val="7"/>
        <w:rPr>
          <w:rFonts w:hint="eastAsia" w:ascii="方正小标宋_GBK" w:hAnsi="方正小标宋_GBK" w:eastAsia="方正小标宋_GBK" w:cs="方正小标宋_GBK"/>
          <w:sz w:val="84"/>
          <w:szCs w:val="84"/>
        </w:rPr>
      </w:pPr>
    </w:p>
    <w:p w14:paraId="793C4CE6">
      <w:pPr>
        <w:pStyle w:val="3"/>
        <w:rPr>
          <w:rFonts w:hint="eastAsia" w:ascii="方正小标宋_GBK" w:hAnsi="方正小标宋_GBK" w:eastAsia="方正小标宋_GBK" w:cs="方正小标宋_GBK"/>
          <w:sz w:val="84"/>
          <w:szCs w:val="84"/>
        </w:rPr>
      </w:pPr>
    </w:p>
    <w:p w14:paraId="60E026C9">
      <w:pPr>
        <w:rPr>
          <w:rFonts w:hint="eastAsia" w:ascii="方正小标宋_GBK" w:hAnsi="方正小标宋_GBK" w:eastAsia="方正小标宋_GBK" w:cs="方正小标宋_GBK"/>
          <w:sz w:val="84"/>
          <w:szCs w:val="84"/>
        </w:rPr>
      </w:pPr>
    </w:p>
    <w:p w14:paraId="52E20556">
      <w:pPr>
        <w:pStyle w:val="3"/>
        <w:ind w:left="0" w:leftChars="0" w:firstLine="0" w:firstLineChars="0"/>
        <w:rPr>
          <w:rFonts w:hint="eastAsia" w:ascii="方正小标宋_GBK" w:hAnsi="方正小标宋_GBK" w:eastAsia="方正小标宋_GBK" w:cs="方正小标宋_GBK"/>
          <w:sz w:val="84"/>
          <w:szCs w:val="84"/>
        </w:rPr>
      </w:pPr>
    </w:p>
    <w:p w14:paraId="5C1C85A6">
      <w:pPr>
        <w:pStyle w:val="13"/>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5A806560">
      <w:pPr>
        <w:ind w:firstLine="800" w:firstLineChars="25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sz w:val="32"/>
          <w:szCs w:val="32"/>
        </w:rPr>
        <w:t>（一）</w:t>
      </w:r>
      <w:r>
        <w:rPr>
          <w:rFonts w:hint="eastAsia" w:ascii="Times New Roman" w:hAnsi="Times New Roman" w:eastAsia="仿宋_GB2312" w:cs="仿宋_GB2312"/>
          <w:bCs/>
          <w:kern w:val="0"/>
          <w:sz w:val="32"/>
          <w:szCs w:val="32"/>
        </w:rPr>
        <w:t>负责培养高素质应用型技术人才；</w:t>
      </w:r>
    </w:p>
    <w:p w14:paraId="4EA22A57">
      <w:pPr>
        <w:ind w:firstLine="800" w:firstLineChars="25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（二）负责毕业生就业指导工作；</w:t>
      </w:r>
    </w:p>
    <w:p w14:paraId="6AFEFCDE">
      <w:pPr>
        <w:ind w:firstLine="800" w:firstLineChars="25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bCs/>
          <w:kern w:val="0"/>
          <w:sz w:val="32"/>
          <w:szCs w:val="32"/>
          <w:lang w:eastAsia="zh-CN"/>
        </w:rPr>
        <w:t>三</w:t>
      </w:r>
      <w:r>
        <w:rPr>
          <w:rFonts w:hint="eastAsia" w:ascii="Times New Roman" w:hAnsi="Times New Roman" w:eastAsia="仿宋_GB2312" w:cs="仿宋_GB2312"/>
          <w:bCs/>
          <w:kern w:val="0"/>
          <w:sz w:val="32"/>
          <w:szCs w:val="32"/>
        </w:rPr>
        <w:t>）负责教师队伍建设，积极开展科学研究；</w:t>
      </w:r>
    </w:p>
    <w:p w14:paraId="63A2B1EC">
      <w:pPr>
        <w:ind w:firstLine="800" w:firstLineChars="25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bCs/>
          <w:kern w:val="0"/>
          <w:sz w:val="32"/>
          <w:szCs w:val="32"/>
          <w:lang w:eastAsia="zh-CN"/>
        </w:rPr>
        <w:t>四</w:t>
      </w:r>
      <w:r>
        <w:rPr>
          <w:rFonts w:hint="eastAsia" w:ascii="Times New Roman" w:hAnsi="Times New Roman" w:eastAsia="仿宋_GB2312" w:cs="仿宋_GB2312"/>
          <w:bCs/>
          <w:kern w:val="0"/>
          <w:sz w:val="32"/>
          <w:szCs w:val="32"/>
        </w:rPr>
        <w:t>）负责师生的在校安全保卫及后勤服务；</w:t>
      </w:r>
    </w:p>
    <w:p w14:paraId="7254606D">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bCs/>
          <w:kern w:val="0"/>
          <w:sz w:val="32"/>
          <w:szCs w:val="32"/>
          <w:lang w:eastAsia="zh-CN"/>
        </w:rPr>
        <w:t>五</w:t>
      </w:r>
      <w:r>
        <w:rPr>
          <w:rFonts w:hint="eastAsia" w:ascii="Times New Roman" w:hAnsi="Times New Roman" w:eastAsia="仿宋_GB2312" w:cs="仿宋_GB2312"/>
          <w:bCs/>
          <w:kern w:val="0"/>
          <w:sz w:val="32"/>
          <w:szCs w:val="32"/>
        </w:rPr>
        <w:t>）完成市委、市政府交办的其他工作。</w:t>
      </w:r>
    </w:p>
    <w:p w14:paraId="0DAFCAED">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364AB67A">
      <w:pPr>
        <w:snapToGrid w:val="0"/>
        <w:spacing w:line="520" w:lineRule="exact"/>
        <w:ind w:firstLine="640" w:firstLineChars="200"/>
        <w:rPr>
          <w:rFonts w:hint="eastAsia" w:ascii="仿宋_GB2312" w:hAnsi="仿宋" w:eastAsia="仿宋_GB2312"/>
          <w:sz w:val="32"/>
          <w:szCs w:val="32"/>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岳阳职业技术学院</w:t>
      </w:r>
      <w:r>
        <w:rPr>
          <w:rFonts w:hint="eastAsia" w:ascii="Times New Roman" w:hAnsi="Times New Roman" w:eastAsia="仿宋_GB2312" w:cs="仿宋_GB2312"/>
          <w:bCs/>
          <w:kern w:val="0"/>
          <w:sz w:val="32"/>
          <w:szCs w:val="32"/>
        </w:rPr>
        <w:t>内设机构包括：</w:t>
      </w:r>
      <w:r>
        <w:rPr>
          <w:rFonts w:hint="eastAsia" w:ascii="仿宋_GB2312" w:hAnsi="仿宋" w:eastAsia="仿宋_GB2312"/>
          <w:sz w:val="32"/>
          <w:szCs w:val="32"/>
        </w:rPr>
        <w:t>1</w:t>
      </w:r>
      <w:r>
        <w:rPr>
          <w:rFonts w:hint="eastAsia" w:ascii="仿宋_GB2312" w:hAnsi="仿宋" w:eastAsia="仿宋_GB2312"/>
          <w:sz w:val="32"/>
          <w:szCs w:val="32"/>
          <w:lang w:val="en-US" w:eastAsia="zh-CN"/>
        </w:rPr>
        <w:t>4</w:t>
      </w:r>
      <w:r>
        <w:rPr>
          <w:rFonts w:hint="eastAsia" w:ascii="仿宋_GB2312" w:hAnsi="仿宋" w:eastAsia="仿宋_GB2312"/>
          <w:sz w:val="32"/>
          <w:szCs w:val="32"/>
        </w:rPr>
        <w:t>个</w:t>
      </w:r>
      <w:r>
        <w:rPr>
          <w:rFonts w:hint="eastAsia" w:ascii="仿宋_GB2312" w:hAnsi="仿宋" w:eastAsia="仿宋_GB2312" w:cs="Times New Roman"/>
          <w:sz w:val="32"/>
          <w:szCs w:val="32"/>
        </w:rPr>
        <w:t>党政管理机构</w:t>
      </w:r>
      <w:r>
        <w:rPr>
          <w:rFonts w:hint="eastAsia" w:ascii="仿宋_GB2312" w:hAnsi="仿宋" w:eastAsia="仿宋_GB2312"/>
          <w:sz w:val="32"/>
          <w:szCs w:val="32"/>
        </w:rPr>
        <w:t>、</w:t>
      </w:r>
      <w:r>
        <w:rPr>
          <w:rFonts w:hint="eastAsia" w:ascii="仿宋_GB2312" w:hAnsi="仿宋" w:eastAsia="仿宋_GB2312"/>
          <w:sz w:val="32"/>
          <w:szCs w:val="32"/>
          <w:lang w:val="en-US" w:eastAsia="zh-CN"/>
        </w:rPr>
        <w:t>12</w:t>
      </w:r>
      <w:r>
        <w:rPr>
          <w:rFonts w:hint="eastAsia" w:ascii="仿宋_GB2312" w:hAnsi="仿宋" w:eastAsia="仿宋_GB2312"/>
          <w:sz w:val="32"/>
          <w:szCs w:val="32"/>
        </w:rPr>
        <w:t>个教学机构、4个教教辅机构</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2个群团组织、2个直属单位、1个</w:t>
      </w:r>
      <w:r>
        <w:rPr>
          <w:rFonts w:hint="eastAsia" w:ascii="仿宋_GB2312" w:hAnsi="仿宋" w:eastAsia="仿宋_GB2312" w:cs="Times New Roman"/>
          <w:sz w:val="32"/>
          <w:szCs w:val="32"/>
        </w:rPr>
        <w:t>派驻纪检组</w:t>
      </w:r>
      <w:r>
        <w:rPr>
          <w:rFonts w:hint="eastAsia" w:ascii="仿宋_GB2312" w:hAnsi="仿宋" w:eastAsia="仿宋_GB2312"/>
          <w:sz w:val="32"/>
          <w:szCs w:val="32"/>
        </w:rPr>
        <w:t>。</w:t>
      </w:r>
    </w:p>
    <w:p w14:paraId="0ACB4F76">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cs="Times New Roman"/>
          <w:sz w:val="32"/>
          <w:szCs w:val="32"/>
          <w:lang w:val="en-US" w:eastAsia="zh-CN"/>
        </w:rPr>
        <w:t>1.</w:t>
      </w:r>
      <w:r>
        <w:rPr>
          <w:rFonts w:hint="eastAsia" w:ascii="仿宋_GB2312" w:hAnsi="仿宋" w:eastAsia="仿宋_GB2312" w:cs="Times New Roman"/>
          <w:sz w:val="32"/>
          <w:szCs w:val="32"/>
        </w:rPr>
        <w:t>党政管理机构</w:t>
      </w:r>
    </w:p>
    <w:p w14:paraId="16940BE8">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党政办公室、组织人事处、宣传统战部、学生工作</w:t>
      </w:r>
      <w:r>
        <w:rPr>
          <w:rFonts w:hint="eastAsia" w:ascii="仿宋_GB2312" w:hAnsi="仿宋" w:eastAsia="仿宋_GB2312"/>
          <w:sz w:val="32"/>
          <w:szCs w:val="32"/>
          <w:lang w:eastAsia="zh-CN"/>
        </w:rPr>
        <w:t>处</w:t>
      </w:r>
      <w:r>
        <w:rPr>
          <w:rFonts w:hint="eastAsia" w:ascii="仿宋_GB2312" w:hAnsi="仿宋" w:eastAsia="仿宋_GB2312"/>
          <w:sz w:val="32"/>
          <w:szCs w:val="32"/>
        </w:rPr>
        <w:t>、</w:t>
      </w:r>
      <w:r>
        <w:rPr>
          <w:rFonts w:hint="eastAsia" w:ascii="仿宋_GB2312" w:hAnsi="仿宋" w:eastAsia="仿宋_GB2312" w:cs="Times New Roman"/>
          <w:sz w:val="32"/>
          <w:szCs w:val="32"/>
        </w:rPr>
        <w:fldChar w:fldCharType="begin"/>
      </w:r>
      <w:r>
        <w:rPr>
          <w:rFonts w:hint="eastAsia" w:ascii="仿宋_GB2312" w:hAnsi="仿宋" w:eastAsia="仿宋_GB2312" w:cs="Times New Roman"/>
          <w:sz w:val="32"/>
          <w:szCs w:val="32"/>
        </w:rPr>
        <w:instrText xml:space="preserve"> HYPERLINK "http://gpc.yvtc.edu.cn/" \t "https://www.yvtc.edu.cn/content/_blank" </w:instrText>
      </w:r>
      <w:r>
        <w:rPr>
          <w:rFonts w:hint="eastAsia" w:ascii="仿宋_GB2312" w:hAnsi="仿宋" w:eastAsia="仿宋_GB2312" w:cs="Times New Roman"/>
          <w:sz w:val="32"/>
          <w:szCs w:val="32"/>
        </w:rPr>
        <w:fldChar w:fldCharType="separate"/>
      </w:r>
      <w:r>
        <w:rPr>
          <w:rFonts w:hint="eastAsia" w:ascii="仿宋_GB2312" w:hAnsi="仿宋" w:eastAsia="仿宋_GB2312" w:cs="Times New Roman"/>
          <w:sz w:val="32"/>
          <w:szCs w:val="32"/>
        </w:rPr>
        <w:t>规划发展与评建处</w:t>
      </w:r>
      <w:r>
        <w:rPr>
          <w:rFonts w:hint="eastAsia" w:ascii="仿宋_GB2312" w:hAnsi="仿宋" w:eastAsia="仿宋_GB2312" w:cs="Times New Roman"/>
          <w:sz w:val="32"/>
          <w:szCs w:val="32"/>
        </w:rPr>
        <w:fldChar w:fldCharType="end"/>
      </w:r>
      <w:r>
        <w:rPr>
          <w:rFonts w:hint="eastAsia" w:ascii="仿宋_GB2312" w:hAnsi="仿宋" w:eastAsia="仿宋_GB2312" w:cs="Times New Roman"/>
          <w:sz w:val="32"/>
          <w:szCs w:val="32"/>
          <w:lang w:eastAsia="zh-CN"/>
        </w:rPr>
        <w:t>、</w:t>
      </w:r>
      <w:r>
        <w:rPr>
          <w:rFonts w:hint="eastAsia" w:ascii="仿宋_GB2312" w:hAnsi="仿宋" w:eastAsia="仿宋_GB2312"/>
          <w:sz w:val="32"/>
          <w:szCs w:val="32"/>
        </w:rPr>
        <w:t>教务处、招生就业处、科研处、计划财务处、教育督导与质量评价处、校企合作处、资产管理处</w:t>
      </w:r>
      <w:r>
        <w:rPr>
          <w:rFonts w:hint="eastAsia" w:ascii="仿宋_GB2312" w:hAnsi="仿宋" w:eastAsia="仿宋_GB2312"/>
          <w:sz w:val="32"/>
          <w:szCs w:val="32"/>
          <w:lang w:eastAsia="zh-CN"/>
        </w:rPr>
        <w:t>、</w:t>
      </w:r>
      <w:r>
        <w:rPr>
          <w:rFonts w:hint="eastAsia" w:ascii="仿宋_GB2312" w:hAnsi="仿宋" w:eastAsia="仿宋_GB2312"/>
          <w:sz w:val="32"/>
          <w:szCs w:val="32"/>
        </w:rPr>
        <w:t>保卫处</w:t>
      </w:r>
      <w:r>
        <w:rPr>
          <w:rFonts w:hint="eastAsia" w:ascii="仿宋_GB2312" w:hAnsi="仿宋" w:eastAsia="仿宋_GB2312"/>
          <w:sz w:val="32"/>
          <w:szCs w:val="32"/>
          <w:lang w:eastAsia="zh-CN"/>
        </w:rPr>
        <w:t>（武装部）、</w:t>
      </w:r>
      <w:r>
        <w:rPr>
          <w:rFonts w:hint="eastAsia" w:ascii="仿宋_GB2312" w:hAnsi="仿宋" w:eastAsia="仿宋_GB2312"/>
          <w:sz w:val="32"/>
          <w:szCs w:val="32"/>
        </w:rPr>
        <w:t>审计处。</w:t>
      </w:r>
    </w:p>
    <w:p w14:paraId="33DCDA99">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教学机构</w:t>
      </w:r>
    </w:p>
    <w:p w14:paraId="1A44B7AA">
      <w:pPr>
        <w:snapToGrid w:val="0"/>
        <w:spacing w:line="52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sz w:val="32"/>
          <w:szCs w:val="32"/>
          <w:highlight w:val="none"/>
        </w:rPr>
        <w:t>生物环境工程学院、机电工程学院、信息工程学院、护理学院、商贸物流学院、医学院、</w:t>
      </w:r>
      <w:r>
        <w:rPr>
          <w:rFonts w:hint="eastAsia" w:ascii="仿宋_GB2312" w:hAnsi="仿宋" w:eastAsia="仿宋_GB2312" w:cs="Times New Roman"/>
          <w:sz w:val="32"/>
          <w:szCs w:val="32"/>
          <w:highlight w:val="none"/>
        </w:rPr>
        <w:fldChar w:fldCharType="begin"/>
      </w:r>
      <w:r>
        <w:rPr>
          <w:rFonts w:hint="eastAsia" w:ascii="仿宋_GB2312" w:hAnsi="仿宋" w:eastAsia="仿宋_GB2312" w:cs="Times New Roman"/>
          <w:sz w:val="32"/>
          <w:szCs w:val="32"/>
          <w:highlight w:val="none"/>
        </w:rPr>
        <w:instrText xml:space="preserve"> HYPERLINK "https://www.yvtc.edu.cn/content/jxjg.html" \t "https://www.yvtc.edu.cn/content/_blank" </w:instrText>
      </w:r>
      <w:r>
        <w:rPr>
          <w:rFonts w:hint="eastAsia" w:ascii="仿宋_GB2312" w:hAnsi="仿宋" w:eastAsia="仿宋_GB2312" w:cs="Times New Roman"/>
          <w:sz w:val="32"/>
          <w:szCs w:val="32"/>
          <w:highlight w:val="none"/>
        </w:rPr>
        <w:fldChar w:fldCharType="separate"/>
      </w:r>
      <w:r>
        <w:rPr>
          <w:rFonts w:hint="eastAsia" w:ascii="仿宋_GB2312" w:hAnsi="仿宋" w:eastAsia="仿宋_GB2312" w:cs="Times New Roman"/>
          <w:sz w:val="32"/>
          <w:szCs w:val="32"/>
          <w:highlight w:val="none"/>
        </w:rPr>
        <w:t>低空经济学院</w:t>
      </w:r>
      <w:r>
        <w:rPr>
          <w:rFonts w:hint="eastAsia" w:ascii="仿宋_GB2312" w:hAnsi="仿宋" w:eastAsia="仿宋_GB2312" w:cs="Times New Roman"/>
          <w:sz w:val="32"/>
          <w:szCs w:val="32"/>
          <w:highlight w:val="none"/>
        </w:rPr>
        <w:fldChar w:fldCharType="end"/>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fldChar w:fldCharType="begin"/>
      </w:r>
      <w:r>
        <w:rPr>
          <w:rFonts w:hint="eastAsia" w:ascii="仿宋_GB2312" w:hAnsi="仿宋" w:eastAsia="仿宋_GB2312" w:cs="Times New Roman"/>
          <w:sz w:val="32"/>
          <w:szCs w:val="32"/>
          <w:highlight w:val="none"/>
        </w:rPr>
        <w:instrText xml:space="preserve"> HYPERLINK "https://mksxy.yvtc.edu.cn/" \t "https://www.yvtc.edu.cn/content/_blank" </w:instrText>
      </w:r>
      <w:r>
        <w:rPr>
          <w:rFonts w:hint="eastAsia" w:ascii="仿宋_GB2312" w:hAnsi="仿宋" w:eastAsia="仿宋_GB2312" w:cs="Times New Roman"/>
          <w:sz w:val="32"/>
          <w:szCs w:val="32"/>
          <w:highlight w:val="none"/>
        </w:rPr>
        <w:fldChar w:fldCharType="separate"/>
      </w:r>
      <w:r>
        <w:rPr>
          <w:rFonts w:hint="eastAsia" w:ascii="仿宋_GB2312" w:hAnsi="仿宋" w:eastAsia="仿宋_GB2312" w:cs="Times New Roman"/>
          <w:sz w:val="32"/>
          <w:szCs w:val="32"/>
          <w:highlight w:val="none"/>
        </w:rPr>
        <w:t>马克思主义学院</w:t>
      </w:r>
      <w:r>
        <w:rPr>
          <w:rFonts w:hint="eastAsia" w:ascii="仿宋_GB2312" w:hAnsi="仿宋" w:eastAsia="仿宋_GB2312" w:cs="Times New Roman"/>
          <w:sz w:val="32"/>
          <w:szCs w:val="32"/>
          <w:highlight w:val="none"/>
        </w:rPr>
        <w:fldChar w:fldCharType="end"/>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fldChar w:fldCharType="begin"/>
      </w:r>
      <w:r>
        <w:rPr>
          <w:rFonts w:hint="eastAsia" w:ascii="仿宋_GB2312" w:hAnsi="仿宋" w:eastAsia="仿宋_GB2312" w:cs="Times New Roman"/>
          <w:sz w:val="32"/>
          <w:szCs w:val="32"/>
          <w:highlight w:val="none"/>
        </w:rPr>
        <w:instrText xml:space="preserve"> HYPERLINK "https://www.yvtc.edu.cn/content/jxjg.html" \t "https://www.yvtc.edu.cn/content/_blank" </w:instrText>
      </w:r>
      <w:r>
        <w:rPr>
          <w:rFonts w:hint="eastAsia" w:ascii="仿宋_GB2312" w:hAnsi="仿宋" w:eastAsia="仿宋_GB2312" w:cs="Times New Roman"/>
          <w:sz w:val="32"/>
          <w:szCs w:val="32"/>
          <w:highlight w:val="none"/>
        </w:rPr>
        <w:fldChar w:fldCharType="separate"/>
      </w:r>
      <w:r>
        <w:rPr>
          <w:rFonts w:hint="eastAsia" w:ascii="仿宋_GB2312" w:hAnsi="仿宋" w:eastAsia="仿宋_GB2312" w:cs="Times New Roman"/>
          <w:sz w:val="32"/>
          <w:szCs w:val="32"/>
          <w:highlight w:val="none"/>
        </w:rPr>
        <w:t>创新创业学院</w:t>
      </w:r>
      <w:r>
        <w:rPr>
          <w:rFonts w:hint="eastAsia" w:ascii="仿宋_GB2312" w:hAnsi="仿宋" w:eastAsia="仿宋_GB2312" w:cs="Times New Roman"/>
          <w:sz w:val="32"/>
          <w:szCs w:val="32"/>
          <w:highlight w:val="none"/>
        </w:rPr>
        <w:fldChar w:fldCharType="end"/>
      </w:r>
      <w:r>
        <w:rPr>
          <w:rFonts w:hint="eastAsia" w:ascii="仿宋_GB2312" w:hAnsi="仿宋" w:eastAsia="仿宋_GB2312" w:cs="Times New Roman"/>
          <w:sz w:val="32"/>
          <w:szCs w:val="32"/>
          <w:highlight w:val="none"/>
        </w:rPr>
        <w:t>、公共基</w:t>
      </w:r>
      <w:r>
        <w:rPr>
          <w:rFonts w:hint="eastAsia" w:ascii="仿宋_GB2312" w:hAnsi="仿宋" w:eastAsia="仿宋_GB2312"/>
          <w:sz w:val="32"/>
          <w:szCs w:val="32"/>
          <w:highlight w:val="none"/>
        </w:rPr>
        <w:t>础部、国际教育学院</w:t>
      </w:r>
      <w:r>
        <w:rPr>
          <w:rFonts w:hint="eastAsia" w:ascii="仿宋_GB2312" w:hAnsi="仿宋" w:eastAsia="仿宋_GB2312"/>
          <w:sz w:val="32"/>
          <w:szCs w:val="32"/>
          <w:highlight w:val="none"/>
          <w:lang w:eastAsia="zh-CN"/>
        </w:rPr>
        <w:t>、</w:t>
      </w:r>
      <w:r>
        <w:rPr>
          <w:rFonts w:hint="eastAsia" w:ascii="仿宋_GB2312" w:hAnsi="仿宋" w:eastAsia="仿宋_GB2312" w:cs="Times New Roman"/>
          <w:sz w:val="32"/>
          <w:szCs w:val="32"/>
          <w:highlight w:val="none"/>
        </w:rPr>
        <w:fldChar w:fldCharType="begin"/>
      </w:r>
      <w:r>
        <w:rPr>
          <w:rFonts w:hint="eastAsia" w:ascii="仿宋_GB2312" w:hAnsi="仿宋" w:eastAsia="仿宋_GB2312" w:cs="Times New Roman"/>
          <w:sz w:val="32"/>
          <w:szCs w:val="32"/>
          <w:highlight w:val="none"/>
        </w:rPr>
        <w:instrText xml:space="preserve"> HYPERLINK "http://jcyx.yvtc.edu.cn/" \t "https://www.yvtc.edu.cn/content/_blank" </w:instrText>
      </w:r>
      <w:r>
        <w:rPr>
          <w:rFonts w:hint="eastAsia" w:ascii="仿宋_GB2312" w:hAnsi="仿宋" w:eastAsia="仿宋_GB2312" w:cs="Times New Roman"/>
          <w:sz w:val="32"/>
          <w:szCs w:val="32"/>
          <w:highlight w:val="none"/>
        </w:rPr>
        <w:fldChar w:fldCharType="separate"/>
      </w:r>
      <w:r>
        <w:rPr>
          <w:rFonts w:hint="eastAsia" w:ascii="仿宋_GB2312" w:hAnsi="仿宋" w:eastAsia="仿宋_GB2312" w:cs="Times New Roman"/>
          <w:sz w:val="32"/>
          <w:szCs w:val="32"/>
          <w:highlight w:val="none"/>
        </w:rPr>
        <w:t>实践教学部（市公共实训中心）</w:t>
      </w:r>
      <w:r>
        <w:rPr>
          <w:rFonts w:hint="eastAsia" w:ascii="仿宋_GB2312" w:hAnsi="仿宋" w:eastAsia="仿宋_GB2312" w:cs="Times New Roman"/>
          <w:sz w:val="32"/>
          <w:szCs w:val="32"/>
          <w:highlight w:val="none"/>
        </w:rPr>
        <w:fldChar w:fldCharType="end"/>
      </w:r>
      <w:r>
        <w:rPr>
          <w:rFonts w:hint="eastAsia" w:ascii="仿宋_GB2312" w:hAnsi="仿宋" w:eastAsia="仿宋_GB2312" w:cs="Times New Roman"/>
          <w:sz w:val="32"/>
          <w:szCs w:val="32"/>
          <w:highlight w:val="none"/>
        </w:rPr>
        <w:t>。</w:t>
      </w:r>
    </w:p>
    <w:p w14:paraId="3B596D34">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教辅机构</w:t>
      </w:r>
    </w:p>
    <w:p w14:paraId="1A5B1BB3">
      <w:pPr>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sz w:val="32"/>
          <w:szCs w:val="32"/>
        </w:rPr>
        <w:t>社会培训</w:t>
      </w:r>
      <w:r>
        <w:rPr>
          <w:rFonts w:hint="eastAsia" w:ascii="仿宋_GB2312" w:hAnsi="仿宋" w:eastAsia="仿宋_GB2312"/>
          <w:sz w:val="32"/>
          <w:szCs w:val="32"/>
          <w:lang w:eastAsia="zh-CN"/>
        </w:rPr>
        <w:t>中心</w:t>
      </w:r>
      <w:r>
        <w:rPr>
          <w:rFonts w:hint="eastAsia" w:ascii="仿宋_GB2312" w:hAnsi="仿宋" w:eastAsia="仿宋_GB2312"/>
          <w:sz w:val="32"/>
          <w:szCs w:val="32"/>
        </w:rPr>
        <w:t>、网络信息中心、图书馆、</w:t>
      </w:r>
      <w:r>
        <w:rPr>
          <w:rFonts w:hint="eastAsia" w:ascii="仿宋_GB2312" w:hAnsi="仿宋" w:eastAsia="仿宋_GB2312" w:cs="Times New Roman"/>
          <w:sz w:val="32"/>
          <w:szCs w:val="32"/>
        </w:rPr>
        <w:fldChar w:fldCharType="begin"/>
      </w:r>
      <w:r>
        <w:rPr>
          <w:rFonts w:hint="eastAsia" w:ascii="仿宋_GB2312" w:hAnsi="仿宋" w:eastAsia="仿宋_GB2312" w:cs="Times New Roman"/>
          <w:sz w:val="32"/>
          <w:szCs w:val="32"/>
        </w:rPr>
        <w:instrText xml:space="preserve"> HYPERLINK "http://hqfw.yvtc.edu.cn/" \t "https://www.yvtc.edu.cn/content/_blank" </w:instrText>
      </w:r>
      <w:r>
        <w:rPr>
          <w:rFonts w:hint="eastAsia" w:ascii="仿宋_GB2312" w:hAnsi="仿宋" w:eastAsia="仿宋_GB2312" w:cs="Times New Roman"/>
          <w:sz w:val="32"/>
          <w:szCs w:val="32"/>
        </w:rPr>
        <w:fldChar w:fldCharType="separate"/>
      </w:r>
      <w:r>
        <w:rPr>
          <w:rFonts w:hint="eastAsia" w:ascii="仿宋_GB2312" w:hAnsi="仿宋" w:eastAsia="仿宋_GB2312" w:cs="Times New Roman"/>
          <w:sz w:val="32"/>
          <w:szCs w:val="32"/>
        </w:rPr>
        <w:t>后勤服务与基建中心</w:t>
      </w:r>
      <w:r>
        <w:rPr>
          <w:rFonts w:hint="eastAsia" w:ascii="仿宋_GB2312" w:hAnsi="仿宋" w:eastAsia="仿宋_GB2312" w:cs="Times New Roman"/>
          <w:sz w:val="32"/>
          <w:szCs w:val="32"/>
        </w:rPr>
        <w:fldChar w:fldCharType="end"/>
      </w:r>
      <w:r>
        <w:rPr>
          <w:rFonts w:hint="eastAsia" w:ascii="仿宋_GB2312" w:hAnsi="仿宋" w:eastAsia="仿宋_GB2312" w:cs="Times New Roman"/>
          <w:sz w:val="32"/>
          <w:szCs w:val="32"/>
        </w:rPr>
        <w:t>。</w:t>
      </w:r>
    </w:p>
    <w:p w14:paraId="74802C93">
      <w:pPr>
        <w:numPr>
          <w:ilvl w:val="0"/>
          <w:numId w:val="0"/>
        </w:numPr>
        <w:snapToGrid w:val="0"/>
        <w:spacing w:line="520" w:lineRule="exact"/>
        <w:ind w:firstLine="640"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lang w:eastAsia="zh-CN"/>
        </w:rPr>
        <w:t>群团组织</w:t>
      </w:r>
    </w:p>
    <w:p w14:paraId="08E87169">
      <w:pPr>
        <w:widowControl w:val="0"/>
        <w:numPr>
          <w:ilvl w:val="0"/>
          <w:numId w:val="0"/>
        </w:numPr>
        <w:snapToGrid w:val="0"/>
        <w:spacing w:line="520" w:lineRule="exact"/>
        <w:ind w:firstLine="640" w:firstLineChars="200"/>
        <w:jc w:val="both"/>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rPr>
        <w:fldChar w:fldCharType="begin"/>
      </w:r>
      <w:r>
        <w:rPr>
          <w:rFonts w:hint="eastAsia" w:ascii="仿宋_GB2312" w:hAnsi="仿宋" w:eastAsia="仿宋_GB2312" w:cs="Times New Roman"/>
          <w:sz w:val="32"/>
          <w:szCs w:val="32"/>
        </w:rPr>
        <w:instrText xml:space="preserve"> HYPERLINK "http://gflg.yvtc.edu.cn/" \t "https://www.yvtc.edu.cn/content/_blank" </w:instrText>
      </w:r>
      <w:r>
        <w:rPr>
          <w:rFonts w:hint="eastAsia" w:ascii="仿宋_GB2312" w:hAnsi="仿宋" w:eastAsia="仿宋_GB2312" w:cs="Times New Roman"/>
          <w:sz w:val="32"/>
          <w:szCs w:val="32"/>
        </w:rPr>
        <w:fldChar w:fldCharType="separate"/>
      </w:r>
      <w:r>
        <w:rPr>
          <w:rFonts w:hint="eastAsia" w:ascii="仿宋_GB2312" w:hAnsi="仿宋" w:eastAsia="仿宋_GB2312" w:cs="Times New Roman"/>
          <w:sz w:val="32"/>
          <w:szCs w:val="32"/>
        </w:rPr>
        <w:t>工会妇联老龄办</w:t>
      </w:r>
      <w:r>
        <w:rPr>
          <w:rFonts w:hint="eastAsia" w:ascii="仿宋_GB2312" w:hAnsi="仿宋" w:eastAsia="仿宋_GB2312" w:cs="Times New Roman"/>
          <w:sz w:val="32"/>
          <w:szCs w:val="32"/>
        </w:rPr>
        <w:fldChar w:fldCharType="end"/>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fldChar w:fldCharType="begin"/>
      </w:r>
      <w:r>
        <w:rPr>
          <w:rFonts w:hint="eastAsia" w:ascii="仿宋_GB2312" w:hAnsi="仿宋" w:eastAsia="仿宋_GB2312" w:cs="Times New Roman"/>
          <w:sz w:val="32"/>
          <w:szCs w:val="32"/>
        </w:rPr>
        <w:instrText xml:space="preserve"> HYPERLINK "http://tw.yvtc.edu.cn/" \t "https://www.yvtc.edu.cn/content/_blank" </w:instrText>
      </w:r>
      <w:r>
        <w:rPr>
          <w:rFonts w:hint="eastAsia" w:ascii="仿宋_GB2312" w:hAnsi="仿宋" w:eastAsia="仿宋_GB2312" w:cs="Times New Roman"/>
          <w:sz w:val="32"/>
          <w:szCs w:val="32"/>
        </w:rPr>
        <w:fldChar w:fldCharType="separate"/>
      </w:r>
      <w:r>
        <w:rPr>
          <w:rFonts w:hint="eastAsia" w:ascii="仿宋_GB2312" w:hAnsi="仿宋" w:eastAsia="仿宋_GB2312" w:cs="Times New Roman"/>
          <w:sz w:val="32"/>
          <w:szCs w:val="32"/>
        </w:rPr>
        <w:t>团委</w:t>
      </w:r>
      <w:r>
        <w:rPr>
          <w:rFonts w:hint="eastAsia" w:ascii="仿宋_GB2312" w:hAnsi="仿宋" w:eastAsia="仿宋_GB2312" w:cs="Times New Roman"/>
          <w:sz w:val="32"/>
          <w:szCs w:val="32"/>
        </w:rPr>
        <w:fldChar w:fldCharType="end"/>
      </w:r>
      <w:r>
        <w:rPr>
          <w:rFonts w:hint="eastAsia" w:ascii="仿宋_GB2312" w:hAnsi="仿宋" w:eastAsia="仿宋_GB2312" w:cs="Times New Roman"/>
          <w:sz w:val="32"/>
          <w:szCs w:val="32"/>
          <w:lang w:eastAsia="zh-CN"/>
        </w:rPr>
        <w:t>。</w:t>
      </w:r>
    </w:p>
    <w:p w14:paraId="6ACF7CDC">
      <w:pPr>
        <w:widowControl w:val="0"/>
        <w:numPr>
          <w:ilvl w:val="0"/>
          <w:numId w:val="0"/>
        </w:numPr>
        <w:snapToGrid w:val="0"/>
        <w:spacing w:line="520" w:lineRule="exact"/>
        <w:ind w:firstLine="640" w:firstLineChars="200"/>
        <w:jc w:val="both"/>
        <w:rPr>
          <w:rFonts w:hint="eastAsia" w:ascii="仿宋_GB2312" w:hAnsi="仿宋" w:eastAsia="仿宋_GB2312" w:cs="Times New Roman"/>
          <w:sz w:val="32"/>
          <w:szCs w:val="32"/>
        </w:rPr>
      </w:pP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直属单位</w:t>
      </w:r>
    </w:p>
    <w:p w14:paraId="7CB356BF">
      <w:pPr>
        <w:widowControl w:val="0"/>
        <w:numPr>
          <w:ilvl w:val="0"/>
          <w:numId w:val="0"/>
        </w:numPr>
        <w:snapToGrid w:val="0"/>
        <w:spacing w:line="520" w:lineRule="exact"/>
        <w:ind w:leftChars="200"/>
        <w:jc w:val="both"/>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rPr>
        <w:fldChar w:fldCharType="begin"/>
      </w:r>
      <w:r>
        <w:rPr>
          <w:rFonts w:hint="eastAsia" w:ascii="仿宋_GB2312" w:hAnsi="仿宋" w:eastAsia="仿宋_GB2312" w:cs="Times New Roman"/>
          <w:sz w:val="32"/>
          <w:szCs w:val="32"/>
        </w:rPr>
        <w:instrText xml:space="preserve"> HYPERLINK "https://nmpxxy.yvtc.edu.cn/" \t "https://www.yvtc.edu.cn/content/_blank" </w:instrText>
      </w:r>
      <w:r>
        <w:rPr>
          <w:rFonts w:hint="eastAsia" w:ascii="仿宋_GB2312" w:hAnsi="仿宋" w:eastAsia="仿宋_GB2312" w:cs="Times New Roman"/>
          <w:sz w:val="32"/>
          <w:szCs w:val="32"/>
        </w:rPr>
        <w:fldChar w:fldCharType="separate"/>
      </w:r>
      <w:r>
        <w:rPr>
          <w:rFonts w:hint="eastAsia" w:ascii="仿宋_GB2312" w:hAnsi="仿宋" w:eastAsia="仿宋_GB2312" w:cs="Times New Roman"/>
          <w:sz w:val="32"/>
          <w:szCs w:val="32"/>
        </w:rPr>
        <w:t>农业科技服务中心</w:t>
      </w:r>
      <w:r>
        <w:rPr>
          <w:rFonts w:hint="eastAsia" w:ascii="仿宋_GB2312" w:hAnsi="仿宋" w:eastAsia="仿宋_GB2312" w:cs="Times New Roman"/>
          <w:sz w:val="32"/>
          <w:szCs w:val="32"/>
        </w:rPr>
        <w:fldChar w:fldCharType="end"/>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fldChar w:fldCharType="begin"/>
      </w:r>
      <w:r>
        <w:rPr>
          <w:rFonts w:hint="eastAsia" w:ascii="仿宋_GB2312" w:hAnsi="仿宋" w:eastAsia="仿宋_GB2312" w:cs="Times New Roman"/>
          <w:sz w:val="32"/>
          <w:szCs w:val="32"/>
        </w:rPr>
        <w:instrText xml:space="preserve"> HYPERLINK "https://www.yvtc.edu.cn/content/zsdw.html" \t "https://www.yvtc.edu.cn/content/_blank" </w:instrText>
      </w:r>
      <w:r>
        <w:rPr>
          <w:rFonts w:hint="eastAsia" w:ascii="仿宋_GB2312" w:hAnsi="仿宋" w:eastAsia="仿宋_GB2312" w:cs="Times New Roman"/>
          <w:sz w:val="32"/>
          <w:szCs w:val="32"/>
        </w:rPr>
        <w:fldChar w:fldCharType="separate"/>
      </w:r>
      <w:r>
        <w:rPr>
          <w:rFonts w:hint="eastAsia" w:ascii="仿宋_GB2312" w:hAnsi="仿宋" w:eastAsia="仿宋_GB2312" w:cs="Times New Roman"/>
          <w:sz w:val="32"/>
          <w:szCs w:val="32"/>
        </w:rPr>
        <w:t>附属医院</w:t>
      </w:r>
      <w:r>
        <w:rPr>
          <w:rFonts w:hint="eastAsia" w:ascii="仿宋_GB2312" w:hAnsi="仿宋" w:eastAsia="仿宋_GB2312" w:cs="Times New Roman"/>
          <w:sz w:val="32"/>
          <w:szCs w:val="32"/>
        </w:rPr>
        <w:fldChar w:fldCharType="end"/>
      </w:r>
      <w:r>
        <w:rPr>
          <w:rFonts w:hint="eastAsia" w:ascii="仿宋_GB2312" w:hAnsi="仿宋" w:eastAsia="仿宋_GB2312" w:cs="Times New Roman"/>
          <w:sz w:val="32"/>
          <w:szCs w:val="32"/>
          <w:lang w:eastAsia="zh-CN"/>
        </w:rPr>
        <w:t>。</w:t>
      </w:r>
    </w:p>
    <w:p w14:paraId="03678273">
      <w:pPr>
        <w:widowControl w:val="0"/>
        <w:numPr>
          <w:ilvl w:val="0"/>
          <w:numId w:val="0"/>
        </w:numPr>
        <w:snapToGrid w:val="0"/>
        <w:spacing w:line="520" w:lineRule="exact"/>
        <w:ind w:firstLine="640" w:firstLineChars="200"/>
        <w:jc w:val="both"/>
        <w:rPr>
          <w:rFonts w:hint="eastAsia" w:ascii="仿宋_GB2312" w:hAnsi="仿宋" w:eastAsia="仿宋_GB2312" w:cs="Times New Roman"/>
          <w:sz w:val="32"/>
          <w:szCs w:val="32"/>
        </w:rPr>
      </w:pPr>
      <w:r>
        <w:rPr>
          <w:rFonts w:hint="eastAsia" w:ascii="仿宋_GB2312" w:hAnsi="仿宋" w:eastAsia="仿宋_GB2312" w:cs="Times New Roman"/>
          <w:sz w:val="32"/>
          <w:szCs w:val="32"/>
          <w:lang w:val="en-US" w:eastAsia="zh-CN"/>
        </w:rPr>
        <w:t>6.</w:t>
      </w:r>
      <w:r>
        <w:rPr>
          <w:rFonts w:hint="eastAsia" w:ascii="仿宋_GB2312" w:hAnsi="仿宋" w:eastAsia="仿宋_GB2312" w:cs="Times New Roman"/>
          <w:sz w:val="32"/>
          <w:szCs w:val="32"/>
        </w:rPr>
        <w:t>派驻纪检组</w:t>
      </w:r>
    </w:p>
    <w:p w14:paraId="3ED34890">
      <w:pPr>
        <w:widowControl w:val="0"/>
        <w:numPr>
          <w:ilvl w:val="0"/>
          <w:numId w:val="0"/>
        </w:numPr>
        <w:snapToGrid w:val="0"/>
        <w:spacing w:line="520" w:lineRule="exact"/>
        <w:ind w:leftChars="200" w:firstLine="320" w:firstLineChars="100"/>
        <w:jc w:val="both"/>
        <w:rPr>
          <w:rFonts w:hint="eastAsia" w:ascii="仿宋_GB2312" w:hAnsi="仿宋" w:eastAsia="仿宋_GB2312"/>
          <w:sz w:val="32"/>
          <w:szCs w:val="32"/>
        </w:rPr>
      </w:pPr>
      <w:r>
        <w:rPr>
          <w:rFonts w:hint="eastAsia" w:ascii="仿宋_GB2312" w:hAnsi="仿宋" w:eastAsia="仿宋_GB2312" w:cs="Times New Roman"/>
          <w:sz w:val="32"/>
          <w:szCs w:val="32"/>
        </w:rPr>
        <w:t>派驻纪检组</w:t>
      </w:r>
      <w:r>
        <w:rPr>
          <w:rFonts w:hint="eastAsia" w:ascii="仿宋_GB2312" w:hAnsi="仿宋" w:eastAsia="仿宋_GB2312"/>
          <w:sz w:val="32"/>
          <w:szCs w:val="32"/>
        </w:rPr>
        <w:t>。</w:t>
      </w:r>
    </w:p>
    <w:p w14:paraId="3D9EF3E2">
      <w:pPr>
        <w:widowControl w:val="0"/>
        <w:numPr>
          <w:ilvl w:val="0"/>
          <w:numId w:val="0"/>
        </w:numPr>
        <w:snapToGrid w:val="0"/>
        <w:spacing w:line="520" w:lineRule="exact"/>
        <w:ind w:leftChars="200" w:firstLine="320" w:firstLineChars="100"/>
        <w:jc w:val="both"/>
        <w:rPr>
          <w:rFonts w:hint="default" w:ascii="Times New Roman" w:hAnsi="Times New Roman" w:eastAsia="仿宋_GB2312" w:cs="仿宋_GB2312"/>
          <w:bCs/>
          <w:kern w:val="0"/>
          <w:sz w:val="32"/>
          <w:szCs w:val="32"/>
          <w:lang w:val="en-US"/>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本单位无独立核算的下属单位，</w:t>
      </w:r>
      <w:r>
        <w:rPr>
          <w:rFonts w:hint="eastAsia" w:ascii="Times New Roman" w:hAnsi="Times New Roman" w:eastAsia="仿宋_GB2312" w:cs="仿宋_GB2312"/>
          <w:bCs/>
          <w:kern w:val="0"/>
          <w:sz w:val="32"/>
          <w:szCs w:val="32"/>
          <w:lang w:val="en-US" w:eastAsia="zh-CN"/>
        </w:rPr>
        <w:t>2025年度部门决算汇总公开单位仅包括岳阳职业技术学院本级</w:t>
      </w:r>
      <w:r>
        <w:rPr>
          <w:rFonts w:hint="eastAsia" w:ascii="Times New Roman" w:hAnsi="Times New Roman" w:eastAsia="仿宋_GB2312" w:cs="仿宋_GB2312"/>
          <w:sz w:val="32"/>
          <w:szCs w:val="32"/>
        </w:rPr>
        <w:t>。</w:t>
      </w:r>
    </w:p>
    <w:p w14:paraId="44C38EF3">
      <w:pPr>
        <w:jc w:val="left"/>
        <w:rPr>
          <w:rFonts w:ascii="仿宋_GB2312" w:eastAsia="仿宋_GB2312" w:hAnsiTheme="minorEastAsia"/>
          <w:sz w:val="28"/>
          <w:szCs w:val="32"/>
        </w:rPr>
      </w:pPr>
    </w:p>
    <w:p w14:paraId="22E289DE"/>
    <w:p w14:paraId="723E368D">
      <w:pPr>
        <w:pStyle w:val="7"/>
      </w:pPr>
    </w:p>
    <w:p w14:paraId="370D57BE"/>
    <w:p w14:paraId="3CCF651F">
      <w:pPr>
        <w:pStyle w:val="7"/>
      </w:pPr>
    </w:p>
    <w:p w14:paraId="752D8DB2">
      <w:pPr>
        <w:pStyle w:val="3"/>
      </w:pPr>
    </w:p>
    <w:p w14:paraId="2381EB6A"/>
    <w:p w14:paraId="41B944BB">
      <w:pPr>
        <w:pStyle w:val="7"/>
      </w:pPr>
    </w:p>
    <w:p w14:paraId="430F9D75">
      <w:pPr>
        <w:pStyle w:val="3"/>
      </w:pPr>
    </w:p>
    <w:p w14:paraId="3C979FA9"/>
    <w:p w14:paraId="2D3C96A1">
      <w:pPr>
        <w:pStyle w:val="7"/>
      </w:pPr>
    </w:p>
    <w:p w14:paraId="6374AFF5">
      <w:pPr>
        <w:pStyle w:val="3"/>
      </w:pPr>
    </w:p>
    <w:p w14:paraId="5E1E7879">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248BD03">
      <w:pPr>
        <w:pStyle w:val="12"/>
        <w:jc w:val="center"/>
        <w:rPr>
          <w:rFonts w:hint="eastAsia" w:ascii="方正小标宋_GBK" w:hAnsi="方正小标宋_GBK" w:eastAsia="方正小标宋_GBK" w:cs="方正小标宋_GBK"/>
          <w:sz w:val="84"/>
          <w:szCs w:val="84"/>
        </w:rPr>
      </w:pPr>
    </w:p>
    <w:p w14:paraId="3B46C7EB">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6F0AFA3B">
      <w:pPr>
        <w:pStyle w:val="12"/>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696FE248">
      <w:pPr>
        <w:pStyle w:val="12"/>
        <w:jc w:val="center"/>
        <w:rPr>
          <w:rFonts w:hint="eastAsia" w:ascii="仿宋_GB2312" w:hAnsi="仿宋_GB2312" w:eastAsia="仿宋_GB2312" w:cs="仿宋_GB2312"/>
          <w:b w:val="0"/>
          <w:bCs w:val="0"/>
          <w:sz w:val="72"/>
          <w:szCs w:val="72"/>
          <w:lang w:eastAsia="zh-CN"/>
        </w:rPr>
      </w:pPr>
    </w:p>
    <w:p w14:paraId="0DB86CDC">
      <w:pPr>
        <w:pStyle w:val="12"/>
        <w:jc w:val="center"/>
        <w:rPr>
          <w:rFonts w:hint="eastAsia" w:ascii="仿宋_GB2312" w:hAnsi="仿宋_GB2312" w:eastAsia="仿宋_GB2312" w:cs="仿宋_GB2312"/>
          <w:b w:val="0"/>
          <w:bCs w:val="0"/>
          <w:sz w:val="72"/>
          <w:szCs w:val="72"/>
          <w:lang w:eastAsia="zh-CN"/>
        </w:rPr>
      </w:pPr>
    </w:p>
    <w:p w14:paraId="3A418167">
      <w:pPr>
        <w:pStyle w:val="12"/>
        <w:jc w:val="center"/>
        <w:rPr>
          <w:rFonts w:hint="eastAsia" w:ascii="仿宋_GB2312" w:hAnsi="仿宋_GB2312" w:eastAsia="仿宋_GB2312" w:cs="仿宋_GB2312"/>
          <w:b w:val="0"/>
          <w:bCs w:val="0"/>
          <w:sz w:val="72"/>
          <w:szCs w:val="72"/>
          <w:lang w:eastAsia="zh-CN"/>
        </w:rPr>
      </w:pPr>
    </w:p>
    <w:p w14:paraId="66B1389E">
      <w:pPr>
        <w:pStyle w:val="12"/>
        <w:jc w:val="center"/>
        <w:rPr>
          <w:rFonts w:hint="eastAsia" w:ascii="仿宋_GB2312" w:hAnsi="仿宋_GB2312" w:eastAsia="仿宋_GB2312" w:cs="仿宋_GB2312"/>
          <w:b w:val="0"/>
          <w:bCs w:val="0"/>
          <w:sz w:val="72"/>
          <w:szCs w:val="72"/>
          <w:lang w:eastAsia="zh-CN"/>
        </w:rPr>
      </w:pPr>
    </w:p>
    <w:p w14:paraId="5DE33B06">
      <w:pPr>
        <w:pStyle w:val="12"/>
        <w:jc w:val="center"/>
        <w:rPr>
          <w:rFonts w:hint="eastAsia" w:ascii="仿宋_GB2312" w:hAnsi="仿宋_GB2312" w:eastAsia="仿宋_GB2312" w:cs="仿宋_GB2312"/>
          <w:b w:val="0"/>
          <w:bCs w:val="0"/>
          <w:sz w:val="72"/>
          <w:szCs w:val="72"/>
          <w:lang w:eastAsia="zh-CN"/>
        </w:rPr>
      </w:pPr>
    </w:p>
    <w:p w14:paraId="56A83BC8">
      <w:pPr>
        <w:pStyle w:val="12"/>
        <w:jc w:val="center"/>
        <w:rPr>
          <w:rFonts w:hint="eastAsia" w:ascii="仿宋_GB2312" w:hAnsi="仿宋_GB2312" w:eastAsia="仿宋_GB2312" w:cs="仿宋_GB2312"/>
          <w:b w:val="0"/>
          <w:bCs w:val="0"/>
          <w:sz w:val="72"/>
          <w:szCs w:val="72"/>
          <w:lang w:eastAsia="zh-CN"/>
        </w:rPr>
      </w:pPr>
    </w:p>
    <w:p w14:paraId="72186830">
      <w:pPr>
        <w:pStyle w:val="12"/>
        <w:jc w:val="center"/>
        <w:rPr>
          <w:rFonts w:hint="eastAsia" w:ascii="仿宋_GB2312" w:hAnsi="仿宋_GB2312" w:eastAsia="仿宋_GB2312" w:cs="仿宋_GB2312"/>
          <w:b w:val="0"/>
          <w:bCs w:val="0"/>
          <w:sz w:val="72"/>
          <w:szCs w:val="72"/>
          <w:lang w:eastAsia="zh-CN"/>
        </w:rPr>
      </w:pPr>
    </w:p>
    <w:p w14:paraId="4B634085">
      <w:pPr>
        <w:pStyle w:val="12"/>
        <w:jc w:val="center"/>
        <w:rPr>
          <w:rFonts w:hint="eastAsia" w:ascii="方正小标宋_GBK" w:hAnsi="方正小标宋_GBK" w:eastAsia="方正小标宋_GBK" w:cs="方正小标宋_GBK"/>
          <w:sz w:val="72"/>
          <w:szCs w:val="72"/>
        </w:rPr>
      </w:pPr>
    </w:p>
    <w:p w14:paraId="36892C13">
      <w:pPr>
        <w:pStyle w:val="12"/>
        <w:jc w:val="both"/>
        <w:rPr>
          <w:rFonts w:hint="eastAsia" w:ascii="方正小标宋_GBK" w:hAnsi="方正小标宋_GBK" w:eastAsia="方正小标宋_GBK" w:cs="方正小标宋_GBK"/>
          <w:sz w:val="72"/>
          <w:szCs w:val="72"/>
        </w:rPr>
      </w:pPr>
    </w:p>
    <w:p w14:paraId="25A7DC25">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40A3E377">
      <w:pPr>
        <w:pStyle w:val="12"/>
        <w:jc w:val="center"/>
        <w:rPr>
          <w:rFonts w:hint="eastAsia" w:ascii="方正小标宋_GBK" w:hAnsi="方正小标宋_GBK" w:eastAsia="方正小标宋_GBK" w:cs="方正小标宋_GBK"/>
          <w:sz w:val="70"/>
          <w:szCs w:val="70"/>
        </w:rPr>
      </w:pPr>
    </w:p>
    <w:p w14:paraId="1870D812">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68E73DC9">
      <w:pPr>
        <w:pStyle w:val="12"/>
        <w:jc w:val="center"/>
        <w:rPr>
          <w:rFonts w:hint="eastAsia" w:ascii="方正小标宋_GBK" w:hAnsi="方正小标宋_GBK" w:eastAsia="方正小标宋_GBK" w:cs="方正小标宋_GBK"/>
          <w:sz w:val="70"/>
          <w:szCs w:val="70"/>
        </w:rPr>
      </w:pPr>
    </w:p>
    <w:p w14:paraId="430E0B06">
      <w:pPr>
        <w:pStyle w:val="12"/>
        <w:jc w:val="center"/>
        <w:rPr>
          <w:rFonts w:hint="eastAsia" w:ascii="方正小标宋_GBK" w:hAnsi="方正小标宋_GBK" w:eastAsia="方正小标宋_GBK" w:cs="方正小标宋_GBK"/>
          <w:sz w:val="70"/>
          <w:szCs w:val="70"/>
        </w:rPr>
      </w:pPr>
    </w:p>
    <w:p w14:paraId="60796049">
      <w:pPr>
        <w:pStyle w:val="12"/>
        <w:jc w:val="center"/>
        <w:rPr>
          <w:rFonts w:hint="eastAsia" w:ascii="方正小标宋_GBK" w:hAnsi="方正小标宋_GBK" w:eastAsia="方正小标宋_GBK" w:cs="方正小标宋_GBK"/>
          <w:sz w:val="70"/>
          <w:szCs w:val="70"/>
        </w:rPr>
      </w:pPr>
    </w:p>
    <w:p w14:paraId="551DD211">
      <w:pPr>
        <w:pStyle w:val="12"/>
        <w:jc w:val="both"/>
        <w:rPr>
          <w:rFonts w:hint="eastAsia" w:ascii="方正小标宋_GBK" w:hAnsi="方正小标宋_GBK" w:eastAsia="方正小标宋_GBK" w:cs="方正小标宋_GBK"/>
          <w:sz w:val="70"/>
          <w:szCs w:val="70"/>
        </w:rPr>
      </w:pPr>
    </w:p>
    <w:p w14:paraId="3879AF4E">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54FC3C1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53907543">
      <w:pPr>
        <w:widowControl w:val="0"/>
        <w:autoSpaceDE w:val="0"/>
        <w:autoSpaceDN w:val="0"/>
        <w:adjustRightInd w:val="0"/>
        <w:ind w:firstLine="640" w:firstLineChars="200"/>
        <w:rPr>
          <w:rFonts w:hint="eastAsia" w:ascii="仿宋_GB2312" w:hAnsi="仿宋_GB2312" w:eastAsia="仿宋_GB2312" w:cs="仿宋_GB2312"/>
          <w:i/>
          <w:iCs/>
          <w:color w:val="000000"/>
          <w:kern w:val="0"/>
          <w:sz w:val="32"/>
          <w:szCs w:val="32"/>
          <w:lang w:val="en-US" w:eastAsia="zh-CN" w:bidi="ar-SA"/>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度收、支总计34368.72万元。与上年相比，增加</w:t>
      </w:r>
      <w:r>
        <w:rPr>
          <w:rFonts w:hint="eastAsia" w:ascii="仿宋_GB2312" w:hAnsi="仿宋_GB2312" w:eastAsia="仿宋_GB2312" w:cs="仿宋_GB2312"/>
          <w:sz w:val="32"/>
          <w:szCs w:val="32"/>
          <w:lang w:val="en-US" w:eastAsia="zh-CN"/>
        </w:rPr>
        <w:t>4860.39</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16.47</w:t>
      </w:r>
      <w:r>
        <w:rPr>
          <w:rFonts w:hint="eastAsia" w:ascii="仿宋_GB2312" w:hAnsi="仿宋_GB2312" w:eastAsia="仿宋_GB2312" w:cs="仿宋_GB2312"/>
          <w:sz w:val="32"/>
          <w:szCs w:val="32"/>
        </w:rPr>
        <w:t>%，主要是因为一般公共预算财政拨款收入</w:t>
      </w:r>
      <w:r>
        <w:rPr>
          <w:rFonts w:hint="eastAsia" w:ascii="仿宋_GB2312" w:hAnsi="仿宋_GB2312" w:eastAsia="仿宋_GB2312" w:cs="仿宋_GB2312"/>
          <w:sz w:val="32"/>
          <w:szCs w:val="32"/>
          <w:lang w:eastAsia="zh-CN"/>
        </w:rPr>
        <w:t>较上年减少</w:t>
      </w:r>
      <w:r>
        <w:rPr>
          <w:rFonts w:hint="eastAsia" w:ascii="仿宋_GB2312" w:hAnsi="仿宋_GB2312" w:eastAsia="仿宋_GB2312" w:cs="仿宋_GB2312"/>
          <w:sz w:val="32"/>
          <w:szCs w:val="32"/>
          <w:lang w:val="en-US" w:eastAsia="zh-CN"/>
        </w:rPr>
        <w:t>1011.73万元，政府性基金预算财政拨款收入较上年增加7972.00万元，</w:t>
      </w:r>
      <w:r>
        <w:rPr>
          <w:rFonts w:hint="eastAsia" w:ascii="仿宋_GB2312" w:hAnsi="仿宋_GB2312" w:eastAsia="仿宋_GB2312" w:cs="仿宋_GB2312"/>
          <w:sz w:val="32"/>
          <w:szCs w:val="32"/>
          <w:lang w:eastAsia="zh-CN"/>
        </w:rPr>
        <w:t>事业收入较上年减少</w:t>
      </w:r>
      <w:r>
        <w:rPr>
          <w:rFonts w:hint="eastAsia" w:ascii="仿宋_GB2312" w:hAnsi="仿宋_GB2312" w:eastAsia="仿宋_GB2312" w:cs="仿宋_GB2312"/>
          <w:sz w:val="32"/>
          <w:szCs w:val="32"/>
          <w:lang w:val="en-US" w:eastAsia="zh-CN"/>
        </w:rPr>
        <w:t>1233.23万元，其他收入</w:t>
      </w:r>
      <w:r>
        <w:rPr>
          <w:rFonts w:hint="eastAsia" w:ascii="仿宋_GB2312" w:hAnsi="仿宋_GB2312" w:eastAsia="仿宋_GB2312" w:cs="仿宋_GB2312"/>
          <w:sz w:val="32"/>
          <w:szCs w:val="32"/>
          <w:lang w:eastAsia="zh-CN"/>
        </w:rPr>
        <w:t>较上年增加</w:t>
      </w:r>
      <w:r>
        <w:rPr>
          <w:rFonts w:hint="eastAsia" w:ascii="仿宋_GB2312" w:hAnsi="仿宋_GB2312" w:eastAsia="仿宋_GB2312" w:cs="仿宋_GB2312"/>
          <w:sz w:val="32"/>
          <w:szCs w:val="32"/>
          <w:lang w:val="en-US" w:eastAsia="zh-CN"/>
        </w:rPr>
        <w:t>974.52万元，年初结转和结余</w:t>
      </w:r>
      <w:r>
        <w:rPr>
          <w:rFonts w:hint="eastAsia" w:ascii="仿宋_GB2312" w:hAnsi="仿宋_GB2312" w:eastAsia="仿宋_GB2312" w:cs="仿宋_GB2312"/>
          <w:sz w:val="32"/>
          <w:szCs w:val="32"/>
          <w:lang w:eastAsia="zh-CN"/>
        </w:rPr>
        <w:t>较上年减少</w:t>
      </w:r>
      <w:r>
        <w:rPr>
          <w:rFonts w:hint="eastAsia" w:ascii="仿宋_GB2312" w:hAnsi="仿宋_GB2312" w:eastAsia="仿宋_GB2312" w:cs="仿宋_GB2312"/>
          <w:sz w:val="32"/>
          <w:szCs w:val="32"/>
          <w:lang w:val="en-US" w:eastAsia="zh-CN"/>
        </w:rPr>
        <w:t>1841.16万元。收支总计平衡，支出总计也相应增加。</w:t>
      </w:r>
    </w:p>
    <w:p w14:paraId="534D758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2CBD5F0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33429.60</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22770.63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68.12</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9622.45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28.78</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1036.52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3.10</w:t>
      </w:r>
      <w:r>
        <w:rPr>
          <w:rFonts w:hint="eastAsia" w:ascii="仿宋_GB2312" w:hAnsi="仿宋_GB2312" w:eastAsia="仿宋_GB2312" w:cs="仿宋_GB2312"/>
          <w:sz w:val="32"/>
          <w:szCs w:val="32"/>
        </w:rPr>
        <w:t>%。</w:t>
      </w:r>
    </w:p>
    <w:p w14:paraId="5F50548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12EFF3D8">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30235.76</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16775.77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55.48</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13459.99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44.52</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p>
    <w:p w14:paraId="1589B17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2EDEB3F1">
      <w:pPr>
        <w:widowControl w:val="0"/>
        <w:autoSpaceDE w:val="0"/>
        <w:autoSpaceDN w:val="0"/>
        <w:adjustRightInd w:val="0"/>
        <w:ind w:firstLine="640" w:firstLineChars="200"/>
        <w:rPr>
          <w:rFonts w:hint="eastAsia" w:ascii="楷体" w:hAnsi="楷体" w:eastAsia="楷体" w:cs="楷体"/>
          <w:i/>
          <w:iCs/>
          <w:color w:val="000000"/>
          <w:kern w:val="0"/>
          <w:sz w:val="32"/>
          <w:szCs w:val="32"/>
          <w:lang w:val="en-US" w:eastAsia="zh-CN" w:bidi="ar-SA"/>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23709.76</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5119.11</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27.54</w:t>
      </w:r>
      <w:r>
        <w:rPr>
          <w:rFonts w:hint="eastAsia" w:ascii="仿宋_GB2312" w:hAnsi="仿宋_GB2312" w:eastAsia="仿宋_GB2312" w:cs="仿宋_GB2312"/>
          <w:sz w:val="32"/>
          <w:szCs w:val="32"/>
        </w:rPr>
        <w:t>%，主要是因为一般公共预算财政拨款</w:t>
      </w:r>
      <w:r>
        <w:rPr>
          <w:rFonts w:hint="eastAsia" w:ascii="仿宋_GB2312" w:hAnsi="仿宋_GB2312" w:eastAsia="仿宋_GB2312" w:cs="仿宋_GB2312"/>
          <w:sz w:val="32"/>
          <w:szCs w:val="32"/>
          <w:lang w:eastAsia="zh-CN"/>
        </w:rPr>
        <w:t>较上年</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1011.73万元；政府性基金预算财政拨款较上年增加7972.00万元；年初财政拨款结转和结余较去年</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了1841.16万元。</w:t>
      </w:r>
    </w:p>
    <w:p w14:paraId="44DD244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518B0ADE">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1019C1F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14798.63</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48.94</w:t>
      </w:r>
      <w:r>
        <w:rPr>
          <w:rFonts w:hint="eastAsia" w:ascii="仿宋_GB2312" w:hAnsi="仿宋_GB2312" w:eastAsia="仿宋_GB2312" w:cs="仿宋_GB2312"/>
          <w:sz w:val="32"/>
          <w:szCs w:val="32"/>
        </w:rPr>
        <w:t>%，与上年相比，财政拨款支出减少</w:t>
      </w:r>
      <w:r>
        <w:rPr>
          <w:rFonts w:hint="eastAsia" w:ascii="仿宋_GB2312" w:hAnsi="仿宋_GB2312" w:eastAsia="仿宋_GB2312" w:cs="仿宋_GB2312"/>
          <w:sz w:val="32"/>
          <w:szCs w:val="32"/>
          <w:lang w:val="en-US" w:eastAsia="zh-CN"/>
        </w:rPr>
        <w:t>1011.73</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6.40</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一般公共预算财政拨款结转、生均经费拨款、升本建设专项拨款均有减少。</w:t>
      </w:r>
    </w:p>
    <w:p w14:paraId="4D7A62A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58B4C52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14798.63</w:t>
      </w:r>
      <w:r>
        <w:rPr>
          <w:rFonts w:hint="eastAsia" w:ascii="仿宋_GB2312" w:hAnsi="仿宋_GB2312" w:eastAsia="仿宋_GB2312" w:cs="仿宋_GB2312"/>
          <w:sz w:val="32"/>
          <w:szCs w:val="32"/>
        </w:rPr>
        <w:t>万元，主要用于以下方面：一般公共服务（类）支出</w:t>
      </w:r>
      <w:r>
        <w:rPr>
          <w:rFonts w:hint="eastAsia" w:ascii="仿宋_GB2312" w:hAnsi="仿宋_GB2312" w:eastAsia="仿宋_GB2312" w:cs="仿宋_GB2312"/>
          <w:sz w:val="32"/>
          <w:szCs w:val="32"/>
          <w:lang w:val="en-US" w:eastAsia="zh-CN"/>
        </w:rPr>
        <w:t>1.79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国防</w:t>
      </w:r>
      <w:r>
        <w:rPr>
          <w:rFonts w:hint="eastAsia" w:ascii="仿宋_GB2312" w:hAnsi="仿宋_GB2312" w:eastAsia="仿宋_GB2312" w:cs="仿宋_GB2312"/>
          <w:sz w:val="32"/>
          <w:szCs w:val="32"/>
        </w:rPr>
        <w:t>（类）支出</w:t>
      </w:r>
      <w:r>
        <w:rPr>
          <w:rFonts w:hint="eastAsia" w:ascii="仿宋_GB2312" w:hAnsi="仿宋_GB2312" w:eastAsia="仿宋_GB2312" w:cs="仿宋_GB2312"/>
          <w:sz w:val="32"/>
          <w:szCs w:val="32"/>
          <w:lang w:val="en-US" w:eastAsia="zh-CN"/>
        </w:rPr>
        <w:t>44.40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0.30</w:t>
      </w:r>
      <w:r>
        <w:rPr>
          <w:rFonts w:hint="eastAsia" w:ascii="仿宋_GB2312" w:hAnsi="仿宋_GB2312" w:eastAsia="仿宋_GB2312" w:cs="仿宋_GB2312"/>
          <w:sz w:val="32"/>
          <w:szCs w:val="32"/>
        </w:rPr>
        <w:t>%;教育（类）支出</w:t>
      </w:r>
      <w:r>
        <w:rPr>
          <w:rFonts w:hint="eastAsia" w:ascii="仿宋_GB2312" w:hAnsi="仿宋_GB2312" w:eastAsia="仿宋_GB2312" w:cs="仿宋_GB2312"/>
          <w:sz w:val="32"/>
          <w:szCs w:val="32"/>
          <w:lang w:val="en-US" w:eastAsia="zh-CN"/>
        </w:rPr>
        <w:t>14259.00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96.35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科学技术</w:t>
      </w:r>
      <w:r>
        <w:rPr>
          <w:rFonts w:hint="eastAsia" w:ascii="仿宋_GB2312" w:hAnsi="仿宋_GB2312" w:eastAsia="仿宋_GB2312" w:cs="仿宋_GB2312"/>
          <w:sz w:val="32"/>
          <w:szCs w:val="32"/>
        </w:rPr>
        <w:t>（类）支出</w:t>
      </w:r>
      <w:r>
        <w:rPr>
          <w:rFonts w:hint="eastAsia" w:ascii="仿宋_GB2312" w:hAnsi="仿宋_GB2312" w:eastAsia="仿宋_GB2312" w:cs="仿宋_GB2312"/>
          <w:sz w:val="32"/>
          <w:szCs w:val="32"/>
          <w:lang w:val="en-US" w:eastAsia="zh-CN"/>
        </w:rPr>
        <w:t>21.20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0.14</w:t>
      </w:r>
      <w:r>
        <w:rPr>
          <w:rFonts w:hint="eastAsia" w:ascii="仿宋_GB2312" w:hAnsi="仿宋_GB2312" w:eastAsia="仿宋_GB2312" w:cs="仿宋_GB2312"/>
          <w:sz w:val="32"/>
          <w:szCs w:val="32"/>
        </w:rPr>
        <w:t>%;社会保障和就业（类）支出</w:t>
      </w:r>
      <w:r>
        <w:rPr>
          <w:rFonts w:hint="eastAsia" w:ascii="仿宋_GB2312" w:hAnsi="仿宋_GB2312" w:eastAsia="仿宋_GB2312" w:cs="仿宋_GB2312"/>
          <w:sz w:val="32"/>
          <w:szCs w:val="32"/>
          <w:lang w:val="en-US" w:eastAsia="zh-CN"/>
        </w:rPr>
        <w:t>148.68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1.01</w:t>
      </w:r>
      <w:r>
        <w:rPr>
          <w:rFonts w:hint="eastAsia" w:ascii="仿宋_GB2312" w:hAnsi="仿宋_GB2312" w:eastAsia="仿宋_GB2312" w:cs="仿宋_GB2312"/>
          <w:sz w:val="32"/>
          <w:szCs w:val="32"/>
        </w:rPr>
        <w:t>%;卫生健康（类）支出</w:t>
      </w:r>
      <w:r>
        <w:rPr>
          <w:rFonts w:hint="eastAsia" w:ascii="仿宋_GB2312" w:hAnsi="仿宋_GB2312" w:eastAsia="仿宋_GB2312" w:cs="仿宋_GB2312"/>
          <w:sz w:val="32"/>
          <w:szCs w:val="32"/>
          <w:lang w:val="en-US" w:eastAsia="zh-CN"/>
        </w:rPr>
        <w:t>321.88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2.18</w:t>
      </w:r>
      <w:r>
        <w:rPr>
          <w:rFonts w:hint="eastAsia" w:ascii="仿宋_GB2312" w:hAnsi="仿宋_GB2312" w:eastAsia="仿宋_GB2312" w:cs="仿宋_GB2312"/>
          <w:sz w:val="32"/>
          <w:szCs w:val="32"/>
        </w:rPr>
        <w:t>%;商业服务业等（类）支出</w:t>
      </w:r>
      <w:r>
        <w:rPr>
          <w:rFonts w:hint="eastAsia" w:ascii="仿宋_GB2312" w:hAnsi="仿宋_GB2312" w:eastAsia="仿宋_GB2312" w:cs="仿宋_GB2312"/>
          <w:sz w:val="32"/>
          <w:szCs w:val="32"/>
          <w:lang w:val="en-US" w:eastAsia="zh-CN"/>
        </w:rPr>
        <w:t>1.68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45E4AAF6">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56374249">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2025.83</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14798.63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730.50</w:t>
      </w:r>
      <w:r>
        <w:rPr>
          <w:rFonts w:hint="eastAsia" w:ascii="仿宋_GB2312" w:hAnsi="仿宋_GB2312" w:eastAsia="仿宋_GB2312" w:cs="仿宋_GB2312"/>
          <w:sz w:val="32"/>
          <w:szCs w:val="32"/>
        </w:rPr>
        <w:t>%，其中：</w:t>
      </w:r>
    </w:p>
    <w:p w14:paraId="45F91EAF">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1、一般公共服务（类）</w:t>
      </w:r>
      <w:r>
        <w:rPr>
          <w:rFonts w:hint="eastAsia" w:ascii="仿宋_GB2312" w:hAnsi="仿宋_GB2312" w:eastAsia="仿宋_GB2312" w:cs="仿宋_GB2312"/>
          <w:sz w:val="32"/>
          <w:szCs w:val="32"/>
          <w:lang w:eastAsia="zh-CN"/>
        </w:rPr>
        <w:t>海关事务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一般行政管理事务</w:t>
      </w:r>
      <w:r>
        <w:rPr>
          <w:rFonts w:hint="eastAsia" w:ascii="仿宋_GB2312" w:hAnsi="仿宋_GB2312" w:eastAsia="仿宋_GB2312" w:cs="仿宋_GB2312"/>
          <w:sz w:val="32"/>
          <w:szCs w:val="32"/>
        </w:rPr>
        <w:t>（项）。</w:t>
      </w:r>
    </w:p>
    <w:p w14:paraId="408D64B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1.79</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市</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0CE6E18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国防</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国防动员</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兵役征集</w:t>
      </w:r>
      <w:r>
        <w:rPr>
          <w:rFonts w:hint="eastAsia" w:ascii="仿宋_GB2312" w:hAnsi="仿宋_GB2312" w:eastAsia="仿宋_GB2312" w:cs="仿宋_GB2312"/>
          <w:sz w:val="32"/>
          <w:szCs w:val="32"/>
        </w:rPr>
        <w:t>（项）。</w:t>
      </w:r>
    </w:p>
    <w:p w14:paraId="416E574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44.40</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省</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3928F11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教育</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普通教育</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其他普通教育</w:t>
      </w:r>
      <w:r>
        <w:rPr>
          <w:rFonts w:hint="eastAsia" w:ascii="仿宋_GB2312" w:hAnsi="仿宋_GB2312" w:eastAsia="仿宋_GB2312" w:cs="仿宋_GB2312"/>
          <w:sz w:val="32"/>
          <w:szCs w:val="32"/>
        </w:rPr>
        <w:t>（项）。</w:t>
      </w:r>
    </w:p>
    <w:p w14:paraId="1EC16777">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25.37</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省</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69559F11">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教育</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职业教育</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高等职业教育</w:t>
      </w:r>
      <w:r>
        <w:rPr>
          <w:rFonts w:hint="eastAsia" w:ascii="仿宋_GB2312" w:hAnsi="仿宋_GB2312" w:eastAsia="仿宋_GB2312" w:cs="仿宋_GB2312"/>
          <w:sz w:val="32"/>
          <w:szCs w:val="32"/>
        </w:rPr>
        <w:t>（项）。</w:t>
      </w:r>
    </w:p>
    <w:p w14:paraId="0FD12C8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2025.83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7187.87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354.81</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中央直达资金，</w:t>
      </w:r>
      <w:r>
        <w:rPr>
          <w:rFonts w:hint="eastAsia" w:ascii="仿宋_GB2312" w:hAnsi="仿宋_GB2312" w:eastAsia="仿宋_GB2312" w:cs="仿宋_GB2312"/>
          <w:sz w:val="32"/>
          <w:szCs w:val="32"/>
          <w:highlight w:val="none"/>
        </w:rPr>
        <w:t>省</w:t>
      </w:r>
      <w:r>
        <w:rPr>
          <w:rFonts w:hint="eastAsia" w:ascii="仿宋_GB2312" w:hAnsi="仿宋_GB2312" w:eastAsia="仿宋_GB2312" w:cs="仿宋_GB2312"/>
          <w:sz w:val="32"/>
          <w:szCs w:val="32"/>
          <w:highlight w:val="none"/>
          <w:lang w:eastAsia="zh-CN"/>
        </w:rPr>
        <w:t>、市</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2CFA7AF2">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教育</w:t>
      </w:r>
      <w:r>
        <w:rPr>
          <w:rFonts w:hint="eastAsia" w:ascii="仿宋_GB2312" w:hAnsi="仿宋_GB2312" w:eastAsia="仿宋_GB2312" w:cs="仿宋_GB2312"/>
          <w:sz w:val="32"/>
          <w:szCs w:val="32"/>
        </w:rPr>
        <w:t>（类）教育费附加安排（款）其他教育费附加安排（项）。</w:t>
      </w:r>
    </w:p>
    <w:p w14:paraId="05BF500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7045.76</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市</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247D88B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科学技术</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基础研究</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自然科学基金</w:t>
      </w:r>
      <w:r>
        <w:rPr>
          <w:rFonts w:hint="eastAsia" w:ascii="仿宋_GB2312" w:hAnsi="仿宋_GB2312" w:eastAsia="仿宋_GB2312" w:cs="仿宋_GB2312"/>
          <w:sz w:val="32"/>
          <w:szCs w:val="32"/>
        </w:rPr>
        <w:t>（项）。</w:t>
      </w:r>
    </w:p>
    <w:p w14:paraId="51524372">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1.53</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省</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496DDA4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科学技术</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社会科学</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社科基金</w:t>
      </w:r>
      <w:r>
        <w:rPr>
          <w:rFonts w:hint="eastAsia" w:ascii="仿宋_GB2312" w:hAnsi="仿宋_GB2312" w:eastAsia="仿宋_GB2312" w:cs="仿宋_GB2312"/>
          <w:sz w:val="32"/>
          <w:szCs w:val="32"/>
        </w:rPr>
        <w:t>（项）。</w:t>
      </w:r>
    </w:p>
    <w:p w14:paraId="7FA8570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1.66</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省</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6206854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科学技术</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社会科学</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其他社会科学</w:t>
      </w:r>
      <w:r>
        <w:rPr>
          <w:rFonts w:hint="eastAsia" w:ascii="仿宋_GB2312" w:hAnsi="仿宋_GB2312" w:eastAsia="仿宋_GB2312" w:cs="仿宋_GB2312"/>
          <w:sz w:val="32"/>
          <w:szCs w:val="32"/>
        </w:rPr>
        <w:t>（项）。</w:t>
      </w:r>
    </w:p>
    <w:p w14:paraId="7E33A45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0.82</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省</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3C8ABA3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科学技术</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科学技术普及</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其他科学技术普及</w:t>
      </w:r>
      <w:r>
        <w:rPr>
          <w:rFonts w:hint="eastAsia" w:ascii="仿宋_GB2312" w:hAnsi="仿宋_GB2312" w:eastAsia="仿宋_GB2312" w:cs="仿宋_GB2312"/>
          <w:sz w:val="32"/>
          <w:szCs w:val="32"/>
        </w:rPr>
        <w:t>（项）。</w:t>
      </w:r>
    </w:p>
    <w:p w14:paraId="71427B68">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2.69</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省</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76B09A7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科学技术</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其他科学技术</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其他科学技术</w:t>
      </w:r>
      <w:r>
        <w:rPr>
          <w:rFonts w:hint="eastAsia" w:ascii="仿宋_GB2312" w:hAnsi="仿宋_GB2312" w:eastAsia="仿宋_GB2312" w:cs="仿宋_GB2312"/>
          <w:sz w:val="32"/>
          <w:szCs w:val="32"/>
        </w:rPr>
        <w:t>（项）。</w:t>
      </w:r>
    </w:p>
    <w:p w14:paraId="1A606548">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14.50</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省级、市</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3F816DC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社会保障和就业</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就业补助</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职业培训补贴</w:t>
      </w:r>
      <w:r>
        <w:rPr>
          <w:rFonts w:hint="eastAsia" w:ascii="仿宋_GB2312" w:hAnsi="仿宋_GB2312" w:eastAsia="仿宋_GB2312" w:cs="仿宋_GB2312"/>
          <w:sz w:val="32"/>
          <w:szCs w:val="32"/>
        </w:rPr>
        <w:t>（项）。</w:t>
      </w:r>
    </w:p>
    <w:p w14:paraId="3BCDA042">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53.01</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省</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598E64C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社会保障和就业</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就业补助</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求职和创业补贴</w:t>
      </w:r>
      <w:r>
        <w:rPr>
          <w:rFonts w:hint="eastAsia" w:ascii="仿宋_GB2312" w:hAnsi="仿宋_GB2312" w:eastAsia="仿宋_GB2312" w:cs="仿宋_GB2312"/>
          <w:sz w:val="32"/>
          <w:szCs w:val="32"/>
        </w:rPr>
        <w:t>（项）。</w:t>
      </w:r>
    </w:p>
    <w:p w14:paraId="71CFB08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64.95</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省</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1F459197">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社会保障和就业</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就业补助</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其他就业补助</w:t>
      </w:r>
      <w:r>
        <w:rPr>
          <w:rFonts w:hint="eastAsia" w:ascii="仿宋_GB2312" w:hAnsi="仿宋_GB2312" w:eastAsia="仿宋_GB2312" w:cs="仿宋_GB2312"/>
          <w:sz w:val="32"/>
          <w:szCs w:val="32"/>
        </w:rPr>
        <w:t>（项）。</w:t>
      </w:r>
    </w:p>
    <w:p w14:paraId="71467612">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29.52</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省</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1B2C401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社会保障和就业</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其他社会保障和就业</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其他社会保障和就业</w:t>
      </w:r>
      <w:r>
        <w:rPr>
          <w:rFonts w:hint="eastAsia" w:ascii="仿宋_GB2312" w:hAnsi="仿宋_GB2312" w:eastAsia="仿宋_GB2312" w:cs="仿宋_GB2312"/>
          <w:sz w:val="32"/>
          <w:szCs w:val="32"/>
        </w:rPr>
        <w:t>（项）。</w:t>
      </w:r>
    </w:p>
    <w:p w14:paraId="58B73EC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1.20</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市</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116D62D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卫生健康</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卫生健康管理事务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其他卫生健康管理事务</w:t>
      </w:r>
      <w:r>
        <w:rPr>
          <w:rFonts w:hint="eastAsia" w:ascii="仿宋_GB2312" w:hAnsi="仿宋_GB2312" w:eastAsia="仿宋_GB2312" w:cs="仿宋_GB2312"/>
          <w:sz w:val="32"/>
          <w:szCs w:val="32"/>
        </w:rPr>
        <w:t>（项）。</w:t>
      </w:r>
    </w:p>
    <w:p w14:paraId="1B47A642">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77.88</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市</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016C5B78">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卫生健康</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基层医疗卫生机构</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其他基层医疗卫生机构</w:t>
      </w:r>
      <w:r>
        <w:rPr>
          <w:rFonts w:hint="eastAsia" w:ascii="仿宋_GB2312" w:hAnsi="仿宋_GB2312" w:eastAsia="仿宋_GB2312" w:cs="仿宋_GB2312"/>
          <w:sz w:val="32"/>
          <w:szCs w:val="32"/>
        </w:rPr>
        <w:t>（项）。</w:t>
      </w:r>
    </w:p>
    <w:p w14:paraId="0F4F96A6">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244.00</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省</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72C13CE7">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商业服务业等</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其他商业服务业等</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其他商业服务业等</w:t>
      </w:r>
      <w:r>
        <w:rPr>
          <w:rFonts w:hint="eastAsia" w:ascii="仿宋_GB2312" w:hAnsi="仿宋_GB2312" w:eastAsia="仿宋_GB2312" w:cs="仿宋_GB2312"/>
          <w:sz w:val="32"/>
          <w:szCs w:val="32"/>
        </w:rPr>
        <w:t>（项）。</w:t>
      </w:r>
    </w:p>
    <w:p w14:paraId="058B292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1.68</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部分</w:t>
      </w:r>
      <w:r>
        <w:rPr>
          <w:rFonts w:hint="eastAsia" w:ascii="仿宋_GB2312" w:hAnsi="仿宋_GB2312" w:eastAsia="仿宋_GB2312" w:cs="仿宋_GB2312"/>
          <w:sz w:val="32"/>
          <w:szCs w:val="32"/>
          <w:highlight w:val="none"/>
          <w:lang w:eastAsia="zh-CN"/>
        </w:rPr>
        <w:t>市</w:t>
      </w:r>
      <w:r>
        <w:rPr>
          <w:rFonts w:hint="eastAsia" w:ascii="仿宋_GB2312" w:hAnsi="仿宋_GB2312" w:eastAsia="仿宋_GB2312" w:cs="仿宋_GB2312"/>
          <w:sz w:val="32"/>
          <w:szCs w:val="32"/>
          <w:highlight w:val="none"/>
        </w:rPr>
        <w:t>级财政专项未纳入年初预算</w:t>
      </w:r>
      <w:r>
        <w:rPr>
          <w:rFonts w:hint="eastAsia" w:ascii="仿宋_GB2312" w:hAnsi="仿宋_GB2312" w:eastAsia="仿宋_GB2312" w:cs="仿宋_GB2312"/>
          <w:sz w:val="32"/>
          <w:szCs w:val="32"/>
          <w:highlight w:val="none"/>
          <w:lang w:eastAsia="zh-CN"/>
        </w:rPr>
        <w:t>。</w:t>
      </w:r>
    </w:p>
    <w:p w14:paraId="09B818C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73BFDE8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10432.27</w:t>
      </w:r>
      <w:r>
        <w:rPr>
          <w:rFonts w:hint="eastAsia" w:ascii="仿宋_GB2312" w:hAnsi="仿宋_GB2312" w:eastAsia="仿宋_GB2312" w:cs="仿宋_GB2312"/>
          <w:sz w:val="32"/>
          <w:szCs w:val="32"/>
        </w:rPr>
        <w:t>万元，其中：</w:t>
      </w:r>
    </w:p>
    <w:p w14:paraId="492F364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8098.55</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77.63</w:t>
      </w:r>
      <w:r>
        <w:rPr>
          <w:rFonts w:hint="eastAsia" w:ascii="仿宋_GB2312" w:hAnsi="仿宋_GB2312" w:eastAsia="仿宋_GB2312" w:cs="仿宋_GB2312"/>
          <w:sz w:val="32"/>
          <w:szCs w:val="32"/>
        </w:rPr>
        <w:t>%,主要包括基本工资、津贴补贴、伙食补助费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绩效工资</w:t>
      </w:r>
      <w:r>
        <w:rPr>
          <w:rFonts w:hint="eastAsia" w:ascii="仿宋_GB2312" w:hAnsi="仿宋_GB2312" w:eastAsia="仿宋_GB2312" w:cs="仿宋_GB2312"/>
          <w:sz w:val="32"/>
          <w:szCs w:val="32"/>
          <w:lang w:eastAsia="zh-CN"/>
        </w:rPr>
        <w:t>、机关事业单位基本养老保险缴费、职业年金缴费、职工基本医疗保险缴费、公务员医疗补助缴费、其他社会保障缴费、住房公积金、其他工资福利支出、退休费、抚恤金、生活补助、医疗费补助、助学金、其他对个人和家庭的补助。</w:t>
      </w:r>
    </w:p>
    <w:p w14:paraId="74152CE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2333.72</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22.37</w:t>
      </w:r>
      <w:r>
        <w:rPr>
          <w:rFonts w:hint="eastAsia" w:ascii="仿宋_GB2312" w:hAnsi="仿宋_GB2312" w:eastAsia="仿宋_GB2312" w:cs="仿宋_GB2312"/>
          <w:sz w:val="32"/>
          <w:szCs w:val="32"/>
        </w:rPr>
        <w:t>%，主要包括办公费、印刷费、</w:t>
      </w:r>
      <w:r>
        <w:rPr>
          <w:rFonts w:hint="eastAsia" w:ascii="仿宋_GB2312" w:hAnsi="仿宋_GB2312" w:eastAsia="仿宋_GB2312" w:cs="仿宋_GB2312"/>
          <w:sz w:val="32"/>
          <w:szCs w:val="32"/>
          <w:lang w:eastAsia="zh-CN"/>
        </w:rPr>
        <w:t>水费、电费、物业管理费、差旅费、维修（护）费、租赁费、专用材料费、劳务费、委托业务费、其他交通费用、其他商品和服务支出</w:t>
      </w:r>
      <w:r>
        <w:rPr>
          <w:rFonts w:hint="eastAsia" w:ascii="仿宋_GB2312" w:hAnsi="仿宋_GB2312" w:eastAsia="仿宋_GB2312" w:cs="仿宋_GB2312"/>
          <w:sz w:val="32"/>
          <w:szCs w:val="32"/>
        </w:rPr>
        <w:t>。</w:t>
      </w:r>
    </w:p>
    <w:p w14:paraId="064C323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06310963">
      <w:pPr>
        <w:pStyle w:val="12"/>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b/>
          <w:bCs/>
          <w:i/>
          <w:color w:val="auto"/>
          <w:kern w:val="0"/>
          <w:sz w:val="32"/>
          <w:szCs w:val="32"/>
          <w:lang w:val="en-US" w:eastAsia="zh-CN" w:bidi="ar-SA"/>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度政府性基金预算财政拨款收入</w:t>
      </w:r>
      <w:r>
        <w:rPr>
          <w:rFonts w:hint="eastAsia" w:ascii="仿宋_GB2312" w:hAnsi="仿宋_GB2312" w:eastAsia="仿宋_GB2312" w:cs="仿宋_GB2312"/>
          <w:sz w:val="32"/>
          <w:szCs w:val="32"/>
          <w:lang w:val="en-US" w:eastAsia="zh-CN"/>
        </w:rPr>
        <w:t>7972.00</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939.13</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4778.16</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4778.16</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4132.96</w:t>
      </w:r>
      <w:r>
        <w:rPr>
          <w:rFonts w:hint="eastAsia" w:ascii="仿宋_GB2312" w:hAnsi="仿宋_GB2312" w:eastAsia="仿宋_GB2312" w:cs="仿宋_GB2312"/>
          <w:sz w:val="32"/>
          <w:szCs w:val="32"/>
        </w:rPr>
        <w:t>万元。具体情况如下：</w:t>
      </w:r>
    </w:p>
    <w:p w14:paraId="357224B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教育</w:t>
      </w:r>
      <w:r>
        <w:rPr>
          <w:rFonts w:hint="eastAsia" w:ascii="仿宋_GB2312" w:hAnsi="仿宋_GB2312" w:eastAsia="仿宋_GB2312" w:cs="仿宋_GB2312"/>
          <w:sz w:val="32"/>
          <w:szCs w:val="32"/>
        </w:rPr>
        <w:t>（类）超长期特别国债安排（款）</w:t>
      </w:r>
      <w:r>
        <w:rPr>
          <w:rFonts w:hint="eastAsia" w:ascii="仿宋_GB2312" w:hAnsi="仿宋_GB2312" w:eastAsia="仿宋_GB2312" w:cs="仿宋_GB2312"/>
          <w:sz w:val="32"/>
          <w:szCs w:val="32"/>
          <w:lang w:eastAsia="zh-CN"/>
        </w:rPr>
        <w:t>高等教育</w:t>
      </w:r>
      <w:r>
        <w:rPr>
          <w:rFonts w:hint="eastAsia" w:ascii="仿宋_GB2312" w:hAnsi="仿宋_GB2312" w:eastAsia="仿宋_GB2312" w:cs="仿宋_GB2312"/>
          <w:sz w:val="32"/>
          <w:szCs w:val="32"/>
        </w:rPr>
        <w:t>（项）。</w:t>
      </w:r>
    </w:p>
    <w:p w14:paraId="73D65E0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3072.00</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中央级超长期国债专项资金未纳入年初预算；</w:t>
      </w:r>
    </w:p>
    <w:p w14:paraId="6902D87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（类）其他政府性基金及对应专项债务收入安排（款）其他地方自行试点项目收益专项债券收入安排（项）。</w:t>
      </w:r>
    </w:p>
    <w:p w14:paraId="303C25D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1706.16</w:t>
      </w:r>
      <w:r>
        <w:rPr>
          <w:rFonts w:hint="eastAsia" w:ascii="仿宋_GB2312" w:hAnsi="仿宋_GB2312" w:eastAsia="仿宋_GB2312" w:cs="仿宋_GB2312"/>
          <w:sz w:val="32"/>
          <w:szCs w:val="32"/>
        </w:rPr>
        <w:t>万元，决算数大于（小于）年初预算数的主要原因是：</w:t>
      </w:r>
      <w:r>
        <w:rPr>
          <w:rFonts w:hint="eastAsia" w:ascii="仿宋_GB2312" w:hAnsi="仿宋_GB2312" w:eastAsia="仿宋_GB2312" w:cs="仿宋_GB2312"/>
          <w:sz w:val="32"/>
          <w:szCs w:val="32"/>
          <w:lang w:eastAsia="zh-CN"/>
        </w:rPr>
        <w:t>省级专项债券资金未纳入年初预算。</w:t>
      </w:r>
    </w:p>
    <w:p w14:paraId="74BA3A4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7BD1DFC0">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i w:val="0"/>
          <w:iCs/>
          <w:color w:val="auto"/>
          <w:kern w:val="0"/>
          <w:sz w:val="32"/>
          <w:szCs w:val="32"/>
          <w:lang w:val="en-US" w:eastAsia="zh-CN" w:bidi="ar-SA"/>
        </w:rPr>
        <w:t>2025年度国有资本经营预算财政拨款收入0.00万元；年初结转和结余0.00万；支出0.00万元，其中：基本支出0.00万元，项目支出0.00万元；年末结转和结余0.00万元。</w:t>
      </w:r>
    </w:p>
    <w:p w14:paraId="4C5CD7CE">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2A635CD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36F1D0FC">
      <w:pPr>
        <w:numPr>
          <w:ilvl w:val="0"/>
          <w:numId w:val="0"/>
        </w:numPr>
        <w:ind w:firstLine="640" w:firstLineChars="200"/>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55.00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本年</w:t>
      </w:r>
      <w:r>
        <w:rPr>
          <w:rFonts w:ascii="Times New Roman" w:hAnsi="Times New Roman" w:eastAsia="仿宋_GB2312" w:cs="Times New Roman"/>
          <w:sz w:val="32"/>
          <w:szCs w:val="32"/>
        </w:rPr>
        <w:t>“三公”经费</w:t>
      </w:r>
      <w:r>
        <w:rPr>
          <w:rFonts w:hint="eastAsia" w:ascii="Times New Roman" w:hAnsi="Times New Roman" w:eastAsia="仿宋_GB2312" w:cs="Times New Roman"/>
          <w:sz w:val="32"/>
          <w:szCs w:val="32"/>
          <w:lang w:eastAsia="zh-CN"/>
        </w:rPr>
        <w:t>支出均为非财政拨款支出，财政拨款口径</w:t>
      </w:r>
      <w:r>
        <w:rPr>
          <w:rFonts w:hint="eastAsia" w:ascii="Times New Roman" w:hAnsi="Times New Roman" w:eastAsia="仿宋_GB2312" w:cs="Times New Roman"/>
          <w:sz w:val="32"/>
          <w:szCs w:val="32"/>
          <w:lang w:val="en-US" w:eastAsia="zh-CN"/>
        </w:rPr>
        <w:t>决算数为0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两年的</w:t>
      </w:r>
      <w:r>
        <w:rPr>
          <w:rFonts w:ascii="Times New Roman" w:hAnsi="Times New Roman" w:eastAsia="仿宋_GB2312" w:cs="Times New Roman"/>
          <w:sz w:val="32"/>
          <w:szCs w:val="32"/>
        </w:rPr>
        <w:t>“三公”经费</w:t>
      </w:r>
      <w:r>
        <w:rPr>
          <w:rFonts w:hint="eastAsia" w:ascii="Times New Roman" w:hAnsi="Times New Roman" w:eastAsia="仿宋_GB2312" w:cs="Times New Roman"/>
          <w:sz w:val="32"/>
          <w:szCs w:val="32"/>
          <w:lang w:eastAsia="zh-CN"/>
        </w:rPr>
        <w:t>支出均为非财政拨款支出，财政拨款口径</w:t>
      </w:r>
      <w:r>
        <w:rPr>
          <w:rFonts w:hint="eastAsia" w:ascii="Times New Roman" w:hAnsi="Times New Roman" w:eastAsia="仿宋_GB2312" w:cs="Times New Roman"/>
          <w:sz w:val="32"/>
          <w:szCs w:val="32"/>
          <w:lang w:val="en-US" w:eastAsia="zh-CN"/>
        </w:rPr>
        <w:t>决算数为0</w:t>
      </w:r>
      <w:r>
        <w:rPr>
          <w:rFonts w:ascii="Times New Roman" w:hAnsi="Times New Roman" w:eastAsia="仿宋_GB2312" w:cs="Times New Roman"/>
          <w:sz w:val="32"/>
          <w:szCs w:val="32"/>
        </w:rPr>
        <w:t>。</w:t>
      </w:r>
    </w:p>
    <w:p w14:paraId="72FDC5E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68D2B7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20.00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w:t>
      </w:r>
      <w:r>
        <w:rPr>
          <w:rFonts w:hint="eastAsia" w:ascii="Times New Roman" w:hAnsi="Times New Roman" w:eastAsia="仿宋_GB2312" w:cs="Times New Roman"/>
          <w:color w:val="auto"/>
          <w:sz w:val="32"/>
          <w:szCs w:val="32"/>
          <w:lang w:val="en-US" w:eastAsia="zh-CN"/>
        </w:rPr>
        <w:t>一致，无增减变动</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本年度未发生因公出国（</w:t>
      </w:r>
      <w:r>
        <w:rPr>
          <w:rFonts w:ascii="Times New Roman" w:hAnsi="Times New Roman" w:eastAsia="仿宋_GB2312" w:cs="Times New Roman"/>
          <w:sz w:val="32"/>
          <w:szCs w:val="32"/>
        </w:rPr>
        <w:t>境</w:t>
      </w:r>
      <w:r>
        <w:rPr>
          <w:rFonts w:hint="eastAsia" w:ascii="Times New Roman" w:hAnsi="Times New Roman" w:eastAsia="仿宋_GB2312" w:cs="Times New Roman"/>
          <w:sz w:val="32"/>
          <w:szCs w:val="32"/>
          <w:lang w:eastAsia="zh-CN"/>
        </w:rPr>
        <w:t>）活动，决算数为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两年均未发生因公出国（</w:t>
      </w:r>
      <w:r>
        <w:rPr>
          <w:rFonts w:ascii="Times New Roman" w:hAnsi="Times New Roman" w:eastAsia="仿宋_GB2312" w:cs="Times New Roman"/>
          <w:sz w:val="32"/>
          <w:szCs w:val="32"/>
        </w:rPr>
        <w:t>境</w:t>
      </w:r>
      <w:r>
        <w:rPr>
          <w:rFonts w:hint="eastAsia" w:ascii="Times New Roman" w:hAnsi="Times New Roman" w:eastAsia="仿宋_GB2312" w:cs="Times New Roman"/>
          <w:sz w:val="32"/>
          <w:szCs w:val="32"/>
          <w:lang w:eastAsia="zh-CN"/>
        </w:rPr>
        <w:t>）活动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7065FDB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color w:val="auto"/>
          <w:sz w:val="32"/>
          <w:szCs w:val="32"/>
          <w:lang w:val="en-US" w:eastAsia="zh-CN"/>
        </w:rPr>
        <w:t>一致，无增减变动</w:t>
      </w:r>
      <w:r>
        <w:rPr>
          <w:rFonts w:ascii="Times New Roman" w:hAnsi="Times New Roman" w:eastAsia="仿宋_GB2312" w:cs="Times New Roman"/>
          <w:sz w:val="32"/>
          <w:szCs w:val="32"/>
        </w:rPr>
        <w:t>。其中：</w:t>
      </w:r>
    </w:p>
    <w:p w14:paraId="02972AA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color w:val="auto"/>
          <w:sz w:val="32"/>
          <w:szCs w:val="32"/>
          <w:lang w:val="en-US" w:eastAsia="zh-CN"/>
        </w:rPr>
        <w:t>一致，无增减变动</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年初未安排财政拨款预算用于</w:t>
      </w:r>
      <w:r>
        <w:rPr>
          <w:rFonts w:ascii="Times New Roman" w:hAnsi="Times New Roman" w:eastAsia="仿宋_GB2312" w:cs="Times New Roman"/>
          <w:sz w:val="32"/>
          <w:szCs w:val="32"/>
        </w:rPr>
        <w:t>公务用车购置</w:t>
      </w:r>
      <w:r>
        <w:rPr>
          <w:rFonts w:hint="eastAsia" w:ascii="Times New Roman" w:hAnsi="Times New Roman" w:eastAsia="仿宋_GB2312" w:cs="Times New Roman"/>
          <w:sz w:val="32"/>
          <w:szCs w:val="32"/>
          <w:lang w:eastAsia="zh-CN"/>
        </w:rPr>
        <w:t>，本年也未使用财政拨款购置公务用车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color w:val="auto"/>
          <w:sz w:val="32"/>
          <w:szCs w:val="32"/>
          <w:lang w:val="en-US" w:eastAsia="zh-CN"/>
        </w:rPr>
        <w:t>两年均未使用财政拨款购置公务用车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岳阳职业技术学院</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，报废公务用车</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辆，通过非财政拨款支出。</w:t>
      </w:r>
    </w:p>
    <w:p w14:paraId="2852FF16">
      <w:pPr>
        <w:pStyle w:val="12"/>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color w:val="auto"/>
          <w:sz w:val="32"/>
          <w:szCs w:val="32"/>
          <w:lang w:val="en-US" w:eastAsia="zh-CN"/>
        </w:rPr>
        <w:t>一致，无增减变动</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本年度</w:t>
      </w:r>
      <w:r>
        <w:rPr>
          <w:rFonts w:ascii="Times New Roman" w:hAnsi="Times New Roman" w:eastAsia="仿宋_GB2312" w:cs="Times New Roman"/>
          <w:sz w:val="32"/>
          <w:szCs w:val="32"/>
        </w:rPr>
        <w:t>公务用车运行维护费支出</w:t>
      </w:r>
      <w:r>
        <w:rPr>
          <w:rFonts w:hint="eastAsia" w:ascii="Times New Roman" w:hAnsi="Times New Roman" w:eastAsia="仿宋_GB2312" w:cs="Times New Roman"/>
          <w:sz w:val="32"/>
          <w:szCs w:val="32"/>
          <w:lang w:eastAsia="zh-CN"/>
        </w:rPr>
        <w:t>均为非财政拨款支出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两年的</w:t>
      </w:r>
      <w:r>
        <w:rPr>
          <w:rFonts w:ascii="Times New Roman" w:hAnsi="Times New Roman" w:eastAsia="仿宋_GB2312" w:cs="Times New Roman"/>
          <w:sz w:val="32"/>
          <w:szCs w:val="32"/>
        </w:rPr>
        <w:t>公务用车运行维护费</w:t>
      </w:r>
      <w:r>
        <w:rPr>
          <w:rFonts w:hint="eastAsia" w:ascii="Times New Roman" w:hAnsi="Times New Roman" w:eastAsia="仿宋_GB2312" w:cs="Times New Roman"/>
          <w:sz w:val="32"/>
          <w:szCs w:val="32"/>
          <w:lang w:eastAsia="zh-CN"/>
        </w:rPr>
        <w:t>均未通过财政拨款开支</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2DDD1432">
      <w:pPr>
        <w:numPr>
          <w:ilvl w:val="0"/>
          <w:numId w:val="0"/>
        </w:numPr>
        <w:ind w:firstLine="640" w:firstLineChars="200"/>
        <w:rPr>
          <w:rFonts w:hint="eastAsia" w:ascii="Times New Roman" w:hAnsi="Times New Roman" w:eastAsia="仿宋_GB2312"/>
          <w:b/>
          <w:color w:val="auto"/>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30.00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color w:val="auto"/>
          <w:sz w:val="32"/>
          <w:szCs w:val="32"/>
          <w:lang w:val="en-US" w:eastAsia="zh-CN"/>
        </w:rPr>
        <w:t>一致，无增减变动</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本年度</w:t>
      </w:r>
      <w:r>
        <w:rPr>
          <w:rFonts w:ascii="Times New Roman" w:hAnsi="Times New Roman" w:eastAsia="仿宋_GB2312" w:cs="Times New Roman"/>
          <w:sz w:val="32"/>
          <w:szCs w:val="32"/>
        </w:rPr>
        <w:t>公务接待费支出</w:t>
      </w:r>
      <w:r>
        <w:rPr>
          <w:rFonts w:hint="eastAsia" w:ascii="Times New Roman" w:hAnsi="Times New Roman" w:eastAsia="仿宋_GB2312" w:cs="Times New Roman"/>
          <w:sz w:val="32"/>
          <w:szCs w:val="32"/>
          <w:lang w:eastAsia="zh-CN"/>
        </w:rPr>
        <w:t>均为非财政拨款支出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两年的</w:t>
      </w:r>
      <w:r>
        <w:rPr>
          <w:rFonts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eastAsia="zh-CN"/>
        </w:rPr>
        <w:t>均未通过财政拨款开支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21075CA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031EFDF3">
      <w:pPr>
        <w:pStyle w:val="12"/>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lang w:val="en-US" w:eastAsia="zh-CN"/>
        </w:rPr>
        <w:t>本级和所属单位均为事业单位，按照机关运行经费的口径，本年度机关运行经费为0</w:t>
      </w:r>
      <w:r>
        <w:rPr>
          <w:rFonts w:hint="eastAsia" w:ascii="楷体" w:hAnsi="楷体" w:eastAsia="楷体" w:cs="楷体"/>
          <w:sz w:val="32"/>
          <w:szCs w:val="32"/>
        </w:rPr>
        <w:t>。</w:t>
      </w:r>
    </w:p>
    <w:p w14:paraId="78A9A90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3B7A93FF">
      <w:pPr>
        <w:pStyle w:val="12"/>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年度，会议费年初预算0.00万元，支出决算为2.51万元，决算数大于年初预算数的主要原因是本部门会议费未纳入年初预算。用于召开1次会议，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56</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eastAsia="zh-CN"/>
        </w:rPr>
        <w:t>湖南省高评专家组来校评审升本工作会议。</w:t>
      </w:r>
    </w:p>
    <w:p w14:paraId="1E25E198">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培训费年初预算0.00万元，支出决算为174.42万元，</w:t>
      </w:r>
      <w:r>
        <w:rPr>
          <w:rFonts w:hint="eastAsia" w:ascii="仿宋_GB2312" w:hAnsi="仿宋_GB2312" w:eastAsia="仿宋_GB2312" w:cs="仿宋_GB2312"/>
          <w:sz w:val="32"/>
          <w:szCs w:val="32"/>
          <w:lang w:val="en-US" w:eastAsia="zh-CN"/>
        </w:rPr>
        <w:t>决算数大于年初预算数的主要原因是本部门培训费未纳入年初预算</w:t>
      </w:r>
      <w:r>
        <w:rPr>
          <w:rFonts w:hint="eastAsia" w:ascii="仿宋_GB2312" w:hAnsi="仿宋_GB2312" w:eastAsia="仿宋_GB2312" w:cs="仿宋_GB2312"/>
          <w:color w:val="000000"/>
          <w:kern w:val="0"/>
          <w:sz w:val="32"/>
          <w:szCs w:val="32"/>
          <w:lang w:val="en-US" w:eastAsia="zh-CN" w:bidi="ar-SA"/>
        </w:rPr>
        <w:t>。用于开展促进教师的专业发展，进一步提升教师专业素质和教学技能，积极探索行之有效的教学方法，全面提高教师的教学研究能力的培训，人数约2200人，内容为教师校本培训、新型职业农民培训、SYB培训、农技特岗生培训、悦馨名师工作室国培、国家级名师（名匠）工作室国培、青年教师教学能力提升研修国培、护理类企业实践国培、南部战区五小工与兵教师人员提升培训、党员干部网络培训等。</w:t>
      </w:r>
    </w:p>
    <w:p w14:paraId="4A753856">
      <w:pPr>
        <w:widowControl w:val="0"/>
        <w:autoSpaceDE w:val="0"/>
        <w:autoSpaceDN w:val="0"/>
        <w:adjustRightInd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lang w:val="en-US" w:eastAsia="zh-CN" w:bidi="ar-SA"/>
        </w:rPr>
        <w:t>举办节庆、晚会、论坛、赛事活动年初预算0.00万元，支出决算为3.63万元，</w:t>
      </w:r>
      <w:r>
        <w:rPr>
          <w:rFonts w:hint="eastAsia" w:ascii="仿宋_GB2312" w:hAnsi="仿宋_GB2312" w:eastAsia="仿宋_GB2312" w:cs="仿宋_GB2312"/>
          <w:sz w:val="32"/>
          <w:szCs w:val="32"/>
          <w:lang w:val="en-US" w:eastAsia="zh-CN"/>
        </w:rPr>
        <w:t>决算数大于年初预算数的主要原因是本部门相关活动费未纳入年初预算。</w:t>
      </w:r>
      <w:r>
        <w:rPr>
          <w:rFonts w:hint="eastAsia" w:ascii="仿宋_GB2312" w:hAnsi="仿宋_GB2312" w:eastAsia="仿宋_GB2312" w:cs="仿宋_GB2312"/>
          <w:color w:val="000000"/>
          <w:kern w:val="0"/>
          <w:sz w:val="32"/>
          <w:szCs w:val="32"/>
          <w:lang w:val="en-US" w:eastAsia="zh-CN" w:bidi="ar-SA"/>
        </w:rPr>
        <w:t>主要是2024年</w:t>
      </w:r>
      <w:r>
        <w:rPr>
          <w:rFonts w:hint="eastAsia" w:ascii="仿宋_GB2312" w:hAnsi="仿宋_GB2312" w:eastAsia="仿宋_GB2312" w:cs="仿宋_GB2312"/>
          <w:sz w:val="32"/>
          <w:szCs w:val="32"/>
          <w:lang w:val="en-US" w:eastAsia="zh-CN"/>
        </w:rPr>
        <w:t>“一带一路”暨金砖国家技能发展与技术创新大赛首届急救护理技能赛项。</w:t>
      </w:r>
    </w:p>
    <w:p w14:paraId="21C1545C">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033E7DF0">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12365.64</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6254.93</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3182.92</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2927.79</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12365.64</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11230.85</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90.82</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100.00</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100.00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100.00</w:t>
      </w:r>
      <w:r>
        <w:rPr>
          <w:rFonts w:hint="eastAsia" w:ascii="仿宋_GB2312" w:hAnsi="仿宋_GB2312" w:eastAsia="仿宋_GB2312" w:cs="仿宋_GB2312"/>
          <w:color w:val="auto"/>
          <w:sz w:val="32"/>
          <w:szCs w:val="32"/>
        </w:rPr>
        <w:t>%。</w:t>
      </w:r>
    </w:p>
    <w:p w14:paraId="3B84E46E">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73A70319">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辆，其他用车主要是</w:t>
      </w:r>
      <w:r>
        <w:rPr>
          <w:rFonts w:hint="eastAsia" w:ascii="仿宋_GB2312" w:hAnsi="仿宋_GB2312" w:eastAsia="仿宋_GB2312" w:cs="仿宋_GB2312"/>
          <w:color w:val="auto"/>
          <w:sz w:val="32"/>
          <w:szCs w:val="32"/>
          <w:lang w:eastAsia="zh-CN"/>
        </w:rPr>
        <w:t>处理学院日常事务的公务用车</w:t>
      </w:r>
      <w:r>
        <w:rPr>
          <w:rFonts w:hint="eastAsia" w:ascii="仿宋_GB2312" w:hAnsi="仿宋_GB2312" w:eastAsia="仿宋_GB2312" w:cs="仿宋_GB2312"/>
          <w:color w:val="auto"/>
          <w:sz w:val="32"/>
          <w:szCs w:val="32"/>
        </w:rPr>
        <w:t>；单位价值100万元以上设备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14:paraId="664833B8">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6452EB34">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31D765DB">
      <w:pPr>
        <w:overflowPunct w:val="0"/>
        <w:spacing w:line="600" w:lineRule="exact"/>
        <w:ind w:firstLine="640" w:firstLineChars="200"/>
        <w:rPr>
          <w:rFonts w:ascii="Times New Roman" w:hAnsi="Times New Roman" w:eastAsia="仿宋_GB2312" w:cs="Times New Roman"/>
          <w:b/>
          <w:bCs/>
          <w:kern w:val="0"/>
          <w:sz w:val="32"/>
          <w:szCs w:val="32"/>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p>
    <w:p w14:paraId="44B083E1">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度本部门整体支出开展绩效自评，涉及项目</w:t>
      </w:r>
      <w:r>
        <w:rPr>
          <w:rFonts w:hint="eastAsia" w:ascii="Times New Roman" w:hAnsi="Times New Roman" w:eastAsia="仿宋_GB2312" w:cs="Times New Roman"/>
          <w:kern w:val="0"/>
          <w:sz w:val="32"/>
          <w:szCs w:val="32"/>
          <w:lang w:val="en-US" w:eastAsia="zh-CN"/>
        </w:rPr>
        <w:t>15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30235.76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4344.36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29.36</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4778.16</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eastAsia="zh-CN"/>
        </w:rPr>
        <w:t>无法计算</w:t>
      </w:r>
      <w:r>
        <w:rPr>
          <w:rFonts w:ascii="Times New Roman" w:hAnsi="Times New Roman" w:eastAsia="仿宋_GB2312" w:cs="Times New Roman"/>
          <w:kern w:val="0"/>
          <w:sz w:val="32"/>
          <w:szCs w:val="32"/>
        </w:rPr>
        <w:t>占国有资本经营预算支出总额的</w:t>
      </w:r>
      <w:r>
        <w:rPr>
          <w:rFonts w:hint="eastAsia" w:ascii="Times New Roman" w:hAnsi="Times New Roman" w:eastAsia="仿宋_GB2312" w:cs="Times New Roman"/>
          <w:kern w:val="0"/>
          <w:sz w:val="32"/>
          <w:szCs w:val="32"/>
          <w:lang w:eastAsia="zh-CN"/>
        </w:rPr>
        <w:t>比重</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w:t>
      </w:r>
      <w:r>
        <w:rPr>
          <w:rFonts w:hint="eastAsia" w:ascii="Times New Roman" w:hAnsi="Times New Roman" w:eastAsia="仿宋_GB2312" w:cs="Times New Roman"/>
          <w:kern w:val="0"/>
          <w:sz w:val="32"/>
          <w:szCs w:val="32"/>
          <w:lang w:eastAsia="zh-CN"/>
        </w:rPr>
        <w:t>无法计算</w:t>
      </w:r>
      <w:r>
        <w:rPr>
          <w:rFonts w:ascii="Times New Roman" w:hAnsi="Times New Roman" w:eastAsia="仿宋_GB2312" w:cs="Times New Roman"/>
          <w:kern w:val="0"/>
          <w:sz w:val="32"/>
          <w:szCs w:val="32"/>
          <w:highlight w:val="none"/>
        </w:rPr>
        <w:t>占社会保险基金预算支出总额的</w:t>
      </w:r>
      <w:r>
        <w:rPr>
          <w:rFonts w:hint="eastAsia" w:ascii="Times New Roman" w:hAnsi="Times New Roman" w:eastAsia="仿宋_GB2312" w:cs="Times New Roman"/>
          <w:kern w:val="0"/>
          <w:sz w:val="32"/>
          <w:szCs w:val="32"/>
          <w:lang w:eastAsia="zh-CN"/>
        </w:rPr>
        <w:t>比重</w:t>
      </w:r>
      <w:r>
        <w:rPr>
          <w:rFonts w:ascii="Times New Roman" w:hAnsi="Times New Roman" w:eastAsia="仿宋_GB2312" w:cs="Times New Roman"/>
          <w:kern w:val="0"/>
          <w:sz w:val="32"/>
          <w:szCs w:val="32"/>
          <w:highlight w:val="none"/>
        </w:rPr>
        <w:t>。</w:t>
      </w:r>
    </w:p>
    <w:p w14:paraId="6675F6F1">
      <w:pPr>
        <w:numPr>
          <w:numId w:val="0"/>
        </w:numPr>
        <w:overflowPunct w:val="0"/>
        <w:spacing w:line="600" w:lineRule="exact"/>
        <w:ind w:firstLine="640" w:firstLineChars="200"/>
        <w:rPr>
          <w:rFonts w:ascii="Times New Roman" w:hAnsi="Times New Roman" w:eastAsia="仿宋_GB2312" w:cs="Times New Roman"/>
          <w:b/>
          <w:bCs/>
          <w:kern w:val="0"/>
          <w:sz w:val="32"/>
          <w:szCs w:val="32"/>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p>
    <w:p w14:paraId="58EB7003">
      <w:pPr>
        <w:numPr>
          <w:numId w:val="0"/>
        </w:numPr>
        <w:overflowPunct w:val="0"/>
        <w:spacing w:line="600" w:lineRule="exact"/>
        <w:ind w:firstLine="640" w:firstLineChars="200"/>
        <w:rPr>
          <w:rFonts w:hint="eastAsia" w:ascii="Times New Roman" w:hAnsi="Times New Roman" w:eastAsia="仿宋_GB2312" w:cs="Times New Roman"/>
          <w:color w:val="FF0000"/>
          <w:kern w:val="0"/>
          <w:sz w:val="32"/>
          <w:szCs w:val="32"/>
          <w:lang w:eastAsia="zh-CN"/>
        </w:rPr>
      </w:pPr>
      <w:r>
        <w:rPr>
          <w:rFonts w:ascii="Times New Roman" w:hAnsi="Times New Roman" w:eastAsia="仿宋_GB2312" w:cs="Times New Roman"/>
          <w:kern w:val="0"/>
          <w:sz w:val="32"/>
          <w:szCs w:val="32"/>
        </w:rPr>
        <w:t>组织对所属单位</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w:t>
      </w:r>
      <w:r>
        <w:rPr>
          <w:rFonts w:hint="eastAsia" w:ascii="Times New Roman" w:hAnsi="Times New Roman" w:eastAsia="仿宋_GB2312" w:cs="Times New Roman"/>
          <w:sz w:val="32"/>
          <w:szCs w:val="32"/>
        </w:rPr>
        <w:t>产教融合大楼建设项目</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创业培训</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、“公共实训基地建设项目”、“国家双高计划”、“智能工业教学实训设备更新采购”、“国家奖助学金及高校学生服兵役资助”、“教师素质提升计划（国培）”、“升本专项”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4344.36</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4778.16</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2473E084">
      <w:pPr>
        <w:overflowPunct w:val="0"/>
        <w:spacing w:line="600" w:lineRule="exact"/>
        <w:ind w:firstLine="640" w:firstLineChars="200"/>
        <w:rPr>
          <w:rFonts w:hint="eastAsia" w:ascii="Times New Roman" w:hAnsi="Times New Roman" w:eastAsia="仿宋_GB2312" w:cs="Times New Roman"/>
          <w:color w:val="FF0000"/>
          <w:kern w:val="0"/>
          <w:sz w:val="32"/>
          <w:szCs w:val="32"/>
          <w:lang w:val="en-US" w:eastAsia="zh-CN"/>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p>
    <w:p w14:paraId="3C56CA39">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color w:val="auto"/>
          <w:kern w:val="0"/>
          <w:sz w:val="32"/>
          <w:szCs w:val="32"/>
          <w:lang w:val="en-US" w:eastAsia="zh-CN"/>
        </w:rPr>
        <w:t>本单位及所属单位本年度未新增重大政策和重大项目，所以无事前绩效评估开展情况。</w:t>
      </w:r>
    </w:p>
    <w:p w14:paraId="49EA62B1">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7E7CC12B">
      <w:pPr>
        <w:keepNext w:val="0"/>
        <w:keepLines w:val="0"/>
        <w:widowControl/>
        <w:suppressLineNumbers w:val="0"/>
        <w:ind w:firstLine="640" w:firstLineChars="200"/>
        <w:jc w:val="left"/>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color w:val="auto"/>
          <w:kern w:val="0"/>
          <w:sz w:val="32"/>
          <w:szCs w:val="32"/>
          <w:lang w:val="en-US" w:eastAsia="zh-CN"/>
        </w:rPr>
        <w:t>2025年度本部门（单位）整体支出全年预算数34368.72万元，执行数30235.76万元，完成预算的87.97%，绩效自评得分97.8分，评价等级为“优秀”。绩效目标完成情况：一是“双高建设”交出高分答卷。以全国第90位的成绩通过第一轮“双高计划”终期验收，获“优秀”等级，并顺利立项第二轮“双高计划”建设单位；二是</w:t>
      </w:r>
      <w:r>
        <w:rPr>
          <w:rFonts w:ascii="仿宋" w:hAnsi="仿宋" w:eastAsia="仿宋" w:cs="仿宋"/>
          <w:color w:val="000000"/>
          <w:kern w:val="0"/>
          <w:sz w:val="31"/>
          <w:szCs w:val="31"/>
          <w:lang w:val="en-US" w:eastAsia="zh-CN" w:bidi="ar"/>
        </w:rPr>
        <w:t>“本科建设”指标全面达标。携手平江县、云溪区，</w:t>
      </w:r>
      <w:r>
        <w:rPr>
          <w:rFonts w:hint="eastAsia" w:ascii="仿宋" w:hAnsi="仿宋" w:eastAsia="仿宋" w:cs="仿宋"/>
          <w:color w:val="000000"/>
          <w:kern w:val="0"/>
          <w:sz w:val="31"/>
          <w:szCs w:val="31"/>
          <w:lang w:val="en-US" w:eastAsia="zh-CN" w:bidi="ar"/>
        </w:rPr>
        <w:t>共建平江校区与云溪校区，构建“一校三区”协同发展新格局。对标职业本科标准，落实各项办学指标，土地面积、建筑面积、仪器设备等核心指标均达标；三是</w:t>
      </w:r>
      <w:r>
        <w:rPr>
          <w:rFonts w:ascii="仿宋" w:hAnsi="仿宋" w:eastAsia="仿宋" w:cs="仿宋"/>
          <w:color w:val="000000"/>
          <w:kern w:val="0"/>
          <w:sz w:val="31"/>
          <w:szCs w:val="31"/>
          <w:lang w:val="en-US" w:eastAsia="zh-CN" w:bidi="ar"/>
        </w:rPr>
        <w:t>专业建设完成优化升级。撤销</w:t>
      </w:r>
      <w:r>
        <w:rPr>
          <w:rFonts w:hint="eastAsia" w:ascii="仿宋" w:hAnsi="仿宋" w:eastAsia="仿宋" w:cs="仿宋"/>
          <w:color w:val="000000"/>
          <w:kern w:val="0"/>
          <w:sz w:val="31"/>
          <w:szCs w:val="31"/>
          <w:lang w:val="en-US" w:eastAsia="zh-CN" w:bidi="ar"/>
        </w:rPr>
        <w:t>4个专业，新增化工装备技术1个专业和2个专业“楚怡本科班”。机械装备及自动化专业成功入选工信部产教融合试点项目；四是</w:t>
      </w:r>
      <w:r>
        <w:rPr>
          <w:rFonts w:ascii="仿宋" w:hAnsi="仿宋" w:eastAsia="仿宋" w:cs="仿宋"/>
          <w:color w:val="000000"/>
          <w:kern w:val="0"/>
          <w:sz w:val="31"/>
          <w:szCs w:val="31"/>
          <w:lang w:val="en-US" w:eastAsia="zh-CN" w:bidi="ar"/>
        </w:rPr>
        <w:t>教学资源扩容提</w:t>
      </w:r>
      <w:r>
        <w:rPr>
          <w:rFonts w:hint="eastAsia" w:ascii="仿宋" w:hAnsi="仿宋" w:eastAsia="仿宋" w:cs="仿宋"/>
          <w:color w:val="000000"/>
          <w:kern w:val="0"/>
          <w:sz w:val="31"/>
          <w:szCs w:val="31"/>
          <w:lang w:val="en-US" w:eastAsia="zh-CN" w:bidi="ar"/>
        </w:rPr>
        <w:t>质。立项国家级规划教材3本，获全国优秀教材奖1项，认定省级优质教材2本；验收省级精品开放课程1门，培育院级一流核心课程56门；完成3个重点实训基地及虚拟仿真实训室建设验收；五是</w:t>
      </w:r>
      <w:r>
        <w:rPr>
          <w:rFonts w:ascii="仿宋" w:hAnsi="仿宋" w:eastAsia="仿宋" w:cs="仿宋"/>
          <w:color w:val="000000"/>
          <w:kern w:val="0"/>
          <w:sz w:val="31"/>
          <w:szCs w:val="31"/>
          <w:lang w:val="en-US" w:eastAsia="zh-CN" w:bidi="ar"/>
        </w:rPr>
        <w:t>人才培养成果丰硕。获省级以上技能竞赛奖37项(国家</w:t>
      </w:r>
      <w:r>
        <w:rPr>
          <w:rFonts w:hint="eastAsia" w:ascii="仿宋" w:hAnsi="仿宋" w:eastAsia="仿宋" w:cs="仿宋"/>
          <w:color w:val="000000"/>
          <w:kern w:val="0"/>
          <w:sz w:val="31"/>
          <w:szCs w:val="31"/>
          <w:lang w:val="en-US" w:eastAsia="zh-CN" w:bidi="ar"/>
        </w:rPr>
        <w:t>级金奖1项、铜奖1项);首次夺得“挑战杯”省赛“优胜杯”;在“学创杯”全国创业大赛中荣获一等奖2项；六是</w:t>
      </w:r>
      <w:r>
        <w:rPr>
          <w:rFonts w:ascii="仿宋" w:hAnsi="仿宋" w:eastAsia="仿宋" w:cs="仿宋"/>
          <w:color w:val="000000"/>
          <w:kern w:val="0"/>
          <w:sz w:val="31"/>
          <w:szCs w:val="31"/>
          <w:lang w:val="en-US" w:eastAsia="zh-CN" w:bidi="ar"/>
        </w:rPr>
        <w:t>师资队伍引</w:t>
      </w:r>
      <w:r>
        <w:rPr>
          <w:rFonts w:hint="eastAsia" w:ascii="仿宋" w:hAnsi="仿宋" w:eastAsia="仿宋" w:cs="仿宋"/>
          <w:color w:val="000000"/>
          <w:kern w:val="0"/>
          <w:sz w:val="31"/>
          <w:szCs w:val="31"/>
          <w:lang w:val="en-US" w:eastAsia="zh-CN" w:bidi="ar"/>
        </w:rPr>
        <w:t>育并进。引进博士人才8名、招聘新教职工36名。全年完成职称晋升31人(教授3人、副教授7人、讲师21人)、立项省级青年骨干教师2名、获批芙蓉教学名师1人；七是</w:t>
      </w:r>
      <w:r>
        <w:rPr>
          <w:rFonts w:ascii="仿宋" w:hAnsi="仿宋" w:eastAsia="仿宋" w:cs="仿宋"/>
          <w:color w:val="000000"/>
          <w:kern w:val="0"/>
          <w:sz w:val="31"/>
          <w:szCs w:val="31"/>
          <w:lang w:val="en-US" w:eastAsia="zh-CN" w:bidi="ar"/>
        </w:rPr>
        <w:t>招生就业稳中有</w:t>
      </w:r>
      <w:r>
        <w:rPr>
          <w:rFonts w:hint="eastAsia" w:ascii="仿宋" w:hAnsi="仿宋" w:eastAsia="仿宋" w:cs="仿宋"/>
          <w:color w:val="000000"/>
          <w:kern w:val="0"/>
          <w:sz w:val="31"/>
          <w:szCs w:val="31"/>
          <w:lang w:val="en-US" w:eastAsia="zh-CN" w:bidi="ar"/>
        </w:rPr>
        <w:t>升。圆满完成招生任务，生源质量持续提升。走访企业174家、举办各类招聘会51场，提供就业岗位9000个。五是创新创业平台赋能。建成“一院一中心”双创平台(创新创业学院+1000m</w:t>
      </w:r>
      <w:r>
        <w:rPr>
          <w:rFonts w:ascii="Arial" w:hAnsi="Arial" w:eastAsia="宋体" w:cs="Arial"/>
          <w:color w:val="000000"/>
          <w:kern w:val="0"/>
          <w:sz w:val="31"/>
          <w:szCs w:val="31"/>
          <w:lang w:val="en-US" w:eastAsia="zh-CN" w:bidi="ar"/>
        </w:rPr>
        <w:t>²</w:t>
      </w:r>
      <w:r>
        <w:rPr>
          <w:rFonts w:hint="eastAsia" w:ascii="仿宋" w:hAnsi="仿宋" w:eastAsia="仿宋" w:cs="仿宋"/>
          <w:color w:val="000000"/>
          <w:kern w:val="0"/>
          <w:sz w:val="31"/>
          <w:szCs w:val="31"/>
          <w:lang w:val="en-US" w:eastAsia="zh-CN" w:bidi="ar"/>
        </w:rPr>
        <w:t>孵化中心),培育优质项目21个，“岳苔记”项目获湖南省“金种子杯”创业大赛铜奖；八是</w:t>
      </w:r>
      <w:r>
        <w:rPr>
          <w:rFonts w:ascii="仿宋" w:hAnsi="仿宋" w:eastAsia="仿宋" w:cs="仿宋"/>
          <w:color w:val="000000"/>
          <w:kern w:val="0"/>
          <w:sz w:val="31"/>
          <w:szCs w:val="31"/>
          <w:lang w:val="en-US" w:eastAsia="zh-CN" w:bidi="ar"/>
        </w:rPr>
        <w:t>产教融合深化。</w:t>
      </w:r>
      <w:r>
        <w:rPr>
          <w:rFonts w:hint="eastAsia" w:ascii="仿宋" w:hAnsi="仿宋" w:eastAsia="仿宋" w:cs="仿宋"/>
          <w:color w:val="000000"/>
          <w:kern w:val="0"/>
          <w:sz w:val="31"/>
          <w:szCs w:val="31"/>
          <w:lang w:val="en-US" w:eastAsia="zh-CN" w:bidi="ar"/>
        </w:rPr>
        <w:t>牵头组建现代农业及食品加工市域产教联合体，参与了全国首个智慧康养产教融合项目，与头部企业共建人才培养中心、产业学院，新增教师工作站13家、签约合作企业35家，校企合作领域进一步扩大；九是</w:t>
      </w:r>
      <w:r>
        <w:rPr>
          <w:rFonts w:ascii="仿宋" w:hAnsi="仿宋" w:eastAsia="仿宋" w:cs="仿宋"/>
          <w:color w:val="000000"/>
          <w:kern w:val="0"/>
          <w:sz w:val="31"/>
          <w:szCs w:val="31"/>
          <w:lang w:val="en-US" w:eastAsia="zh-CN" w:bidi="ar"/>
        </w:rPr>
        <w:t>培训服务增效。举办各类培训项目20个，培</w:t>
      </w:r>
      <w:r>
        <w:rPr>
          <w:rFonts w:hint="eastAsia" w:ascii="仿宋" w:hAnsi="仿宋" w:eastAsia="仿宋" w:cs="仿宋"/>
          <w:color w:val="000000"/>
          <w:kern w:val="0"/>
          <w:sz w:val="31"/>
          <w:szCs w:val="31"/>
          <w:lang w:val="en-US" w:eastAsia="zh-CN" w:bidi="ar"/>
        </w:rPr>
        <w:t>训学员达3.5万人次，完成职业技能等级认定3000人次人次。获批数字技术工程师等3项培训资质，建成岳阳市首个无人机实训基地；获评湖南省首批残疾人职业培训示范基地。</w:t>
      </w:r>
    </w:p>
    <w:p w14:paraId="15CDFB6B">
      <w:pPr>
        <w:keepNext w:val="0"/>
        <w:keepLines w:val="0"/>
        <w:widowControl/>
        <w:suppressLineNumbers w:val="0"/>
        <w:ind w:firstLine="640" w:firstLineChars="200"/>
        <w:jc w:val="left"/>
      </w:pPr>
      <w:r>
        <w:rPr>
          <w:rFonts w:ascii="Times New Roman" w:hAnsi="Times New Roman" w:eastAsia="仿宋_GB2312" w:cs="Times New Roman"/>
          <w:sz w:val="32"/>
          <w:szCs w:val="32"/>
        </w:rPr>
        <w:t>发现的主要问题及原因：一是</w:t>
      </w:r>
      <w:r>
        <w:rPr>
          <w:rFonts w:ascii="仿宋" w:hAnsi="仿宋" w:eastAsia="仿宋" w:cs="仿宋"/>
          <w:color w:val="000000"/>
          <w:kern w:val="0"/>
          <w:sz w:val="31"/>
          <w:szCs w:val="31"/>
          <w:lang w:val="en-US" w:eastAsia="zh-CN" w:bidi="ar"/>
        </w:rPr>
        <w:t>绩效指标不够细化量化。在指标设定上存在模糊笼统</w:t>
      </w:r>
      <w:r>
        <w:rPr>
          <w:rFonts w:hint="eastAsia" w:ascii="仿宋" w:hAnsi="仿宋" w:eastAsia="仿宋" w:cs="仿宋"/>
          <w:color w:val="000000"/>
          <w:kern w:val="0"/>
          <w:sz w:val="31"/>
          <w:szCs w:val="31"/>
          <w:lang w:val="en-US" w:eastAsia="zh-CN" w:bidi="ar"/>
        </w:rPr>
        <w:t>的问题，定性指标偏多、定量指标少，可衡量性和可考核性不足。</w:t>
      </w:r>
    </w:p>
    <w:p w14:paraId="35CAC4EB">
      <w:pPr>
        <w:keepNext w:val="0"/>
        <w:keepLines w:val="0"/>
        <w:widowControl/>
        <w:suppressLineNumbers w:val="0"/>
        <w:jc w:val="left"/>
      </w:pPr>
      <w:r>
        <w:rPr>
          <w:rFonts w:hint="eastAsia" w:ascii="仿宋" w:hAnsi="仿宋" w:eastAsia="仿宋" w:cs="仿宋"/>
          <w:color w:val="000000"/>
          <w:kern w:val="0"/>
          <w:sz w:val="31"/>
          <w:szCs w:val="31"/>
          <w:lang w:val="en-US" w:eastAsia="zh-CN" w:bidi="ar"/>
        </w:rPr>
        <w:t>绩效目标与预算编制融合不够，存在脱节现象，编制人员与项目实施人员往往不是同一部门或同一人，建设思路容易产生偏差</w:t>
      </w:r>
      <w:r>
        <w:rPr>
          <w:rFonts w:ascii="Times New Roman" w:hAnsi="Times New Roman" w:eastAsia="仿宋_GB2312" w:cs="Times New Roman"/>
          <w:sz w:val="32"/>
          <w:szCs w:val="32"/>
        </w:rPr>
        <w:t>；二是</w:t>
      </w:r>
      <w:r>
        <w:rPr>
          <w:rFonts w:ascii="仿宋" w:hAnsi="仿宋" w:eastAsia="仿宋" w:cs="仿宋"/>
          <w:color w:val="000000"/>
          <w:kern w:val="0"/>
          <w:sz w:val="31"/>
          <w:szCs w:val="31"/>
          <w:lang w:val="en-US" w:eastAsia="zh-CN" w:bidi="ar"/>
        </w:rPr>
        <w:t>绩效评价结果应用不充分。绩效目标评价结果反馈及</w:t>
      </w:r>
      <w:r>
        <w:rPr>
          <w:rFonts w:hint="eastAsia" w:ascii="仿宋" w:hAnsi="仿宋" w:eastAsia="仿宋" w:cs="仿宋"/>
          <w:color w:val="000000"/>
          <w:kern w:val="0"/>
          <w:sz w:val="31"/>
          <w:szCs w:val="31"/>
          <w:lang w:val="en-US" w:eastAsia="zh-CN" w:bidi="ar"/>
        </w:rPr>
        <w:t>应用程度低。评价结果与预算分配的挂钩机制不够健全，绩效自评结论仅作为年度收尾材料，未作为下一年度预算编制、项目入库、经费分配的核心评审依据。绩效评价应用力度较弱，未能有</w:t>
      </w:r>
    </w:p>
    <w:p w14:paraId="07B83948">
      <w:pPr>
        <w:keepNext w:val="0"/>
        <w:keepLines w:val="0"/>
        <w:widowControl/>
        <w:suppressLineNumbers w:val="0"/>
        <w:jc w:val="left"/>
        <w:rPr>
          <w:rFonts w:ascii="Times New Roman" w:hAnsi="Times New Roman" w:eastAsia="仿宋_GB2312" w:cs="Times New Roman"/>
          <w:sz w:val="32"/>
          <w:szCs w:val="32"/>
        </w:rPr>
      </w:pPr>
      <w:r>
        <w:rPr>
          <w:rFonts w:hint="eastAsia" w:ascii="仿宋" w:hAnsi="仿宋" w:eastAsia="仿宋" w:cs="仿宋"/>
          <w:color w:val="000000"/>
          <w:kern w:val="0"/>
          <w:sz w:val="31"/>
          <w:szCs w:val="31"/>
          <w:lang w:val="en-US" w:eastAsia="zh-CN" w:bidi="ar"/>
        </w:rPr>
        <w:t>效发挥</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以评促改、以评促建</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的作用。</w:t>
      </w:r>
    </w:p>
    <w:p w14:paraId="086B70AE">
      <w:pPr>
        <w:keepNext w:val="0"/>
        <w:keepLines w:val="0"/>
        <w:widowControl/>
        <w:suppressLineNumbers w:val="0"/>
        <w:ind w:firstLine="640" w:firstLineChars="200"/>
        <w:jc w:val="left"/>
        <w:rPr>
          <w:rFonts w:hint="eastAsia" w:ascii="Times New Roman" w:hAnsi="Times New Roman" w:eastAsia="仿宋_GB2312" w:cs="Times New Roman"/>
          <w:kern w:val="0"/>
          <w:sz w:val="32"/>
          <w:szCs w:val="32"/>
          <w:lang w:eastAsia="zh-CN"/>
        </w:rPr>
      </w:pPr>
      <w:r>
        <w:rPr>
          <w:rFonts w:ascii="Times New Roman" w:hAnsi="Times New Roman" w:eastAsia="仿宋_GB2312" w:cs="Times New Roman"/>
          <w:sz w:val="32"/>
          <w:szCs w:val="32"/>
        </w:rPr>
        <w:t>下一步改进措施：一是</w:t>
      </w:r>
      <w:r>
        <w:rPr>
          <w:rFonts w:ascii="仿宋" w:hAnsi="仿宋" w:eastAsia="仿宋" w:cs="仿宋"/>
          <w:color w:val="000000"/>
          <w:kern w:val="0"/>
          <w:sz w:val="31"/>
          <w:szCs w:val="31"/>
          <w:lang w:val="en-US" w:eastAsia="zh-CN" w:bidi="ar"/>
        </w:rPr>
        <w:t>建立业务</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财务联合审核机制。预算申报阶段，计划财务处联合规评处、督导处等部门对绩效目标严格审核，指标笼统、无细分量化、未匹配办学任务的项目不予纳入校内预算，从源头提升目标编制精细化水平</w:t>
      </w:r>
      <w:r>
        <w:rPr>
          <w:rFonts w:ascii="Times New Roman" w:hAnsi="Times New Roman" w:eastAsia="仿宋_GB2312" w:cs="Times New Roman"/>
          <w:sz w:val="32"/>
          <w:szCs w:val="32"/>
        </w:rPr>
        <w:t>；二是</w:t>
      </w:r>
      <w:r>
        <w:rPr>
          <w:rFonts w:ascii="仿宋" w:hAnsi="仿宋" w:eastAsia="仿宋" w:cs="仿宋"/>
          <w:color w:val="000000"/>
          <w:kern w:val="0"/>
          <w:sz w:val="31"/>
          <w:szCs w:val="31"/>
          <w:lang w:val="en-US" w:eastAsia="zh-CN" w:bidi="ar"/>
        </w:rPr>
        <w:t>刚性运用绩效评价结果，打通绩效预算闭环。将年度</w:t>
      </w:r>
      <w:r>
        <w:rPr>
          <w:rFonts w:hint="eastAsia" w:ascii="仿宋" w:hAnsi="仿宋" w:eastAsia="仿宋" w:cs="仿宋"/>
          <w:color w:val="000000"/>
          <w:kern w:val="0"/>
          <w:sz w:val="31"/>
          <w:szCs w:val="31"/>
          <w:lang w:val="en-US" w:eastAsia="zh-CN" w:bidi="ar"/>
        </w:rPr>
        <w:t>绩效自评结果作为下一年度预算削减、保留、增加的核心依据，低效项目压减预算；将履职成效、项目完成情况纳入内部绩效考核，压实业务主体责任。建立差异化经费分配机制，资源向高水平专业群、高绩效产教融合项目倾斜</w:t>
      </w:r>
      <w:r>
        <w:rPr>
          <w:rFonts w:ascii="Times New Roman" w:hAnsi="Times New Roman" w:eastAsia="仿宋_GB2312" w:cs="Times New Roman"/>
          <w:sz w:val="32"/>
          <w:szCs w:val="32"/>
        </w:rPr>
        <w:t>。</w:t>
      </w:r>
    </w:p>
    <w:p w14:paraId="547E453E">
      <w:pPr>
        <w:overflowPunct w:val="0"/>
        <w:spacing w:line="600" w:lineRule="exact"/>
        <w:ind w:firstLine="640" w:firstLineChars="200"/>
        <w:rPr>
          <w:rFonts w:ascii="Times New Roman" w:hAnsi="Times New Roman" w:eastAsia="仿宋_GB2312" w:cs="Times New Roman"/>
          <w:b/>
          <w:bCs/>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p>
    <w:p w14:paraId="707BE0A9">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b w:val="0"/>
          <w:bCs w:val="0"/>
          <w:color w:val="auto"/>
          <w:kern w:val="0"/>
          <w:sz w:val="32"/>
          <w:szCs w:val="32"/>
          <w:lang w:val="en-US" w:eastAsia="zh-CN"/>
        </w:rPr>
        <w:t>本单位及所属单位本年度未开展部门评价，所以无部门评价结果。</w:t>
      </w:r>
    </w:p>
    <w:p w14:paraId="0498F548">
      <w:pPr>
        <w:overflowPunct w:val="0"/>
        <w:spacing w:line="600" w:lineRule="exact"/>
        <w:ind w:firstLine="640" w:firstLineChars="200"/>
        <w:rPr>
          <w:rFonts w:ascii="Times New Roman" w:hAnsi="Times New Roman" w:eastAsia="仿宋_GB2312" w:cs="Times New Roman"/>
          <w:b/>
          <w:bCs/>
          <w:kern w:val="0"/>
          <w:sz w:val="32"/>
          <w:szCs w:val="32"/>
          <w:highlight w:val="none"/>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p>
    <w:p w14:paraId="3D4E7887">
      <w:pPr>
        <w:overflowPunct w:val="0"/>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s="Times New Roman"/>
          <w:color w:val="auto"/>
          <w:kern w:val="0"/>
          <w:sz w:val="32"/>
          <w:szCs w:val="32"/>
          <w:lang w:val="en-US" w:eastAsia="zh-CN"/>
        </w:rPr>
        <w:t>本单位及所属单位本年度未开展事前绩效评估，所以无事前绩效评估结果。</w:t>
      </w:r>
    </w:p>
    <w:p w14:paraId="6BAA5617">
      <w:pPr>
        <w:numPr>
          <w:ilvl w:val="0"/>
          <w:numId w:val="2"/>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29A885FD">
      <w:pPr>
        <w:autoSpaceDE w:val="0"/>
        <w:autoSpaceDN w:val="0"/>
        <w:adjustRightInd w:val="0"/>
        <w:ind w:firstLine="640" w:firstLineChars="200"/>
        <w:jc w:val="left"/>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将绩效评价结果作为完善政策、改进管理的重要依据，修订内部财务与预算管理办法，强化绩效导向，建立评价结果与预算安排、政策调整的实质性挂钩机制，提升整体预算绩效管理水平。</w:t>
      </w:r>
    </w:p>
    <w:p w14:paraId="447D986D">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73E353C9">
      <w:pPr>
        <w:pStyle w:val="7"/>
        <w:rPr>
          <w:rFonts w:hint="eastAsia"/>
          <w:lang w:val="en-US" w:eastAsia="zh-CN"/>
        </w:rPr>
      </w:pPr>
    </w:p>
    <w:p w14:paraId="7E936785">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2989FFF6">
      <w:pPr>
        <w:pStyle w:val="12"/>
        <w:jc w:val="both"/>
        <w:rPr>
          <w:rFonts w:hint="eastAsia" w:ascii="方正小标宋_GBK" w:hAnsi="方正小标宋_GBK" w:eastAsia="方正小标宋_GBK" w:cs="方正小标宋_GBK"/>
          <w:sz w:val="24"/>
          <w:szCs w:val="24"/>
        </w:rPr>
      </w:pPr>
    </w:p>
    <w:p w14:paraId="20B29A66">
      <w:pPr>
        <w:pStyle w:val="12"/>
        <w:jc w:val="both"/>
        <w:rPr>
          <w:rFonts w:hint="eastAsia" w:ascii="方正小标宋_GBK" w:hAnsi="方正小标宋_GBK" w:eastAsia="方正小标宋_GBK" w:cs="方正小标宋_GBK"/>
          <w:sz w:val="24"/>
          <w:szCs w:val="24"/>
        </w:rPr>
      </w:pPr>
    </w:p>
    <w:p w14:paraId="6ECF0FE6">
      <w:pPr>
        <w:pStyle w:val="12"/>
        <w:jc w:val="both"/>
        <w:rPr>
          <w:rFonts w:hint="eastAsia" w:ascii="方正小标宋_GBK" w:hAnsi="方正小标宋_GBK" w:eastAsia="方正小标宋_GBK" w:cs="方正小标宋_GBK"/>
          <w:sz w:val="24"/>
          <w:szCs w:val="24"/>
        </w:rPr>
      </w:pPr>
    </w:p>
    <w:p w14:paraId="7A3A2605">
      <w:pPr>
        <w:pStyle w:val="12"/>
        <w:jc w:val="both"/>
        <w:rPr>
          <w:rFonts w:hint="eastAsia" w:ascii="方正小标宋_GBK" w:hAnsi="方正小标宋_GBK" w:eastAsia="方正小标宋_GBK" w:cs="方正小标宋_GBK"/>
          <w:sz w:val="24"/>
          <w:szCs w:val="24"/>
        </w:rPr>
      </w:pPr>
    </w:p>
    <w:p w14:paraId="1061DA49">
      <w:pPr>
        <w:pStyle w:val="12"/>
        <w:jc w:val="both"/>
        <w:rPr>
          <w:rFonts w:hint="eastAsia" w:ascii="方正小标宋_GBK" w:hAnsi="方正小标宋_GBK" w:eastAsia="方正小标宋_GBK" w:cs="方正小标宋_GBK"/>
          <w:sz w:val="24"/>
          <w:szCs w:val="24"/>
        </w:rPr>
      </w:pPr>
    </w:p>
    <w:p w14:paraId="1DBDAD68">
      <w:pPr>
        <w:pStyle w:val="12"/>
        <w:jc w:val="both"/>
        <w:rPr>
          <w:rFonts w:hint="eastAsia" w:ascii="方正小标宋_GBK" w:hAnsi="方正小标宋_GBK" w:eastAsia="方正小标宋_GBK" w:cs="方正小标宋_GBK"/>
          <w:sz w:val="24"/>
          <w:szCs w:val="24"/>
        </w:rPr>
      </w:pPr>
    </w:p>
    <w:p w14:paraId="21000493">
      <w:pPr>
        <w:pStyle w:val="12"/>
        <w:jc w:val="both"/>
        <w:rPr>
          <w:rFonts w:hint="eastAsia" w:ascii="方正小标宋_GBK" w:hAnsi="方正小标宋_GBK" w:eastAsia="方正小标宋_GBK" w:cs="方正小标宋_GBK"/>
          <w:sz w:val="24"/>
          <w:szCs w:val="24"/>
        </w:rPr>
      </w:pPr>
    </w:p>
    <w:p w14:paraId="597AF3C2">
      <w:pPr>
        <w:pStyle w:val="12"/>
        <w:jc w:val="both"/>
        <w:rPr>
          <w:rFonts w:hint="eastAsia" w:ascii="方正小标宋_GBK" w:hAnsi="方正小标宋_GBK" w:eastAsia="方正小标宋_GBK" w:cs="方正小标宋_GBK"/>
          <w:sz w:val="24"/>
          <w:szCs w:val="24"/>
        </w:rPr>
      </w:pPr>
    </w:p>
    <w:p w14:paraId="0ED0C8E5">
      <w:pPr>
        <w:pStyle w:val="12"/>
        <w:jc w:val="both"/>
        <w:rPr>
          <w:rFonts w:hint="eastAsia" w:ascii="方正小标宋_GBK" w:hAnsi="方正小标宋_GBK" w:eastAsia="方正小标宋_GBK" w:cs="方正小标宋_GBK"/>
          <w:sz w:val="24"/>
          <w:szCs w:val="24"/>
        </w:rPr>
      </w:pPr>
    </w:p>
    <w:p w14:paraId="03753E08">
      <w:pPr>
        <w:pStyle w:val="12"/>
        <w:jc w:val="both"/>
        <w:rPr>
          <w:rFonts w:hint="eastAsia" w:ascii="方正小标宋_GBK" w:hAnsi="方正小标宋_GBK" w:eastAsia="方正小标宋_GBK" w:cs="方正小标宋_GBK"/>
          <w:sz w:val="24"/>
          <w:szCs w:val="24"/>
        </w:rPr>
      </w:pPr>
    </w:p>
    <w:p w14:paraId="0F7526A9">
      <w:pPr>
        <w:pStyle w:val="12"/>
        <w:jc w:val="both"/>
        <w:rPr>
          <w:rFonts w:hint="eastAsia" w:ascii="方正小标宋_GBK" w:hAnsi="方正小标宋_GBK" w:eastAsia="方正小标宋_GBK" w:cs="方正小标宋_GBK"/>
          <w:sz w:val="24"/>
          <w:szCs w:val="24"/>
        </w:rPr>
      </w:pPr>
    </w:p>
    <w:p w14:paraId="72120CAD">
      <w:pPr>
        <w:pStyle w:val="12"/>
        <w:jc w:val="both"/>
        <w:rPr>
          <w:rFonts w:hint="eastAsia" w:ascii="方正小标宋_GBK" w:hAnsi="方正小标宋_GBK" w:eastAsia="方正小标宋_GBK" w:cs="方正小标宋_GBK"/>
          <w:sz w:val="24"/>
          <w:szCs w:val="24"/>
        </w:rPr>
      </w:pPr>
    </w:p>
    <w:p w14:paraId="42F753A9">
      <w:pPr>
        <w:pStyle w:val="12"/>
        <w:jc w:val="both"/>
        <w:rPr>
          <w:rFonts w:hint="eastAsia" w:ascii="方正小标宋_GBK" w:hAnsi="方正小标宋_GBK" w:eastAsia="方正小标宋_GBK" w:cs="方正小标宋_GBK"/>
          <w:sz w:val="24"/>
          <w:szCs w:val="24"/>
        </w:rPr>
      </w:pPr>
    </w:p>
    <w:p w14:paraId="460B4B6C">
      <w:pPr>
        <w:pStyle w:val="12"/>
        <w:jc w:val="both"/>
        <w:rPr>
          <w:rFonts w:hint="eastAsia" w:ascii="方正小标宋_GBK" w:hAnsi="方正小标宋_GBK" w:eastAsia="方正小标宋_GBK" w:cs="方正小标宋_GBK"/>
          <w:sz w:val="24"/>
          <w:szCs w:val="24"/>
        </w:rPr>
      </w:pPr>
    </w:p>
    <w:p w14:paraId="67EE0C7D">
      <w:pPr>
        <w:pStyle w:val="12"/>
        <w:jc w:val="both"/>
        <w:rPr>
          <w:rFonts w:hint="eastAsia" w:ascii="方正小标宋_GBK" w:hAnsi="方正小标宋_GBK" w:eastAsia="方正小标宋_GBK" w:cs="方正小标宋_GBK"/>
          <w:sz w:val="24"/>
          <w:szCs w:val="24"/>
        </w:rPr>
      </w:pPr>
    </w:p>
    <w:p w14:paraId="47425E2A">
      <w:pPr>
        <w:pStyle w:val="12"/>
        <w:jc w:val="both"/>
        <w:rPr>
          <w:rFonts w:hint="eastAsia" w:ascii="方正小标宋_GBK" w:hAnsi="方正小标宋_GBK" w:eastAsia="方正小标宋_GBK" w:cs="方正小标宋_GBK"/>
          <w:sz w:val="24"/>
          <w:szCs w:val="24"/>
        </w:rPr>
      </w:pPr>
    </w:p>
    <w:p w14:paraId="18C45E46">
      <w:pPr>
        <w:pStyle w:val="12"/>
        <w:jc w:val="both"/>
        <w:rPr>
          <w:rFonts w:hint="eastAsia" w:ascii="方正小标宋_GBK" w:hAnsi="方正小标宋_GBK" w:eastAsia="方正小标宋_GBK" w:cs="方正小标宋_GBK"/>
          <w:sz w:val="24"/>
          <w:szCs w:val="24"/>
        </w:rPr>
      </w:pPr>
    </w:p>
    <w:p w14:paraId="203D8B48">
      <w:pPr>
        <w:pStyle w:val="12"/>
        <w:jc w:val="center"/>
        <w:rPr>
          <w:rFonts w:hint="eastAsia" w:ascii="方正小标宋_GBK" w:hAnsi="方正小标宋_GBK" w:eastAsia="方正小标宋_GBK" w:cs="方正小标宋_GBK"/>
          <w:sz w:val="72"/>
          <w:szCs w:val="72"/>
        </w:rPr>
      </w:pPr>
    </w:p>
    <w:p w14:paraId="7580EFBF">
      <w:pPr>
        <w:pStyle w:val="12"/>
        <w:jc w:val="center"/>
        <w:rPr>
          <w:rFonts w:hint="eastAsia" w:ascii="方正小标宋_GBK" w:hAnsi="方正小标宋_GBK" w:eastAsia="方正小标宋_GBK" w:cs="方正小标宋_GBK"/>
          <w:sz w:val="72"/>
          <w:szCs w:val="72"/>
        </w:rPr>
      </w:pPr>
    </w:p>
    <w:p w14:paraId="3961C8FB">
      <w:pPr>
        <w:pStyle w:val="12"/>
        <w:jc w:val="center"/>
        <w:rPr>
          <w:rFonts w:hint="eastAsia" w:ascii="方正小标宋_GBK" w:hAnsi="方正小标宋_GBK" w:eastAsia="方正小标宋_GBK" w:cs="方正小标宋_GBK"/>
          <w:sz w:val="72"/>
          <w:szCs w:val="72"/>
        </w:rPr>
      </w:pPr>
    </w:p>
    <w:p w14:paraId="2164517A">
      <w:pPr>
        <w:pStyle w:val="12"/>
        <w:jc w:val="center"/>
        <w:rPr>
          <w:rFonts w:hint="eastAsia" w:ascii="方正小标宋_GBK" w:hAnsi="方正小标宋_GBK" w:eastAsia="方正小标宋_GBK" w:cs="方正小标宋_GBK"/>
          <w:sz w:val="72"/>
          <w:szCs w:val="72"/>
        </w:rPr>
      </w:pPr>
    </w:p>
    <w:p w14:paraId="3D99E748">
      <w:pPr>
        <w:pStyle w:val="12"/>
        <w:jc w:val="center"/>
        <w:rPr>
          <w:rFonts w:hint="eastAsia" w:ascii="方正小标宋_GBK" w:hAnsi="方正小标宋_GBK" w:eastAsia="方正小标宋_GBK" w:cs="方正小标宋_GBK"/>
          <w:sz w:val="72"/>
          <w:szCs w:val="72"/>
        </w:rPr>
      </w:pPr>
    </w:p>
    <w:p w14:paraId="550F8453">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3FD8F229">
      <w:pPr>
        <w:jc w:val="center"/>
        <w:rPr>
          <w:rFonts w:hint="eastAsia" w:ascii="方正小标宋_GBK" w:hAnsi="方正小标宋_GBK" w:eastAsia="方正小标宋_GBK" w:cs="方正小标宋_GBK"/>
          <w:color w:val="000000"/>
          <w:kern w:val="0"/>
          <w:sz w:val="70"/>
          <w:szCs w:val="70"/>
        </w:rPr>
      </w:pPr>
    </w:p>
    <w:p w14:paraId="69750D35">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44826C7D">
      <w:pPr>
        <w:pStyle w:val="7"/>
      </w:pPr>
    </w:p>
    <w:p w14:paraId="59ABA5A4">
      <w:pPr>
        <w:pStyle w:val="3"/>
      </w:pPr>
    </w:p>
    <w:p w14:paraId="276B1B49"/>
    <w:p w14:paraId="7133C3D1">
      <w:pPr>
        <w:pStyle w:val="7"/>
      </w:pPr>
    </w:p>
    <w:p w14:paraId="3100A03E">
      <w:pPr>
        <w:pStyle w:val="3"/>
      </w:pPr>
    </w:p>
    <w:p w14:paraId="02DC66B0"/>
    <w:p w14:paraId="4F5FF128">
      <w:pPr>
        <w:pStyle w:val="7"/>
      </w:pPr>
    </w:p>
    <w:p w14:paraId="3381F99E">
      <w:pPr>
        <w:pStyle w:val="3"/>
      </w:pPr>
    </w:p>
    <w:p w14:paraId="4444BC15"/>
    <w:p w14:paraId="4CCB8007">
      <w:pPr>
        <w:pStyle w:val="7"/>
      </w:pPr>
    </w:p>
    <w:p w14:paraId="3F6E5B02">
      <w:pPr>
        <w:pStyle w:val="3"/>
      </w:pPr>
    </w:p>
    <w:p w14:paraId="29824C73"/>
    <w:p w14:paraId="24042BC5">
      <w:pPr>
        <w:pStyle w:val="7"/>
      </w:pPr>
    </w:p>
    <w:p w14:paraId="340979CC">
      <w:pPr>
        <w:pStyle w:val="3"/>
      </w:pPr>
    </w:p>
    <w:p w14:paraId="280F9896"/>
    <w:p w14:paraId="0D8EF2B5">
      <w:pPr>
        <w:pStyle w:val="7"/>
      </w:pPr>
    </w:p>
    <w:p w14:paraId="4130708F">
      <w:pPr>
        <w:ind w:firstLine="640" w:firstLineChars="200"/>
        <w:jc w:val="left"/>
        <w:rPr>
          <w:rFonts w:hint="eastAsia" w:ascii="仿宋_GB2312" w:hAnsi="仿宋_GB2312" w:eastAsia="仿宋_GB2312" w:cs="仿宋_GB2312"/>
          <w:color w:val="000000"/>
          <w:kern w:val="0"/>
          <w:sz w:val="32"/>
          <w:szCs w:val="32"/>
        </w:rPr>
      </w:pPr>
    </w:p>
    <w:p w14:paraId="4283905F">
      <w:pPr>
        <w:ind w:firstLine="640" w:firstLineChars="200"/>
        <w:jc w:val="left"/>
        <w:rPr>
          <w:rFonts w:hint="eastAsia" w:ascii="仿宋_GB2312" w:hAnsi="仿宋_GB2312" w:eastAsia="仿宋_GB2312" w:cs="仿宋_GB2312"/>
          <w:color w:val="000000"/>
          <w:kern w:val="0"/>
          <w:sz w:val="32"/>
          <w:szCs w:val="32"/>
        </w:rPr>
      </w:pPr>
    </w:p>
    <w:p w14:paraId="1E20E26E">
      <w:pPr>
        <w:ind w:firstLine="640" w:firstLineChars="200"/>
        <w:jc w:val="left"/>
        <w:rPr>
          <w:rFonts w:hint="eastAsia" w:ascii="仿宋_GB2312" w:hAnsi="仿宋_GB2312" w:eastAsia="仿宋_GB2312" w:cs="仿宋_GB2312"/>
          <w:color w:val="000000"/>
          <w:kern w:val="0"/>
          <w:sz w:val="32"/>
          <w:szCs w:val="32"/>
        </w:rPr>
      </w:pPr>
    </w:p>
    <w:p w14:paraId="0B6CF132">
      <w:pPr>
        <w:pStyle w:val="7"/>
        <w:rPr>
          <w:rFonts w:hint="eastAsia"/>
        </w:rPr>
      </w:pPr>
    </w:p>
    <w:p w14:paraId="250F6D90">
      <w:pPr>
        <w:ind w:firstLine="640" w:firstLineChars="200"/>
        <w:jc w:val="left"/>
        <w:rPr>
          <w:rFonts w:hint="eastAsia" w:ascii="仿宋_GB2312" w:hAnsi="仿宋_GB2312" w:eastAsia="仿宋_GB2312" w:cs="仿宋_GB2312"/>
          <w:color w:val="000000"/>
          <w:kern w:val="0"/>
          <w:sz w:val="32"/>
          <w:szCs w:val="32"/>
        </w:rPr>
      </w:pPr>
    </w:p>
    <w:p w14:paraId="38321659">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083FD80">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539FDC58">
      <w:pPr>
        <w:pStyle w:val="12"/>
        <w:jc w:val="center"/>
        <w:rPr>
          <w:rFonts w:hint="eastAsia" w:ascii="仿宋_GB2312" w:hAnsi="仿宋_GB2312" w:eastAsia="仿宋_GB2312" w:cs="仿宋_GB2312"/>
          <w:sz w:val="32"/>
          <w:szCs w:val="32"/>
        </w:rPr>
      </w:pPr>
    </w:p>
    <w:p w14:paraId="514C26E1">
      <w:pPr>
        <w:pStyle w:val="12"/>
        <w:jc w:val="center"/>
        <w:rPr>
          <w:rFonts w:hint="eastAsia" w:ascii="仿宋_GB2312" w:hAnsi="仿宋_GB2312" w:eastAsia="仿宋_GB2312" w:cs="仿宋_GB2312"/>
          <w:sz w:val="32"/>
          <w:szCs w:val="32"/>
        </w:rPr>
      </w:pPr>
    </w:p>
    <w:p w14:paraId="12FD2B08">
      <w:pPr>
        <w:pStyle w:val="3"/>
      </w:pPr>
    </w:p>
    <w:p w14:paraId="1098461B"/>
    <w:p w14:paraId="0E4ECB57">
      <w:pPr>
        <w:pStyle w:val="7"/>
      </w:pPr>
    </w:p>
    <w:p w14:paraId="74893B74">
      <w:pPr>
        <w:pStyle w:val="3"/>
      </w:pPr>
    </w:p>
    <w:p w14:paraId="4881A215"/>
    <w:p w14:paraId="236025BF">
      <w:pPr>
        <w:pStyle w:val="7"/>
      </w:pPr>
    </w:p>
    <w:p w14:paraId="61478AF3">
      <w:pPr>
        <w:pStyle w:val="3"/>
      </w:pPr>
    </w:p>
    <w:p w14:paraId="64BCE638"/>
    <w:p w14:paraId="0CD5A500">
      <w:pPr>
        <w:pStyle w:val="7"/>
      </w:pPr>
    </w:p>
    <w:p w14:paraId="16D7C40C">
      <w:pPr>
        <w:pStyle w:val="3"/>
      </w:pPr>
    </w:p>
    <w:p w14:paraId="0027B649"/>
    <w:p w14:paraId="6F71E134">
      <w:pPr>
        <w:pStyle w:val="7"/>
      </w:pPr>
    </w:p>
    <w:p w14:paraId="35C5F118">
      <w:pPr>
        <w:pStyle w:val="3"/>
      </w:pPr>
    </w:p>
    <w:p w14:paraId="3250A32B"/>
    <w:p w14:paraId="5B41DB27">
      <w:pPr>
        <w:pStyle w:val="7"/>
      </w:pPr>
    </w:p>
    <w:p w14:paraId="30E03E2A">
      <w:pPr>
        <w:pStyle w:val="3"/>
      </w:pPr>
    </w:p>
    <w:p w14:paraId="793AF5B6"/>
    <w:p w14:paraId="1EF740BB">
      <w:pPr>
        <w:pStyle w:val="7"/>
      </w:pPr>
    </w:p>
    <w:p w14:paraId="63BEFD56">
      <w:pPr>
        <w:pStyle w:val="3"/>
      </w:pPr>
    </w:p>
    <w:p w14:paraId="617490FF"/>
    <w:p w14:paraId="1951AE31"/>
    <w:p w14:paraId="0F4C3E8F">
      <w:pPr>
        <w:pStyle w:val="7"/>
      </w:pPr>
    </w:p>
    <w:p w14:paraId="24DD826F">
      <w:pPr>
        <w:pStyle w:val="12"/>
        <w:jc w:val="both"/>
        <w:rPr>
          <w:rFonts w:hint="eastAsia" w:ascii="方正小标宋_GBK" w:hAnsi="方正小标宋_GBK" w:eastAsia="方正小标宋_GBK" w:cs="方正小标宋_GBK"/>
          <w:sz w:val="72"/>
          <w:szCs w:val="72"/>
        </w:rPr>
      </w:pPr>
    </w:p>
    <w:p w14:paraId="5AC7C1F9">
      <w:pPr>
        <w:pStyle w:val="12"/>
        <w:jc w:val="both"/>
        <w:rPr>
          <w:rFonts w:hint="eastAsia" w:ascii="方正小标宋_GBK" w:hAnsi="方正小标宋_GBK" w:eastAsia="方正小标宋_GBK" w:cs="方正小标宋_GBK"/>
          <w:sz w:val="72"/>
          <w:szCs w:val="72"/>
        </w:rPr>
      </w:pPr>
    </w:p>
    <w:p w14:paraId="415DD30F">
      <w:pPr>
        <w:pStyle w:val="12"/>
        <w:jc w:val="both"/>
        <w:rPr>
          <w:rFonts w:hint="eastAsia" w:ascii="方正小标宋_GBK" w:hAnsi="方正小标宋_GBK" w:eastAsia="方正小标宋_GBK" w:cs="方正小标宋_GBK"/>
          <w:sz w:val="72"/>
          <w:szCs w:val="72"/>
        </w:rPr>
      </w:pPr>
    </w:p>
    <w:p w14:paraId="40EA2B55">
      <w:pPr>
        <w:pStyle w:val="12"/>
        <w:jc w:val="both"/>
        <w:rPr>
          <w:rFonts w:hint="eastAsia" w:ascii="方正小标宋_GBK" w:hAnsi="方正小标宋_GBK" w:eastAsia="方正小标宋_GBK" w:cs="方正小标宋_GBK"/>
          <w:sz w:val="72"/>
          <w:szCs w:val="72"/>
        </w:rPr>
      </w:pPr>
      <w:bookmarkStart w:id="0" w:name="_GoBack"/>
      <w:bookmarkEnd w:id="0"/>
    </w:p>
    <w:p w14:paraId="1DF337B9">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67F77A0F">
      <w:pPr>
        <w:pStyle w:val="12"/>
        <w:jc w:val="both"/>
        <w:rPr>
          <w:rFonts w:hint="eastAsia" w:ascii="方正小标宋_GBK" w:hAnsi="方正小标宋_GBK" w:eastAsia="方正小标宋_GBK" w:cs="方正小标宋_GBK"/>
          <w:sz w:val="70"/>
          <w:szCs w:val="70"/>
          <w:lang w:eastAsia="zh-CN"/>
        </w:rPr>
      </w:pPr>
    </w:p>
    <w:p w14:paraId="4062F57E">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附件</w:t>
      </w:r>
    </w:p>
    <w:p w14:paraId="29318947">
      <w:pPr>
        <w:ind w:firstLine="640" w:firstLineChars="200"/>
        <w:jc w:val="left"/>
        <w:rPr>
          <w:rFonts w:hint="eastAsia" w:ascii="宋体" w:hAnsi="宋体" w:eastAsia="宋体" w:cs="黑体"/>
          <w:b/>
          <w:color w:val="000000"/>
          <w:kern w:val="0"/>
          <w:sz w:val="32"/>
          <w:szCs w:val="32"/>
          <w:lang w:val="en-US" w:eastAsia="zh-CN"/>
        </w:rPr>
      </w:pPr>
    </w:p>
    <w:p w14:paraId="3A358F93">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55B930BE">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41F39EB9"/>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汉仪字酷堂长林体W">
    <w:panose1 w:val="00020600040101010101"/>
    <w:charset w:val="86"/>
    <w:family w:val="auto"/>
    <w:pitch w:val="default"/>
    <w:sig w:usb0="8000003F" w:usb1="1AC104FA" w:usb2="00000016" w:usb3="00000000" w:csb0="0004009F"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70D83"/>
    <w:rsid w:val="059958AD"/>
    <w:rsid w:val="06C857E7"/>
    <w:rsid w:val="085D69BB"/>
    <w:rsid w:val="08C24A73"/>
    <w:rsid w:val="11944E2C"/>
    <w:rsid w:val="12583BA5"/>
    <w:rsid w:val="12BB2799"/>
    <w:rsid w:val="13BA5B9C"/>
    <w:rsid w:val="1D97DEFF"/>
    <w:rsid w:val="1DFF72E5"/>
    <w:rsid w:val="1EFC6F07"/>
    <w:rsid w:val="1F0527A6"/>
    <w:rsid w:val="22AC03C2"/>
    <w:rsid w:val="283B15FE"/>
    <w:rsid w:val="2D4862BE"/>
    <w:rsid w:val="2FDF85B8"/>
    <w:rsid w:val="2FFFEE04"/>
    <w:rsid w:val="30377A13"/>
    <w:rsid w:val="319C193C"/>
    <w:rsid w:val="31C95635"/>
    <w:rsid w:val="320F2DE5"/>
    <w:rsid w:val="34DF85B0"/>
    <w:rsid w:val="39537745"/>
    <w:rsid w:val="3B8F36BC"/>
    <w:rsid w:val="3CB9452D"/>
    <w:rsid w:val="3FEE6F93"/>
    <w:rsid w:val="407A0F8C"/>
    <w:rsid w:val="428B3BBD"/>
    <w:rsid w:val="43EB5BA5"/>
    <w:rsid w:val="48270FF9"/>
    <w:rsid w:val="491FF225"/>
    <w:rsid w:val="49B91BE0"/>
    <w:rsid w:val="4D83229B"/>
    <w:rsid w:val="4EC310A1"/>
    <w:rsid w:val="4FAA3CEB"/>
    <w:rsid w:val="4FFD214C"/>
    <w:rsid w:val="519A0C44"/>
    <w:rsid w:val="52F42ADF"/>
    <w:rsid w:val="5352765A"/>
    <w:rsid w:val="55F276F4"/>
    <w:rsid w:val="5777D4F5"/>
    <w:rsid w:val="57EBA9D6"/>
    <w:rsid w:val="57F22B6F"/>
    <w:rsid w:val="59DD8326"/>
    <w:rsid w:val="5DEF592A"/>
    <w:rsid w:val="5FC6BB1E"/>
    <w:rsid w:val="5FF720F1"/>
    <w:rsid w:val="60CC2209"/>
    <w:rsid w:val="622964C1"/>
    <w:rsid w:val="62AD54CF"/>
    <w:rsid w:val="642F162C"/>
    <w:rsid w:val="653A11F0"/>
    <w:rsid w:val="67FF5C0B"/>
    <w:rsid w:val="6BAA4A2F"/>
    <w:rsid w:val="6DDEC5C0"/>
    <w:rsid w:val="6EFC0924"/>
    <w:rsid w:val="6F9E8580"/>
    <w:rsid w:val="6FB74722"/>
    <w:rsid w:val="6FEF8B7E"/>
    <w:rsid w:val="717FE77F"/>
    <w:rsid w:val="71A6591B"/>
    <w:rsid w:val="7344657D"/>
    <w:rsid w:val="737D59BA"/>
    <w:rsid w:val="737F32B1"/>
    <w:rsid w:val="73BD3FCA"/>
    <w:rsid w:val="76BD08C7"/>
    <w:rsid w:val="776BDA01"/>
    <w:rsid w:val="77C37683"/>
    <w:rsid w:val="79FF515B"/>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1"/>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Pages>
  <Words>9570</Words>
  <Characters>10486</Characters>
  <Lines>63</Lines>
  <Paragraphs>18</Paragraphs>
  <TotalTime>7</TotalTime>
  <ScaleCrop>false</ScaleCrop>
  <LinksUpToDate>false</LinksUpToDate>
  <CharactersWithSpaces>10520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粟超艺</cp:lastModifiedBy>
  <cp:lastPrinted>2024-08-11T18:20:00Z</cp:lastPrinted>
  <dcterms:modified xsi:type="dcterms:W3CDTF">2026-09-29T03:13:25Z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98623D6660B449428EB8E073C6C952EA</vt:lpwstr>
  </property>
  <property fmtid="{D5CDD505-2E9C-101B-9397-08002B2CF9AE}" pid="4" name="KSOTemplateDocerSaveRecord">
    <vt:lpwstr>eyJoZGlkIjoiNWMwODNiMDU5OGZlNDIwYzhlOGFjYThjMTc3ZTIwYzAiLCJ1c2VySWQiOiIxNDc2NDcyMjM2In0=</vt:lpwstr>
  </property>
</Properties>
</file>