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EA988">
      <w:pPr>
        <w:pStyle w:val="12"/>
        <w:jc w:val="center"/>
        <w:rPr>
          <w:sz w:val="56"/>
          <w:szCs w:val="56"/>
        </w:rPr>
      </w:pPr>
    </w:p>
    <w:p w14:paraId="376FA642">
      <w:pPr>
        <w:pStyle w:val="12"/>
        <w:jc w:val="center"/>
        <w:rPr>
          <w:sz w:val="56"/>
          <w:szCs w:val="56"/>
        </w:rPr>
      </w:pPr>
    </w:p>
    <w:p w14:paraId="45A8681D">
      <w:pPr>
        <w:pStyle w:val="12"/>
        <w:jc w:val="center"/>
        <w:rPr>
          <w:sz w:val="84"/>
          <w:szCs w:val="84"/>
        </w:rPr>
      </w:pPr>
    </w:p>
    <w:p w14:paraId="21C5B901">
      <w:pPr>
        <w:pStyle w:val="12"/>
        <w:jc w:val="center"/>
        <w:rPr>
          <w:sz w:val="84"/>
          <w:szCs w:val="84"/>
        </w:rPr>
      </w:pPr>
    </w:p>
    <w:p w14:paraId="2AF86553">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341AFAB0">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任弼时纪念馆</w:t>
      </w:r>
      <w:r>
        <w:rPr>
          <w:rFonts w:hint="eastAsia" w:ascii="方正小标宋_GBK" w:hAnsi="方正小标宋_GBK" w:eastAsia="方正小标宋_GBK" w:cs="方正小标宋_GBK"/>
          <w:sz w:val="84"/>
          <w:szCs w:val="84"/>
        </w:rPr>
        <w:t>部门决算</w:t>
      </w:r>
    </w:p>
    <w:p w14:paraId="07613AA7">
      <w:pPr>
        <w:pStyle w:val="12"/>
        <w:jc w:val="center"/>
        <w:rPr>
          <w:rFonts w:hint="eastAsia" w:ascii="方正小标宋_GBK" w:hAnsi="方正小标宋_GBK" w:eastAsia="方正小标宋_GBK" w:cs="方正小标宋_GBK"/>
          <w:sz w:val="56"/>
          <w:szCs w:val="56"/>
        </w:rPr>
      </w:pPr>
    </w:p>
    <w:p w14:paraId="0FF0E1E4">
      <w:pPr>
        <w:pStyle w:val="12"/>
        <w:jc w:val="center"/>
        <w:rPr>
          <w:sz w:val="56"/>
          <w:szCs w:val="56"/>
        </w:rPr>
      </w:pPr>
    </w:p>
    <w:p w14:paraId="5F46E084">
      <w:pPr>
        <w:pStyle w:val="12"/>
        <w:jc w:val="center"/>
        <w:rPr>
          <w:sz w:val="56"/>
          <w:szCs w:val="56"/>
        </w:rPr>
      </w:pPr>
    </w:p>
    <w:p w14:paraId="1622F533">
      <w:pPr>
        <w:pStyle w:val="12"/>
        <w:jc w:val="center"/>
        <w:rPr>
          <w:sz w:val="56"/>
          <w:szCs w:val="56"/>
        </w:rPr>
      </w:pPr>
    </w:p>
    <w:p w14:paraId="2EFAEFBD">
      <w:pPr>
        <w:pStyle w:val="12"/>
        <w:jc w:val="center"/>
        <w:rPr>
          <w:sz w:val="32"/>
          <w:szCs w:val="32"/>
        </w:rPr>
      </w:pPr>
    </w:p>
    <w:p w14:paraId="21E53672">
      <w:pPr>
        <w:pStyle w:val="12"/>
        <w:jc w:val="center"/>
        <w:rPr>
          <w:sz w:val="32"/>
          <w:szCs w:val="32"/>
        </w:rPr>
      </w:pPr>
    </w:p>
    <w:p w14:paraId="3E8A681C">
      <w:pPr>
        <w:pStyle w:val="12"/>
        <w:jc w:val="center"/>
        <w:rPr>
          <w:sz w:val="32"/>
          <w:szCs w:val="32"/>
        </w:rPr>
      </w:pPr>
    </w:p>
    <w:p w14:paraId="07C8C0D0">
      <w:pPr>
        <w:pStyle w:val="12"/>
        <w:jc w:val="center"/>
        <w:rPr>
          <w:sz w:val="32"/>
          <w:szCs w:val="32"/>
        </w:rPr>
      </w:pPr>
    </w:p>
    <w:p w14:paraId="15276A35">
      <w:pPr>
        <w:pStyle w:val="12"/>
        <w:jc w:val="center"/>
        <w:rPr>
          <w:sz w:val="32"/>
          <w:szCs w:val="32"/>
        </w:rPr>
      </w:pPr>
    </w:p>
    <w:p w14:paraId="0C2BB9F1">
      <w:pPr>
        <w:pStyle w:val="12"/>
        <w:spacing w:line="540" w:lineRule="exact"/>
        <w:jc w:val="center"/>
        <w:rPr>
          <w:sz w:val="56"/>
          <w:szCs w:val="56"/>
        </w:rPr>
      </w:pPr>
    </w:p>
    <w:p w14:paraId="58369D60">
      <w:pPr>
        <w:pStyle w:val="12"/>
        <w:spacing w:line="500" w:lineRule="exact"/>
        <w:jc w:val="both"/>
        <w:rPr>
          <w:b/>
          <w:sz w:val="36"/>
          <w:szCs w:val="28"/>
        </w:rPr>
      </w:pPr>
    </w:p>
    <w:p w14:paraId="72789507">
      <w:pPr>
        <w:pStyle w:val="12"/>
        <w:spacing w:line="500" w:lineRule="exact"/>
        <w:jc w:val="center"/>
        <w:rPr>
          <w:b/>
          <w:sz w:val="36"/>
          <w:szCs w:val="28"/>
        </w:rPr>
      </w:pPr>
      <w:r>
        <w:rPr>
          <w:rFonts w:hint="eastAsia"/>
          <w:b/>
          <w:sz w:val="36"/>
          <w:szCs w:val="28"/>
        </w:rPr>
        <w:t>目录</w:t>
      </w:r>
    </w:p>
    <w:p w14:paraId="217E6E82">
      <w:pPr>
        <w:pStyle w:val="12"/>
        <w:spacing w:line="500" w:lineRule="exact"/>
        <w:rPr>
          <w:rFonts w:hint="eastAsia" w:ascii="SimHei" w:hAnsi="SimHei" w:eastAsia="SimHei" w:cs="SimHei"/>
          <w:b w:val="0"/>
          <w:bCs/>
          <w:sz w:val="28"/>
          <w:szCs w:val="28"/>
        </w:rPr>
      </w:pPr>
      <w:r>
        <w:rPr>
          <w:rFonts w:hint="eastAsia" w:ascii="SimHei" w:hAnsi="SimHei" w:eastAsia="SimHei" w:cs="SimHei"/>
          <w:b w:val="0"/>
          <w:bCs/>
          <w:sz w:val="28"/>
          <w:szCs w:val="28"/>
        </w:rPr>
        <w:t>第一部分</w:t>
      </w:r>
      <w:r>
        <w:rPr>
          <w:rFonts w:hint="eastAsia" w:ascii="SimHei" w:hAnsi="SimHei" w:eastAsia="SimHei" w:cs="SimHei"/>
          <w:b w:val="0"/>
          <w:bCs/>
          <w:sz w:val="28"/>
          <w:szCs w:val="28"/>
          <w:lang w:val="en-US" w:eastAsia="zh-CN"/>
        </w:rPr>
        <w:t xml:space="preserve"> </w:t>
      </w:r>
      <w:r>
        <w:rPr>
          <w:rFonts w:hint="eastAsia" w:hAnsi="SimHei" w:cs="SimHei"/>
          <w:b w:val="0"/>
          <w:bCs/>
          <w:sz w:val="28"/>
          <w:szCs w:val="28"/>
          <w:lang w:eastAsia="zh-CN"/>
        </w:rPr>
        <w:t>任弼时纪念馆</w:t>
      </w:r>
      <w:r>
        <w:rPr>
          <w:rFonts w:hint="eastAsia" w:ascii="SimHei" w:hAnsi="SimHei" w:eastAsia="SimHei" w:cs="SimHei"/>
          <w:b w:val="0"/>
          <w:bCs/>
          <w:sz w:val="28"/>
          <w:szCs w:val="28"/>
        </w:rPr>
        <w:t>概况</w:t>
      </w:r>
    </w:p>
    <w:p w14:paraId="2DD026D4">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5E37D8D9">
      <w:pPr>
        <w:pStyle w:val="12"/>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3E031208">
      <w:pPr>
        <w:pStyle w:val="12"/>
        <w:spacing w:line="500" w:lineRule="exact"/>
        <w:rPr>
          <w:rFonts w:hint="eastAsia" w:ascii="SimHei" w:hAnsi="SimHei" w:eastAsia="SimHei" w:cs="SimHei"/>
          <w:b w:val="0"/>
          <w:bCs/>
          <w:sz w:val="28"/>
          <w:szCs w:val="28"/>
        </w:rPr>
      </w:pPr>
      <w:r>
        <w:rPr>
          <w:rFonts w:hint="eastAsia" w:ascii="SimHei" w:hAnsi="SimHei" w:eastAsia="SimHei" w:cs="SimHei"/>
          <w:b w:val="0"/>
          <w:bCs/>
          <w:sz w:val="28"/>
          <w:szCs w:val="28"/>
        </w:rPr>
        <w:t>第二部分</w:t>
      </w:r>
      <w:r>
        <w:rPr>
          <w:rFonts w:hint="eastAsia" w:ascii="SimHei" w:hAnsi="SimHei" w:eastAsia="SimHei" w:cs="SimHei"/>
          <w:b w:val="0"/>
          <w:bCs/>
          <w:sz w:val="28"/>
          <w:szCs w:val="28"/>
          <w:lang w:val="en-US" w:eastAsia="zh-CN"/>
        </w:rPr>
        <w:t xml:space="preserve"> </w:t>
      </w:r>
      <w:r>
        <w:rPr>
          <w:rFonts w:hint="eastAsia" w:ascii="SimHei" w:hAnsi="SimHei" w:eastAsia="SimHei" w:cs="SimHei"/>
          <w:b w:val="0"/>
          <w:bCs/>
          <w:sz w:val="28"/>
          <w:szCs w:val="28"/>
        </w:rPr>
        <w:t>部门决算表</w:t>
      </w:r>
    </w:p>
    <w:p w14:paraId="7851E43D">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4C01FF1B">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1FAAFFA4">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101B474C">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4EBD38A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3C1092C0">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29FF0610">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39E2C1B4">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5E3F413B">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49EEA6B8">
      <w:pPr>
        <w:pStyle w:val="12"/>
        <w:spacing w:line="500" w:lineRule="exact"/>
        <w:rPr>
          <w:rFonts w:hint="eastAsia" w:ascii="SimHei" w:hAnsi="SimHei" w:eastAsia="SimHei" w:cs="SimHei"/>
          <w:b w:val="0"/>
          <w:bCs/>
          <w:sz w:val="28"/>
          <w:szCs w:val="28"/>
        </w:rPr>
      </w:pPr>
      <w:r>
        <w:rPr>
          <w:rFonts w:hint="eastAsia" w:ascii="SimHei" w:hAnsi="SimHei" w:eastAsia="SimHei" w:cs="SimHei"/>
          <w:b w:val="0"/>
          <w:bCs/>
          <w:sz w:val="28"/>
          <w:szCs w:val="28"/>
        </w:rPr>
        <w:t>第三部分</w:t>
      </w:r>
      <w:r>
        <w:rPr>
          <w:rFonts w:hint="eastAsia" w:ascii="SimHei" w:hAnsi="SimHei" w:eastAsia="SimHei" w:cs="SimHei"/>
          <w:b w:val="0"/>
          <w:bCs/>
          <w:sz w:val="28"/>
          <w:szCs w:val="28"/>
          <w:lang w:val="en-US" w:eastAsia="zh-CN"/>
        </w:rPr>
        <w:t xml:space="preserve"> </w:t>
      </w:r>
      <w:r>
        <w:rPr>
          <w:rFonts w:hint="eastAsia" w:ascii="SimHei" w:hAnsi="SimHei" w:eastAsia="SimHei" w:cs="SimHei"/>
          <w:b w:val="0"/>
          <w:bCs/>
          <w:sz w:val="28"/>
          <w:szCs w:val="28"/>
        </w:rPr>
        <w:t>部门决算情况说明</w:t>
      </w:r>
    </w:p>
    <w:p w14:paraId="2532D70F">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70E96D40">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1DC3957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346D671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17AAD5B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72FD7E3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44703893">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32175CC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2BAC6F8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372F009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200EEE81">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67302CB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56EB1A75">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14DD8AFA">
      <w:pPr>
        <w:pStyle w:val="12"/>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42F4F6F4">
      <w:pPr>
        <w:pStyle w:val="12"/>
        <w:spacing w:line="500" w:lineRule="exact"/>
        <w:rPr>
          <w:rFonts w:hint="eastAsia" w:ascii="SimHei" w:hAnsi="SimHei" w:eastAsia="SimHei" w:cs="SimHei"/>
          <w:b w:val="0"/>
          <w:bCs/>
          <w:sz w:val="28"/>
          <w:szCs w:val="28"/>
        </w:rPr>
      </w:pPr>
      <w:r>
        <w:rPr>
          <w:rFonts w:hint="eastAsia" w:ascii="SimHei" w:hAnsi="SimHei" w:eastAsia="SimHei" w:cs="SimHei"/>
          <w:b w:val="0"/>
          <w:bCs/>
          <w:sz w:val="28"/>
          <w:szCs w:val="28"/>
        </w:rPr>
        <w:t>第四部分</w:t>
      </w:r>
      <w:r>
        <w:rPr>
          <w:rFonts w:hint="eastAsia" w:ascii="SimHei" w:hAnsi="SimHei" w:eastAsia="SimHei" w:cs="SimHei"/>
          <w:b w:val="0"/>
          <w:bCs/>
          <w:sz w:val="28"/>
          <w:szCs w:val="28"/>
          <w:lang w:val="en-US" w:eastAsia="zh-CN"/>
        </w:rPr>
        <w:t xml:space="preserve"> </w:t>
      </w:r>
      <w:r>
        <w:rPr>
          <w:rFonts w:hint="eastAsia" w:ascii="SimHei" w:hAnsi="SimHei" w:eastAsia="SimHei" w:cs="SimHei"/>
          <w:b w:val="0"/>
          <w:bCs/>
          <w:sz w:val="28"/>
          <w:szCs w:val="28"/>
        </w:rPr>
        <w:t>名词解释</w:t>
      </w:r>
    </w:p>
    <w:p w14:paraId="5E8C1055">
      <w:pPr>
        <w:pStyle w:val="12"/>
        <w:spacing w:line="500" w:lineRule="exact"/>
        <w:rPr>
          <w:rFonts w:hint="eastAsia" w:ascii="SimHei" w:hAnsi="SimHei" w:eastAsia="SimHei" w:cs="SimHei"/>
          <w:b w:val="0"/>
          <w:bCs/>
          <w:sz w:val="28"/>
          <w:szCs w:val="28"/>
          <w:lang w:eastAsia="zh-CN"/>
        </w:rPr>
      </w:pPr>
      <w:r>
        <w:rPr>
          <w:rFonts w:hint="eastAsia" w:ascii="SimHei" w:hAnsi="SimHei" w:eastAsia="SimHei" w:cs="SimHei"/>
          <w:b w:val="0"/>
          <w:bCs/>
          <w:sz w:val="28"/>
          <w:szCs w:val="28"/>
        </w:rPr>
        <w:t>第</w:t>
      </w:r>
      <w:r>
        <w:rPr>
          <w:rFonts w:hint="eastAsia" w:hAnsi="SimHei" w:cs="SimHei"/>
          <w:b w:val="0"/>
          <w:bCs/>
          <w:sz w:val="28"/>
          <w:szCs w:val="28"/>
          <w:lang w:eastAsia="zh-CN"/>
        </w:rPr>
        <w:t>五</w:t>
      </w:r>
      <w:r>
        <w:rPr>
          <w:rFonts w:hint="eastAsia" w:ascii="SimHei" w:hAnsi="SimHei" w:eastAsia="SimHei" w:cs="SimHei"/>
          <w:b w:val="0"/>
          <w:bCs/>
          <w:sz w:val="28"/>
          <w:szCs w:val="28"/>
        </w:rPr>
        <w:t>部分</w:t>
      </w:r>
      <w:r>
        <w:rPr>
          <w:rFonts w:hint="eastAsia" w:ascii="SimHei" w:hAnsi="SimHei" w:eastAsia="SimHei" w:cs="SimHei"/>
          <w:b w:val="0"/>
          <w:bCs/>
          <w:sz w:val="28"/>
          <w:szCs w:val="28"/>
          <w:lang w:val="en-US" w:eastAsia="zh-CN"/>
        </w:rPr>
        <w:t xml:space="preserve"> </w:t>
      </w:r>
      <w:r>
        <w:rPr>
          <w:rFonts w:hint="eastAsia" w:hAnsi="SimHei" w:cs="SimHei"/>
          <w:b w:val="0"/>
          <w:bCs/>
          <w:sz w:val="28"/>
          <w:szCs w:val="28"/>
          <w:lang w:eastAsia="zh-CN"/>
        </w:rPr>
        <w:t>附件</w:t>
      </w:r>
    </w:p>
    <w:p w14:paraId="347B7C42">
      <w:pPr>
        <w:pStyle w:val="12"/>
        <w:jc w:val="center"/>
        <w:rPr>
          <w:rFonts w:hint="eastAsia" w:ascii="方正小标宋_GBK" w:hAnsi="方正小标宋_GBK" w:eastAsia="方正小标宋_GBK" w:cs="方正小标宋_GBK"/>
          <w:sz w:val="84"/>
          <w:szCs w:val="84"/>
        </w:rPr>
      </w:pPr>
    </w:p>
    <w:p w14:paraId="75D25201">
      <w:pPr>
        <w:pStyle w:val="12"/>
        <w:jc w:val="center"/>
        <w:rPr>
          <w:rFonts w:hint="eastAsia" w:ascii="方正小标宋_GBK" w:hAnsi="方正小标宋_GBK" w:eastAsia="方正小标宋_GBK" w:cs="方正小标宋_GBK"/>
          <w:sz w:val="84"/>
          <w:szCs w:val="84"/>
        </w:rPr>
      </w:pPr>
    </w:p>
    <w:p w14:paraId="36D54D9C">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05F377A6">
      <w:pPr>
        <w:pStyle w:val="12"/>
        <w:jc w:val="center"/>
        <w:rPr>
          <w:rFonts w:hint="eastAsia" w:ascii="方正小标宋_GBK" w:hAnsi="方正小标宋_GBK" w:eastAsia="方正小标宋_GBK" w:cs="方正小标宋_GBK"/>
          <w:sz w:val="84"/>
          <w:szCs w:val="84"/>
        </w:rPr>
      </w:pPr>
    </w:p>
    <w:p w14:paraId="7AA1CEE4">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任弼时纪念馆</w:t>
      </w:r>
      <w:r>
        <w:rPr>
          <w:rFonts w:hint="eastAsia" w:ascii="方正小标宋_GBK" w:hAnsi="方正小标宋_GBK" w:eastAsia="方正小标宋_GBK" w:cs="方正小标宋_GBK"/>
          <w:sz w:val="84"/>
          <w:szCs w:val="84"/>
        </w:rPr>
        <w:t>概况</w:t>
      </w:r>
    </w:p>
    <w:p w14:paraId="0D69BB0D">
      <w:pPr>
        <w:pStyle w:val="7"/>
        <w:rPr>
          <w:rFonts w:hint="eastAsia" w:ascii="方正小标宋_GBK" w:hAnsi="方正小标宋_GBK" w:eastAsia="方正小标宋_GBK" w:cs="方正小标宋_GBK"/>
          <w:sz w:val="84"/>
          <w:szCs w:val="84"/>
        </w:rPr>
      </w:pPr>
    </w:p>
    <w:p w14:paraId="269FB7BC">
      <w:pPr>
        <w:pStyle w:val="3"/>
        <w:rPr>
          <w:rFonts w:hint="eastAsia" w:ascii="方正小标宋_GBK" w:hAnsi="方正小标宋_GBK" w:eastAsia="方正小标宋_GBK" w:cs="方正小标宋_GBK"/>
          <w:sz w:val="84"/>
          <w:szCs w:val="84"/>
        </w:rPr>
      </w:pPr>
    </w:p>
    <w:p w14:paraId="6922855F">
      <w:pPr>
        <w:rPr>
          <w:rFonts w:hint="eastAsia" w:ascii="方正小标宋_GBK" w:hAnsi="方正小标宋_GBK" w:eastAsia="方正小标宋_GBK" w:cs="方正小标宋_GBK"/>
          <w:sz w:val="84"/>
          <w:szCs w:val="84"/>
        </w:rPr>
      </w:pPr>
    </w:p>
    <w:p w14:paraId="19AB78BC">
      <w:pPr>
        <w:pStyle w:val="7"/>
        <w:rPr>
          <w:rFonts w:hint="eastAsia" w:ascii="方正小标宋_GBK" w:hAnsi="方正小标宋_GBK" w:eastAsia="方正小标宋_GBK" w:cs="方正小标宋_GBK"/>
          <w:sz w:val="84"/>
          <w:szCs w:val="84"/>
        </w:rPr>
      </w:pPr>
    </w:p>
    <w:p w14:paraId="6979C82F">
      <w:pPr>
        <w:pStyle w:val="3"/>
        <w:rPr>
          <w:rFonts w:hint="eastAsia" w:ascii="方正小标宋_GBK" w:hAnsi="方正小标宋_GBK" w:eastAsia="方正小标宋_GBK" w:cs="方正小标宋_GBK"/>
          <w:sz w:val="84"/>
          <w:szCs w:val="84"/>
        </w:rPr>
      </w:pPr>
    </w:p>
    <w:p w14:paraId="3A9C167C">
      <w:pPr>
        <w:pStyle w:val="13"/>
        <w:numPr>
          <w:ilvl w:val="0"/>
          <w:numId w:val="1"/>
        </w:numPr>
        <w:ind w:firstLineChars="0"/>
        <w:jc w:val="left"/>
        <w:rPr>
          <w:rFonts w:hint="eastAsia" w:ascii="SimHei" w:hAnsi="SimHei" w:eastAsia="SimHei" w:cs="SimHei"/>
          <w:b w:val="0"/>
          <w:bCs w:val="0"/>
          <w:sz w:val="32"/>
          <w:szCs w:val="32"/>
          <w:highlight w:val="none"/>
        </w:rPr>
      </w:pPr>
      <w:r>
        <w:rPr>
          <w:rFonts w:hint="eastAsia" w:ascii="SimHei" w:hAnsi="SimHei" w:eastAsia="SimHei" w:cs="SimHei"/>
          <w:b w:val="0"/>
          <w:bCs w:val="0"/>
          <w:sz w:val="32"/>
          <w:szCs w:val="32"/>
          <w:highlight w:val="none"/>
        </w:rPr>
        <w:t>部门职责</w:t>
      </w:r>
    </w:p>
    <w:p w14:paraId="2F67D1D4">
      <w:pPr>
        <w:ind w:firstLine="800" w:firstLineChars="250"/>
        <w:jc w:val="left"/>
        <w:rPr>
          <w:rFonts w:hint="eastAsia" w:ascii="Times New Roman" w:hAnsi="Times New Roman" w:eastAsia="仿宋_GB2312" w:cs="仿宋_GB2312"/>
          <w:sz w:val="32"/>
          <w:szCs w:val="32"/>
        </w:rPr>
      </w:pPr>
      <w:r>
        <w:rPr>
          <w:rFonts w:hint="eastAsia" w:ascii="宋体" w:hAnsi="宋体" w:cs="Times New Roman"/>
          <w:sz w:val="32"/>
          <w:szCs w:val="24"/>
          <w:lang w:eastAsia="zh-CN"/>
        </w:rPr>
        <w:t>负责</w:t>
      </w:r>
      <w:r>
        <w:rPr>
          <w:rFonts w:hint="eastAsia" w:ascii="宋体" w:hAnsi="宋体" w:cs="Times New Roman"/>
          <w:sz w:val="32"/>
          <w:szCs w:val="24"/>
        </w:rPr>
        <w:t>收藏、保护、利用与任弼时同志相关文物资料；陈列展示、研究宣传任弼时同志的生平思想；挖掘和弘扬“骆驼精神”，开展党性教育、爱国主义教育和革命传统教育；开展党员干部及社会培训；开展学生研学实践；开展红色旅游。</w:t>
      </w:r>
    </w:p>
    <w:p w14:paraId="4E96E570">
      <w:pPr>
        <w:widowControl/>
        <w:spacing w:line="600" w:lineRule="exact"/>
        <w:rPr>
          <w:rFonts w:hint="eastAsia" w:ascii="SimHei" w:hAnsi="SimHei" w:eastAsia="SimHei" w:cs="SimHei"/>
          <w:b w:val="0"/>
          <w:bCs/>
          <w:kern w:val="0"/>
          <w:sz w:val="32"/>
          <w:szCs w:val="32"/>
        </w:rPr>
      </w:pPr>
      <w:r>
        <w:rPr>
          <w:rFonts w:hint="eastAsia" w:ascii="SimHei" w:hAnsi="SimHei" w:eastAsia="SimHei" w:cs="SimHei"/>
          <w:b w:val="0"/>
          <w:bCs/>
          <w:kern w:val="0"/>
          <w:sz w:val="32"/>
          <w:szCs w:val="32"/>
        </w:rPr>
        <w:t>二、机构设置及决算单位构成</w:t>
      </w:r>
    </w:p>
    <w:p w14:paraId="3293279D">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r>
        <w:rPr>
          <w:rFonts w:hint="eastAsia" w:ascii="宋体" w:hAnsi="宋体" w:cs="Times New Roman"/>
          <w:sz w:val="32"/>
          <w:szCs w:val="24"/>
        </w:rPr>
        <w:t>我</w:t>
      </w:r>
      <w:r>
        <w:rPr>
          <w:rFonts w:hint="eastAsia" w:ascii="宋体" w:hAnsi="宋体" w:cs="Times New Roman"/>
          <w:sz w:val="32"/>
          <w:szCs w:val="24"/>
          <w:lang w:eastAsia="zh-CN"/>
        </w:rPr>
        <w:t>馆</w:t>
      </w:r>
      <w:r>
        <w:rPr>
          <w:rFonts w:hint="eastAsia" w:ascii="宋体" w:hAnsi="宋体" w:cs="Times New Roman"/>
          <w:sz w:val="32"/>
          <w:szCs w:val="24"/>
        </w:rPr>
        <w:t>共有内设机构</w:t>
      </w:r>
      <w:r>
        <w:rPr>
          <w:rFonts w:hint="eastAsia" w:ascii="宋体" w:hAnsi="宋体" w:cs="Times New Roman"/>
          <w:sz w:val="32"/>
          <w:szCs w:val="24"/>
          <w:lang w:val="en-US" w:eastAsia="zh-CN"/>
        </w:rPr>
        <w:t>6</w:t>
      </w:r>
      <w:r>
        <w:rPr>
          <w:rFonts w:hint="eastAsia" w:ascii="宋体" w:hAnsi="宋体" w:cs="Times New Roman"/>
          <w:sz w:val="32"/>
          <w:szCs w:val="24"/>
        </w:rPr>
        <w:t>个，分别为：办公室、</w:t>
      </w:r>
      <w:r>
        <w:rPr>
          <w:rFonts w:hint="eastAsia" w:ascii="宋体" w:hAnsi="宋体" w:cs="Times New Roman"/>
          <w:sz w:val="32"/>
          <w:szCs w:val="24"/>
          <w:lang w:eastAsia="zh-CN"/>
        </w:rPr>
        <w:t>研究室、宣传教育部、对外联络部、安全保卫部、游客服务中心</w:t>
      </w:r>
      <w:r>
        <w:rPr>
          <w:rFonts w:hint="eastAsia" w:ascii="宋体" w:hAnsi="宋体" w:cs="Times New Roman"/>
          <w:sz w:val="32"/>
          <w:szCs w:val="24"/>
        </w:rPr>
        <w:t>。</w:t>
      </w:r>
      <w:r>
        <w:rPr>
          <w:rFonts w:hint="eastAsia" w:ascii="宋体" w:hAnsi="宋体" w:cs="Times New Roman"/>
          <w:sz w:val="32"/>
          <w:szCs w:val="24"/>
          <w:lang w:eastAsia="zh-CN"/>
        </w:rPr>
        <w:t>核准全额补助事业编制为</w:t>
      </w:r>
      <w:r>
        <w:rPr>
          <w:rFonts w:hint="eastAsia" w:ascii="宋体" w:hAnsi="宋体" w:cs="Times New Roman"/>
          <w:sz w:val="32"/>
          <w:szCs w:val="24"/>
          <w:lang w:val="en-US" w:eastAsia="zh-CN"/>
        </w:rPr>
        <w:t>34人，实有31人，</w:t>
      </w:r>
      <w:r>
        <w:rPr>
          <w:rFonts w:hint="eastAsia" w:ascii="宋体" w:hAnsi="宋体" w:cs="Times New Roman"/>
          <w:sz w:val="32"/>
          <w:szCs w:val="24"/>
          <w:lang w:eastAsia="zh-CN"/>
        </w:rPr>
        <w:t>全部纳入2025年部门预算编制范围。</w:t>
      </w:r>
    </w:p>
    <w:p w14:paraId="3AB204DF">
      <w:pPr>
        <w:keepNext w:val="0"/>
        <w:keepLines w:val="0"/>
        <w:pageBreakBefore w:val="0"/>
        <w:kinsoku/>
        <w:wordWrap/>
        <w:overflowPunct/>
        <w:topLinePunct w:val="0"/>
        <w:autoSpaceDE/>
        <w:autoSpaceDN/>
        <w:bidi w:val="0"/>
        <w:adjustRightInd/>
        <w:snapToGrid/>
        <w:ind w:firstLine="640" w:firstLineChars="200"/>
        <w:jc w:val="left"/>
        <w:textAlignment w:val="auto"/>
        <w:rPr>
          <w:rFonts w:ascii="仿宋_GB2312" w:eastAsia="仿宋_GB2312" w:hAnsiTheme="minorEastAsia"/>
          <w:sz w:val="28"/>
          <w:szCs w:val="32"/>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本单位无独立核算的下属单位，</w:t>
      </w:r>
      <w:r>
        <w:rPr>
          <w:rFonts w:hint="eastAsia" w:ascii="Times New Roman" w:hAnsi="Times New Roman" w:eastAsia="仿宋_GB2312" w:cs="仿宋_GB2312"/>
          <w:bCs/>
          <w:kern w:val="0"/>
          <w:sz w:val="32"/>
          <w:szCs w:val="32"/>
          <w:lang w:val="en-US" w:eastAsia="zh-CN"/>
        </w:rPr>
        <w:t>2025年度部门决算汇总公开单位仅包括任弼时纪念馆本级</w:t>
      </w:r>
      <w:r>
        <w:rPr>
          <w:rFonts w:hint="eastAsia" w:ascii="Times New Roman" w:hAnsi="Times New Roman" w:eastAsia="仿宋_GB2312" w:cs="仿宋_GB2312"/>
          <w:bCs/>
          <w:kern w:val="0"/>
          <w:sz w:val="32"/>
          <w:szCs w:val="32"/>
        </w:rPr>
        <w:t>。</w:t>
      </w:r>
    </w:p>
    <w:p w14:paraId="1AAC4E19"/>
    <w:p w14:paraId="126DC8E2">
      <w:pPr>
        <w:pStyle w:val="7"/>
      </w:pPr>
    </w:p>
    <w:p w14:paraId="1C966E59">
      <w:pPr>
        <w:pStyle w:val="3"/>
      </w:pPr>
    </w:p>
    <w:p w14:paraId="1D85F05F"/>
    <w:p w14:paraId="51E20116">
      <w:pPr>
        <w:pStyle w:val="7"/>
      </w:pPr>
    </w:p>
    <w:p w14:paraId="35747357">
      <w:pPr>
        <w:pStyle w:val="3"/>
      </w:pPr>
    </w:p>
    <w:p w14:paraId="3CB5A1B9"/>
    <w:p w14:paraId="51483A55">
      <w:pPr>
        <w:pStyle w:val="7"/>
      </w:pPr>
    </w:p>
    <w:p w14:paraId="4EB24F5A">
      <w:pPr>
        <w:pStyle w:val="3"/>
      </w:pPr>
    </w:p>
    <w:p w14:paraId="53F1A9EB"/>
    <w:p w14:paraId="72ED4D38">
      <w:pPr>
        <w:pStyle w:val="7"/>
      </w:pPr>
    </w:p>
    <w:p w14:paraId="5B8D996E">
      <w:pPr>
        <w:pStyle w:val="3"/>
      </w:pPr>
    </w:p>
    <w:p w14:paraId="250FD3B1"/>
    <w:p w14:paraId="2357C49E">
      <w:pPr>
        <w:pStyle w:val="7"/>
      </w:pPr>
    </w:p>
    <w:p w14:paraId="165416B4">
      <w:pPr>
        <w:pStyle w:val="3"/>
      </w:pPr>
    </w:p>
    <w:p w14:paraId="28DBB1B2"/>
    <w:p w14:paraId="152D111C">
      <w:pPr>
        <w:pStyle w:val="7"/>
      </w:pPr>
    </w:p>
    <w:p w14:paraId="7DE3B658">
      <w:pPr>
        <w:pStyle w:val="3"/>
      </w:pPr>
    </w:p>
    <w:p w14:paraId="4A0FCAF2"/>
    <w:p w14:paraId="0F53ABA6">
      <w:pPr>
        <w:pStyle w:val="7"/>
      </w:pPr>
    </w:p>
    <w:p w14:paraId="6394B99A">
      <w:pPr>
        <w:pStyle w:val="3"/>
      </w:pPr>
    </w:p>
    <w:p w14:paraId="39DC2F9B"/>
    <w:p w14:paraId="2FF5158E">
      <w:pPr>
        <w:pStyle w:val="7"/>
      </w:pPr>
    </w:p>
    <w:p w14:paraId="0A2E0049">
      <w:pPr>
        <w:pStyle w:val="3"/>
      </w:pPr>
    </w:p>
    <w:p w14:paraId="43C4F659"/>
    <w:p w14:paraId="05E675F4">
      <w:pPr>
        <w:pStyle w:val="12"/>
        <w:jc w:val="center"/>
        <w:rPr>
          <w:rFonts w:hint="eastAsia" w:ascii="方正小标宋_GBK" w:hAnsi="方正小标宋_GBK" w:eastAsia="方正小标宋_GBK" w:cs="方正小标宋_GBK"/>
          <w:sz w:val="84"/>
          <w:szCs w:val="84"/>
        </w:rPr>
      </w:pPr>
    </w:p>
    <w:p w14:paraId="389C8A90">
      <w:pPr>
        <w:pStyle w:val="12"/>
        <w:jc w:val="center"/>
        <w:rPr>
          <w:rFonts w:hint="eastAsia" w:ascii="方正小标宋_GBK" w:hAnsi="方正小标宋_GBK" w:eastAsia="方正小标宋_GBK" w:cs="方正小标宋_GBK"/>
          <w:sz w:val="84"/>
          <w:szCs w:val="84"/>
        </w:rPr>
      </w:pPr>
    </w:p>
    <w:p w14:paraId="50C0EEE5">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FD91359">
      <w:pPr>
        <w:pStyle w:val="12"/>
        <w:jc w:val="center"/>
        <w:rPr>
          <w:rFonts w:hint="eastAsia" w:ascii="方正小标宋_GBK" w:hAnsi="方正小标宋_GBK" w:eastAsia="方正小标宋_GBK" w:cs="方正小标宋_GBK"/>
          <w:sz w:val="84"/>
          <w:szCs w:val="84"/>
        </w:rPr>
      </w:pPr>
    </w:p>
    <w:p w14:paraId="360CDB13">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7E291403">
      <w:pPr>
        <w:pStyle w:val="12"/>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604028E0">
      <w:pPr>
        <w:pStyle w:val="12"/>
        <w:jc w:val="center"/>
        <w:rPr>
          <w:rFonts w:hint="eastAsia" w:ascii="仿宋_GB2312" w:hAnsi="仿宋_GB2312" w:eastAsia="仿宋_GB2312" w:cs="仿宋_GB2312"/>
          <w:b w:val="0"/>
          <w:bCs w:val="0"/>
          <w:sz w:val="72"/>
          <w:szCs w:val="72"/>
          <w:lang w:eastAsia="zh-CN"/>
        </w:rPr>
      </w:pPr>
    </w:p>
    <w:p w14:paraId="7DCF335F">
      <w:pPr>
        <w:pStyle w:val="12"/>
        <w:jc w:val="center"/>
        <w:rPr>
          <w:rFonts w:hint="eastAsia" w:ascii="仿宋_GB2312" w:hAnsi="仿宋_GB2312" w:eastAsia="仿宋_GB2312" w:cs="仿宋_GB2312"/>
          <w:b w:val="0"/>
          <w:bCs w:val="0"/>
          <w:sz w:val="72"/>
          <w:szCs w:val="72"/>
          <w:lang w:eastAsia="zh-CN"/>
        </w:rPr>
      </w:pPr>
    </w:p>
    <w:p w14:paraId="19B3A873">
      <w:pPr>
        <w:pStyle w:val="12"/>
        <w:jc w:val="center"/>
        <w:rPr>
          <w:rFonts w:hint="eastAsia" w:ascii="仿宋_GB2312" w:hAnsi="仿宋_GB2312" w:eastAsia="仿宋_GB2312" w:cs="仿宋_GB2312"/>
          <w:b w:val="0"/>
          <w:bCs w:val="0"/>
          <w:sz w:val="72"/>
          <w:szCs w:val="72"/>
          <w:lang w:eastAsia="zh-CN"/>
        </w:rPr>
      </w:pPr>
    </w:p>
    <w:p w14:paraId="0C7F215C">
      <w:pPr>
        <w:pStyle w:val="12"/>
        <w:jc w:val="center"/>
        <w:rPr>
          <w:rFonts w:hint="eastAsia" w:ascii="仿宋_GB2312" w:hAnsi="仿宋_GB2312" w:eastAsia="仿宋_GB2312" w:cs="仿宋_GB2312"/>
          <w:b w:val="0"/>
          <w:bCs w:val="0"/>
          <w:sz w:val="72"/>
          <w:szCs w:val="72"/>
          <w:lang w:eastAsia="zh-CN"/>
        </w:rPr>
      </w:pPr>
    </w:p>
    <w:p w14:paraId="706AC334">
      <w:pPr>
        <w:pStyle w:val="12"/>
        <w:jc w:val="center"/>
        <w:rPr>
          <w:rFonts w:hint="eastAsia" w:ascii="仿宋_GB2312" w:hAnsi="仿宋_GB2312" w:eastAsia="仿宋_GB2312" w:cs="仿宋_GB2312"/>
          <w:b w:val="0"/>
          <w:bCs w:val="0"/>
          <w:sz w:val="72"/>
          <w:szCs w:val="72"/>
          <w:lang w:eastAsia="zh-CN"/>
        </w:rPr>
      </w:pPr>
    </w:p>
    <w:p w14:paraId="1EA03C81">
      <w:pPr>
        <w:pStyle w:val="12"/>
        <w:jc w:val="center"/>
        <w:rPr>
          <w:rFonts w:hint="eastAsia" w:ascii="仿宋_GB2312" w:hAnsi="仿宋_GB2312" w:eastAsia="仿宋_GB2312" w:cs="仿宋_GB2312"/>
          <w:b w:val="0"/>
          <w:bCs w:val="0"/>
          <w:sz w:val="72"/>
          <w:szCs w:val="72"/>
          <w:lang w:eastAsia="zh-CN"/>
        </w:rPr>
      </w:pPr>
    </w:p>
    <w:p w14:paraId="1F49C570">
      <w:pPr>
        <w:pStyle w:val="12"/>
        <w:jc w:val="center"/>
        <w:rPr>
          <w:rFonts w:hint="eastAsia" w:ascii="仿宋_GB2312" w:hAnsi="仿宋_GB2312" w:eastAsia="仿宋_GB2312" w:cs="仿宋_GB2312"/>
          <w:b w:val="0"/>
          <w:bCs w:val="0"/>
          <w:sz w:val="72"/>
          <w:szCs w:val="72"/>
          <w:lang w:eastAsia="zh-CN"/>
        </w:rPr>
      </w:pPr>
    </w:p>
    <w:p w14:paraId="626CAFE9">
      <w:pPr>
        <w:pStyle w:val="12"/>
        <w:jc w:val="center"/>
        <w:rPr>
          <w:rFonts w:hint="eastAsia" w:ascii="方正小标宋_GBK" w:hAnsi="方正小标宋_GBK" w:eastAsia="方正小标宋_GBK" w:cs="方正小标宋_GBK"/>
          <w:sz w:val="72"/>
          <w:szCs w:val="72"/>
        </w:rPr>
      </w:pPr>
    </w:p>
    <w:p w14:paraId="19C543A3">
      <w:pPr>
        <w:pStyle w:val="12"/>
        <w:jc w:val="center"/>
        <w:rPr>
          <w:rFonts w:hint="eastAsia" w:ascii="方正小标宋_GBK" w:hAnsi="方正小标宋_GBK" w:eastAsia="方正小标宋_GBK" w:cs="方正小标宋_GBK"/>
          <w:sz w:val="72"/>
          <w:szCs w:val="72"/>
        </w:rPr>
      </w:pPr>
    </w:p>
    <w:p w14:paraId="71B217E3">
      <w:pPr>
        <w:pStyle w:val="12"/>
        <w:jc w:val="both"/>
        <w:rPr>
          <w:rFonts w:hint="eastAsia" w:ascii="方正小标宋_GBK" w:hAnsi="方正小标宋_GBK" w:eastAsia="方正小标宋_GBK" w:cs="方正小标宋_GBK"/>
          <w:sz w:val="72"/>
          <w:szCs w:val="72"/>
        </w:rPr>
      </w:pPr>
    </w:p>
    <w:p w14:paraId="7D42960D">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056398D9">
      <w:pPr>
        <w:pStyle w:val="12"/>
        <w:jc w:val="center"/>
        <w:rPr>
          <w:rFonts w:hint="eastAsia" w:ascii="方正小标宋_GBK" w:hAnsi="方正小标宋_GBK" w:eastAsia="方正小标宋_GBK" w:cs="方正小标宋_GBK"/>
          <w:sz w:val="70"/>
          <w:szCs w:val="70"/>
        </w:rPr>
      </w:pPr>
    </w:p>
    <w:p w14:paraId="66EC5B6A">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6A6F9277">
      <w:pPr>
        <w:pStyle w:val="12"/>
        <w:jc w:val="center"/>
        <w:rPr>
          <w:rFonts w:hint="eastAsia" w:ascii="方正小标宋_GBK" w:hAnsi="方正小标宋_GBK" w:eastAsia="方正小标宋_GBK" w:cs="方正小标宋_GBK"/>
          <w:sz w:val="70"/>
          <w:szCs w:val="70"/>
        </w:rPr>
      </w:pPr>
    </w:p>
    <w:p w14:paraId="647D3E82">
      <w:pPr>
        <w:pStyle w:val="12"/>
        <w:jc w:val="center"/>
        <w:rPr>
          <w:rFonts w:hint="eastAsia" w:ascii="方正小标宋_GBK" w:hAnsi="方正小标宋_GBK" w:eastAsia="方正小标宋_GBK" w:cs="方正小标宋_GBK"/>
          <w:sz w:val="70"/>
          <w:szCs w:val="70"/>
        </w:rPr>
      </w:pPr>
    </w:p>
    <w:p w14:paraId="425D5E97">
      <w:pPr>
        <w:pStyle w:val="12"/>
        <w:jc w:val="center"/>
        <w:rPr>
          <w:rFonts w:hint="eastAsia" w:ascii="方正小标宋_GBK" w:hAnsi="方正小标宋_GBK" w:eastAsia="方正小标宋_GBK" w:cs="方正小标宋_GBK"/>
          <w:sz w:val="70"/>
          <w:szCs w:val="70"/>
        </w:rPr>
      </w:pPr>
    </w:p>
    <w:p w14:paraId="333141B2">
      <w:pPr>
        <w:pStyle w:val="12"/>
        <w:jc w:val="center"/>
        <w:rPr>
          <w:rFonts w:hint="eastAsia" w:ascii="方正小标宋_GBK" w:hAnsi="方正小标宋_GBK" w:eastAsia="方正小标宋_GBK" w:cs="方正小标宋_GBK"/>
          <w:sz w:val="70"/>
          <w:szCs w:val="70"/>
        </w:rPr>
      </w:pPr>
    </w:p>
    <w:p w14:paraId="4D40358F">
      <w:pPr>
        <w:pStyle w:val="12"/>
        <w:jc w:val="center"/>
        <w:rPr>
          <w:rFonts w:hint="eastAsia" w:ascii="方正小标宋_GBK" w:hAnsi="方正小标宋_GBK" w:eastAsia="方正小标宋_GBK" w:cs="方正小标宋_GBK"/>
          <w:sz w:val="70"/>
          <w:szCs w:val="70"/>
        </w:rPr>
      </w:pPr>
    </w:p>
    <w:p w14:paraId="05E6C796">
      <w:pPr>
        <w:pStyle w:val="12"/>
        <w:jc w:val="center"/>
        <w:rPr>
          <w:rFonts w:hint="eastAsia" w:ascii="方正小标宋_GBK" w:hAnsi="方正小标宋_GBK" w:eastAsia="方正小标宋_GBK" w:cs="方正小标宋_GBK"/>
          <w:sz w:val="70"/>
          <w:szCs w:val="70"/>
        </w:rPr>
      </w:pPr>
    </w:p>
    <w:p w14:paraId="1AE750B5">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70C5F1C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SimHei" w:hAnsi="SimHei" w:eastAsia="SimHei" w:cs="SimHei"/>
          <w:b w:val="0"/>
          <w:bCs/>
          <w:sz w:val="32"/>
          <w:szCs w:val="32"/>
        </w:rPr>
      </w:pPr>
      <w:r>
        <w:rPr>
          <w:rFonts w:hint="eastAsia" w:ascii="SimHei" w:hAnsi="SimHei" w:eastAsia="SimHei" w:cs="SimHei"/>
          <w:b w:val="0"/>
          <w:bCs/>
          <w:sz w:val="32"/>
          <w:szCs w:val="32"/>
        </w:rPr>
        <w:t>一、收入支出决算总体情况说明</w:t>
      </w:r>
    </w:p>
    <w:p w14:paraId="7BEEC4C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2835.89</w:t>
      </w:r>
      <w:r>
        <w:rPr>
          <w:rFonts w:hint="eastAsia" w:ascii="仿宋_GB2312" w:hAnsi="仿宋_GB2312" w:eastAsia="仿宋_GB2312" w:cs="仿宋_GB2312"/>
          <w:sz w:val="32"/>
          <w:szCs w:val="32"/>
        </w:rPr>
        <w:t>万元。与上年相比，减少</w:t>
      </w:r>
      <w:r>
        <w:rPr>
          <w:rFonts w:hint="eastAsia" w:ascii="仿宋_GB2312" w:hAnsi="仿宋_GB2312" w:eastAsia="仿宋_GB2312" w:cs="仿宋_GB2312"/>
          <w:sz w:val="32"/>
          <w:szCs w:val="32"/>
          <w:lang w:val="en-US" w:eastAsia="zh-CN"/>
        </w:rPr>
        <w:t>323.26</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10.23</w:t>
      </w:r>
      <w:r>
        <w:rPr>
          <w:rFonts w:hint="eastAsia" w:ascii="仿宋_GB2312" w:hAnsi="仿宋_GB2312" w:eastAsia="仿宋_GB2312" w:cs="仿宋_GB2312"/>
          <w:sz w:val="32"/>
          <w:szCs w:val="32"/>
        </w:rPr>
        <w:t>%，主要是因为2024年度适逢任弼时同志诞辰120周年，争取上级项目资金和财政支持较多，上年收支基数较高；2025年度该项重大纪念活动结束，相关项目资金安排相应减少，收支总计同比相应下降。</w:t>
      </w:r>
    </w:p>
    <w:p w14:paraId="0CD2599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SimHei" w:hAnsi="SimHei" w:eastAsia="SimHei" w:cs="SimHei"/>
          <w:b w:val="0"/>
          <w:bCs/>
          <w:sz w:val="32"/>
          <w:szCs w:val="32"/>
        </w:rPr>
      </w:pPr>
      <w:r>
        <w:rPr>
          <w:rFonts w:hint="eastAsia" w:ascii="SimHei" w:hAnsi="SimHei" w:eastAsia="SimHei" w:cs="SimHei"/>
          <w:b w:val="0"/>
          <w:bCs/>
          <w:sz w:val="32"/>
          <w:szCs w:val="32"/>
        </w:rPr>
        <w:t>二、收入决算情况说明</w:t>
      </w:r>
    </w:p>
    <w:p w14:paraId="2273FAE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度收入合计2785.33万元，其中：财政拨款收入2769.73万元，占</w:t>
      </w:r>
      <w:r>
        <w:rPr>
          <w:rFonts w:hint="eastAsia" w:ascii="仿宋_GB2312" w:hAnsi="仿宋_GB2312" w:eastAsia="仿宋_GB2312" w:cs="仿宋_GB2312"/>
          <w:sz w:val="32"/>
          <w:szCs w:val="32"/>
          <w:lang w:val="en-US" w:eastAsia="zh-CN"/>
        </w:rPr>
        <w:t>99.44</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15.60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0.56</w:t>
      </w:r>
      <w:r>
        <w:rPr>
          <w:rFonts w:hint="eastAsia" w:ascii="仿宋_GB2312" w:hAnsi="仿宋_GB2312" w:eastAsia="仿宋_GB2312" w:cs="仿宋_GB2312"/>
          <w:sz w:val="32"/>
          <w:szCs w:val="32"/>
        </w:rPr>
        <w:t>%。</w:t>
      </w:r>
    </w:p>
    <w:p w14:paraId="59E506C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SimHei" w:hAnsi="SimHei" w:eastAsia="SimHei" w:cs="SimHei"/>
          <w:b w:val="0"/>
          <w:bCs/>
          <w:sz w:val="32"/>
          <w:szCs w:val="32"/>
        </w:rPr>
      </w:pPr>
      <w:r>
        <w:rPr>
          <w:rFonts w:hint="eastAsia" w:ascii="SimHei" w:hAnsi="SimHei" w:eastAsia="SimHei" w:cs="SimHei"/>
          <w:b w:val="0"/>
          <w:bCs/>
          <w:sz w:val="32"/>
          <w:szCs w:val="32"/>
        </w:rPr>
        <w:t>三、支出决算情况说明</w:t>
      </w:r>
    </w:p>
    <w:p w14:paraId="286CA9B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度支出合计2819.4</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万元，其中：基本支出580.68万元，占</w:t>
      </w:r>
      <w:r>
        <w:rPr>
          <w:rFonts w:hint="eastAsia" w:ascii="仿宋_GB2312" w:hAnsi="仿宋_GB2312" w:eastAsia="仿宋_GB2312" w:cs="仿宋_GB2312"/>
          <w:sz w:val="32"/>
          <w:szCs w:val="32"/>
          <w:lang w:val="en-US" w:eastAsia="zh-CN"/>
        </w:rPr>
        <w:t>20.60</w:t>
      </w:r>
      <w:r>
        <w:rPr>
          <w:rFonts w:hint="eastAsia" w:ascii="仿宋_GB2312" w:hAnsi="仿宋_GB2312" w:eastAsia="仿宋_GB2312" w:cs="仿宋_GB2312"/>
          <w:sz w:val="32"/>
          <w:szCs w:val="32"/>
        </w:rPr>
        <w:t>%；项目支出2238.72万元，占</w:t>
      </w:r>
      <w:r>
        <w:rPr>
          <w:rFonts w:hint="eastAsia" w:ascii="仿宋_GB2312" w:hAnsi="仿宋_GB2312" w:eastAsia="仿宋_GB2312" w:cs="仿宋_GB2312"/>
          <w:sz w:val="32"/>
          <w:szCs w:val="32"/>
          <w:lang w:val="en-US" w:eastAsia="zh-CN"/>
        </w:rPr>
        <w:t>79.40</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60C1482C">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SimHei" w:hAnsi="SimHei" w:eastAsia="SimHei" w:cs="SimHei"/>
          <w:b w:val="0"/>
          <w:bCs/>
          <w:sz w:val="32"/>
          <w:szCs w:val="32"/>
        </w:rPr>
      </w:pPr>
      <w:r>
        <w:rPr>
          <w:rFonts w:hint="eastAsia" w:ascii="SimHei" w:hAnsi="SimHei" w:eastAsia="SimHei" w:cs="SimHei"/>
          <w:b w:val="0"/>
          <w:bCs/>
          <w:sz w:val="32"/>
          <w:szCs w:val="32"/>
        </w:rPr>
        <w:t>四、财政拨款收入支出决算总体情况说明</w:t>
      </w:r>
    </w:p>
    <w:p w14:paraId="531DA926">
      <w:pPr>
        <w:pStyle w:val="12"/>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 w:val="32"/>
          <w:szCs w:val="32"/>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度财政拨款收、支总计2769.73万元，与上年相比，减少</w:t>
      </w:r>
      <w:r>
        <w:rPr>
          <w:rFonts w:hint="eastAsia" w:ascii="仿宋_GB2312" w:hAnsi="仿宋_GB2312" w:eastAsia="仿宋_GB2312" w:cs="仿宋_GB2312"/>
          <w:sz w:val="32"/>
          <w:szCs w:val="32"/>
          <w:lang w:val="en-US" w:eastAsia="zh-CN"/>
        </w:rPr>
        <w:t>279.4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val="en-US" w:eastAsia="zh-CN"/>
        </w:rPr>
        <w:t>9.16</w:t>
      </w:r>
      <w:r>
        <w:rPr>
          <w:rFonts w:hint="eastAsia" w:ascii="仿宋_GB2312" w:hAnsi="仿宋_GB2312" w:eastAsia="仿宋_GB2312" w:cs="仿宋_GB2312"/>
          <w:sz w:val="32"/>
          <w:szCs w:val="32"/>
        </w:rPr>
        <w:t>%，主要是因为2024年度适逢任弼时同志诞辰120周年，争取上级项目资金和财政支持较多，上年</w:t>
      </w:r>
      <w:r>
        <w:rPr>
          <w:rFonts w:hint="eastAsia" w:ascii="仿宋_GB2312" w:hAnsi="仿宋_GB2312" w:eastAsia="仿宋_GB2312" w:cs="仿宋_GB2312"/>
          <w:sz w:val="32"/>
          <w:szCs w:val="32"/>
          <w:lang w:eastAsia="zh-CN"/>
        </w:rPr>
        <w:t>收入</w:t>
      </w:r>
      <w:r>
        <w:rPr>
          <w:rFonts w:hint="eastAsia" w:ascii="仿宋_GB2312" w:hAnsi="仿宋_GB2312" w:eastAsia="仿宋_GB2312" w:cs="仿宋_GB2312"/>
          <w:sz w:val="32"/>
          <w:szCs w:val="32"/>
        </w:rPr>
        <w:t>基数较高；2025年度该项重大纪念活动结束，相关项目资金安排相应减少，</w:t>
      </w:r>
      <w:r>
        <w:rPr>
          <w:rFonts w:hint="eastAsia" w:ascii="仿宋_GB2312" w:hAnsi="仿宋_GB2312" w:eastAsia="仿宋_GB2312" w:cs="仿宋_GB2312"/>
          <w:sz w:val="32"/>
          <w:szCs w:val="32"/>
          <w:lang w:eastAsia="zh-CN"/>
        </w:rPr>
        <w:t>收入</w:t>
      </w:r>
      <w:r>
        <w:rPr>
          <w:rFonts w:hint="eastAsia" w:ascii="仿宋_GB2312" w:hAnsi="仿宋_GB2312" w:eastAsia="仿宋_GB2312" w:cs="仿宋_GB2312"/>
          <w:sz w:val="32"/>
          <w:szCs w:val="32"/>
        </w:rPr>
        <w:t>总计同比相应下降。</w:t>
      </w:r>
    </w:p>
    <w:p w14:paraId="2F9312D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SimHei" w:hAnsi="SimHei" w:eastAsia="SimHei" w:cs="SimHei"/>
          <w:b w:val="0"/>
          <w:bCs/>
          <w:sz w:val="32"/>
          <w:szCs w:val="32"/>
        </w:rPr>
      </w:pPr>
      <w:r>
        <w:rPr>
          <w:rFonts w:hint="eastAsia" w:ascii="SimHei" w:hAnsi="SimHei" w:eastAsia="SimHei" w:cs="SimHei"/>
          <w:b w:val="0"/>
          <w:bCs/>
          <w:sz w:val="32"/>
          <w:szCs w:val="32"/>
        </w:rPr>
        <w:t>五、一般公共预算财政拨款支出决算情况说明</w:t>
      </w:r>
    </w:p>
    <w:p w14:paraId="30B0455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204BAB4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度财政拨款支出2769.73万元，占本年支出合计的</w:t>
      </w:r>
      <w:r>
        <w:rPr>
          <w:rFonts w:hint="eastAsia" w:ascii="仿宋_GB2312" w:hAnsi="仿宋_GB2312" w:eastAsia="仿宋_GB2312" w:cs="仿宋_GB2312"/>
          <w:sz w:val="32"/>
          <w:szCs w:val="32"/>
          <w:lang w:val="en-US" w:eastAsia="zh-CN"/>
        </w:rPr>
        <w:t>98.24</w:t>
      </w:r>
      <w:r>
        <w:rPr>
          <w:rFonts w:hint="eastAsia" w:ascii="仿宋_GB2312" w:hAnsi="仿宋_GB2312" w:eastAsia="仿宋_GB2312" w:cs="仿宋_GB2312"/>
          <w:sz w:val="32"/>
          <w:szCs w:val="32"/>
        </w:rPr>
        <w:t>%，与上年相比，财政拨款支出减少</w:t>
      </w:r>
      <w:r>
        <w:rPr>
          <w:rFonts w:hint="eastAsia" w:ascii="仿宋_GB2312" w:hAnsi="仿宋_GB2312" w:eastAsia="仿宋_GB2312" w:cs="仿宋_GB2312"/>
          <w:sz w:val="32"/>
          <w:szCs w:val="32"/>
          <w:lang w:val="en-US" w:eastAsia="zh-CN"/>
        </w:rPr>
        <w:t>279.40</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9.16</w:t>
      </w:r>
      <w:r>
        <w:rPr>
          <w:rFonts w:hint="eastAsia" w:ascii="仿宋_GB2312" w:hAnsi="仿宋_GB2312" w:eastAsia="仿宋_GB2312" w:cs="仿宋_GB2312"/>
          <w:sz w:val="32"/>
          <w:szCs w:val="32"/>
        </w:rPr>
        <w:t>%，主要是因为2024年度适逢任弼时同志诞辰120周年，争取上级项目资金和财政支持较多，上年</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基数较高；2025年度该项重大纪念活动结束，相关项目资金安排相应减少，</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总计同比相应下降。</w:t>
      </w:r>
    </w:p>
    <w:p w14:paraId="4B69FAA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617212A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度财政拨款支出2769.73万元，主要用于以下方面：一般公共服务（类）支出244.35万元，占</w:t>
      </w:r>
      <w:r>
        <w:rPr>
          <w:rFonts w:hint="eastAsia" w:ascii="仿宋_GB2312" w:hAnsi="仿宋_GB2312" w:eastAsia="仿宋_GB2312" w:cs="仿宋_GB2312"/>
          <w:sz w:val="32"/>
          <w:szCs w:val="32"/>
          <w:lang w:val="en-US" w:eastAsia="zh-CN"/>
        </w:rPr>
        <w:t>8.82</w:t>
      </w:r>
      <w:r>
        <w:rPr>
          <w:rFonts w:hint="eastAsia" w:ascii="仿宋_GB2312" w:hAnsi="仿宋_GB2312" w:eastAsia="仿宋_GB2312" w:cs="仿宋_GB2312"/>
          <w:sz w:val="32"/>
          <w:szCs w:val="32"/>
        </w:rPr>
        <w:t>%；文化旅游体育与传媒支出（类）支出2412.47万元，占</w:t>
      </w:r>
      <w:r>
        <w:rPr>
          <w:rFonts w:hint="eastAsia" w:ascii="仿宋_GB2312" w:hAnsi="仿宋_GB2312" w:eastAsia="仿宋_GB2312" w:cs="仿宋_GB2312"/>
          <w:sz w:val="32"/>
          <w:szCs w:val="32"/>
          <w:lang w:val="en-US" w:eastAsia="zh-CN"/>
        </w:rPr>
        <w:t>87.10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社会保障和就业（类）支出</w:t>
      </w:r>
      <w:r>
        <w:rPr>
          <w:rFonts w:hint="eastAsia" w:ascii="仿宋_GB2312" w:hAnsi="仿宋_GB2312" w:eastAsia="仿宋_GB2312" w:cs="仿宋_GB2312"/>
          <w:sz w:val="32"/>
          <w:szCs w:val="32"/>
          <w:lang w:val="en-US" w:eastAsia="zh-CN"/>
        </w:rPr>
        <w:t>79.53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2.88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；住房保障</w:t>
      </w:r>
      <w:r>
        <w:rPr>
          <w:rFonts w:hint="eastAsia" w:ascii="仿宋_GB2312" w:hAnsi="仿宋_GB2312" w:eastAsia="仿宋_GB2312" w:cs="仿宋_GB2312"/>
          <w:sz w:val="32"/>
          <w:szCs w:val="32"/>
        </w:rPr>
        <w:t>（类）支出</w:t>
      </w:r>
      <w:r>
        <w:rPr>
          <w:rFonts w:hint="eastAsia" w:ascii="仿宋_GB2312" w:hAnsi="仿宋_GB2312" w:eastAsia="仿宋_GB2312" w:cs="仿宋_GB2312"/>
          <w:sz w:val="32"/>
          <w:szCs w:val="32"/>
          <w:lang w:val="en-US" w:eastAsia="zh-CN"/>
        </w:rPr>
        <w:t>33.39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1.20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7EDD6BA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（三）一般公共预算财政拨款支出决算具体情况</w:t>
      </w:r>
    </w:p>
    <w:p w14:paraId="45D06AA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531.28</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2769.73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521.33</w:t>
      </w:r>
      <w:r>
        <w:rPr>
          <w:rFonts w:hint="eastAsia" w:ascii="仿宋_GB2312" w:hAnsi="仿宋_GB2312" w:eastAsia="仿宋_GB2312" w:cs="仿宋_GB2312"/>
          <w:sz w:val="32"/>
          <w:szCs w:val="32"/>
        </w:rPr>
        <w:t>%，其中：</w:t>
      </w:r>
    </w:p>
    <w:p w14:paraId="26641308">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 w:hAnsi="仿宋" w:eastAsia="仿宋"/>
          <w:color w:val="auto"/>
          <w:sz w:val="32"/>
          <w:szCs w:val="24"/>
          <w:lang w:val="en-US"/>
        </w:rPr>
        <w:t>一般公共服务支出（类）党委办公厅（室）及相关机构事务（款）行政运行（项）</w:t>
      </w:r>
      <w:r>
        <w:rPr>
          <w:rFonts w:hint="eastAsia" w:ascii="仿宋_GB2312" w:hAnsi="仿宋_GB2312" w:eastAsia="仿宋_GB2312" w:cs="仿宋_GB2312"/>
          <w:sz w:val="32"/>
          <w:szCs w:val="32"/>
        </w:rPr>
        <w:t>。</w:t>
      </w:r>
    </w:p>
    <w:p w14:paraId="4087EB19">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12.14</w:t>
      </w:r>
      <w:r>
        <w:rPr>
          <w:rFonts w:hint="eastAsia" w:ascii="仿宋_GB2312" w:hAnsi="仿宋_GB2312" w:eastAsia="仿宋_GB2312" w:cs="仿宋_GB2312"/>
          <w:sz w:val="32"/>
          <w:szCs w:val="32"/>
        </w:rPr>
        <w:t>万元，</w:t>
      </w:r>
      <w:r>
        <w:rPr>
          <w:rFonts w:hint="eastAsia" w:ascii="仿宋" w:hAnsi="仿宋" w:eastAsia="仿宋"/>
          <w:color w:val="auto"/>
          <w:sz w:val="32"/>
          <w:szCs w:val="24"/>
          <w:lang w:val="en-US"/>
        </w:rPr>
        <w:t>因预算数为0，无法计算百分比</w:t>
      </w:r>
      <w:r>
        <w:rPr>
          <w:rFonts w:hint="eastAsia" w:ascii="仿宋_GB2312" w:hAnsi="仿宋_GB2312" w:eastAsia="仿宋_GB2312" w:cs="仿宋_GB2312"/>
          <w:sz w:val="32"/>
          <w:szCs w:val="32"/>
        </w:rPr>
        <w:t>的主要原因是：</w:t>
      </w:r>
      <w:r>
        <w:rPr>
          <w:rFonts w:hint="eastAsia" w:ascii="仿宋_GB2312" w:hAnsi="仿宋_GB2312" w:eastAsia="仿宋_GB2312" w:cs="仿宋_GB2312"/>
          <w:sz w:val="32"/>
          <w:szCs w:val="32"/>
          <w:lang w:eastAsia="zh-CN"/>
        </w:rPr>
        <w:t>年中追加预算。</w:t>
      </w:r>
    </w:p>
    <w:p w14:paraId="44F22307">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olor w:val="auto"/>
          <w:sz w:val="32"/>
          <w:szCs w:val="24"/>
          <w:lang w:val="en-US"/>
        </w:rPr>
      </w:pPr>
      <w:r>
        <w:rPr>
          <w:rFonts w:hint="eastAsia" w:ascii="仿宋_GB2312" w:hAnsi="仿宋_GB2312" w:eastAsia="仿宋_GB2312" w:cs="仿宋_GB2312"/>
          <w:sz w:val="32"/>
          <w:szCs w:val="32"/>
          <w:lang w:val="en-US" w:eastAsia="zh-CN"/>
        </w:rPr>
        <w:t>2、</w:t>
      </w:r>
      <w:r>
        <w:rPr>
          <w:rFonts w:hint="eastAsia" w:ascii="仿宋" w:hAnsi="仿宋" w:eastAsia="仿宋"/>
          <w:color w:val="auto"/>
          <w:sz w:val="32"/>
          <w:szCs w:val="24"/>
          <w:lang w:val="en-US"/>
        </w:rPr>
        <w:t>一般公共服务支出（类）党委办公厅（室）及相关机构事务（款）</w:t>
      </w:r>
      <w:r>
        <w:rPr>
          <w:rFonts w:hint="eastAsia" w:ascii="仿宋" w:hAnsi="仿宋" w:eastAsia="仿宋"/>
          <w:color w:val="auto"/>
          <w:sz w:val="32"/>
          <w:szCs w:val="24"/>
          <w:lang w:val="en-US" w:eastAsia="zh-CN"/>
        </w:rPr>
        <w:t>行政运行</w:t>
      </w:r>
      <w:r>
        <w:rPr>
          <w:rFonts w:hint="eastAsia" w:ascii="仿宋" w:hAnsi="仿宋" w:eastAsia="仿宋"/>
          <w:color w:val="auto"/>
          <w:sz w:val="32"/>
          <w:szCs w:val="24"/>
          <w:lang w:val="en-US"/>
        </w:rPr>
        <w:t>（项）。</w:t>
      </w:r>
    </w:p>
    <w:p w14:paraId="25105F2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_GB2312"/>
          <w:color w:val="auto"/>
          <w:sz w:val="32"/>
          <w:szCs w:val="24"/>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10.7</w:t>
      </w:r>
      <w:r>
        <w:rPr>
          <w:rFonts w:hint="eastAsia" w:ascii="仿宋_GB2312" w:hAnsi="仿宋_GB2312" w:eastAsia="仿宋_GB2312" w:cs="仿宋_GB2312"/>
          <w:sz w:val="32"/>
          <w:szCs w:val="32"/>
        </w:rPr>
        <w:t>万元，</w:t>
      </w:r>
      <w:r>
        <w:rPr>
          <w:rFonts w:hint="eastAsia" w:ascii="仿宋" w:hAnsi="仿宋" w:eastAsia="仿宋"/>
          <w:color w:val="auto"/>
          <w:sz w:val="32"/>
          <w:szCs w:val="24"/>
          <w:lang w:val="en-US"/>
        </w:rPr>
        <w:t>因预算数为0，无法计算百分比</w:t>
      </w:r>
      <w:r>
        <w:rPr>
          <w:rFonts w:hint="eastAsia" w:ascii="仿宋_GB2312" w:hAnsi="仿宋_GB2312" w:eastAsia="仿宋_GB2312" w:cs="仿宋_GB2312"/>
          <w:sz w:val="32"/>
          <w:szCs w:val="32"/>
        </w:rPr>
        <w:t>的主要原因是：</w:t>
      </w:r>
      <w:r>
        <w:rPr>
          <w:rFonts w:hint="eastAsia" w:ascii="仿宋_GB2312" w:hAnsi="仿宋_GB2312" w:eastAsia="仿宋_GB2312" w:cs="仿宋_GB2312"/>
          <w:sz w:val="32"/>
          <w:szCs w:val="32"/>
          <w:lang w:eastAsia="zh-CN"/>
        </w:rPr>
        <w:t>年中追加预算。</w:t>
      </w:r>
    </w:p>
    <w:p w14:paraId="3EF3BF3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 w:hAnsi="仿宋" w:eastAsia="仿宋"/>
          <w:color w:val="auto"/>
          <w:sz w:val="32"/>
          <w:szCs w:val="24"/>
          <w:lang w:val="en-US"/>
        </w:rPr>
        <w:t>一般公共服务支出（类）党委办公厅（室）及相关机构事务（款）其他党委办公厅（室）及相关机构事务支出（项）</w:t>
      </w:r>
      <w:r>
        <w:rPr>
          <w:rFonts w:hint="eastAsia" w:ascii="仿宋_GB2312" w:hAnsi="仿宋_GB2312" w:eastAsia="仿宋_GB2312" w:cs="仿宋_GB2312"/>
          <w:sz w:val="32"/>
          <w:szCs w:val="32"/>
        </w:rPr>
        <w:t>。</w:t>
      </w:r>
    </w:p>
    <w:p w14:paraId="2C5C206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34.53</w:t>
      </w:r>
      <w:r>
        <w:rPr>
          <w:rFonts w:hint="eastAsia" w:ascii="仿宋_GB2312" w:hAnsi="仿宋_GB2312" w:eastAsia="仿宋_GB2312" w:cs="仿宋_GB2312"/>
          <w:sz w:val="32"/>
          <w:szCs w:val="32"/>
        </w:rPr>
        <w:t>万元，</w:t>
      </w:r>
      <w:r>
        <w:rPr>
          <w:rFonts w:hint="eastAsia" w:ascii="仿宋" w:hAnsi="仿宋" w:eastAsia="仿宋"/>
          <w:color w:val="auto"/>
          <w:sz w:val="32"/>
          <w:szCs w:val="24"/>
          <w:lang w:val="en-US"/>
        </w:rPr>
        <w:t>因预算数为0，无法计算百分比</w:t>
      </w:r>
      <w:r>
        <w:rPr>
          <w:rFonts w:hint="eastAsia" w:ascii="仿宋_GB2312" w:hAnsi="仿宋_GB2312" w:eastAsia="仿宋_GB2312" w:cs="仿宋_GB2312"/>
          <w:sz w:val="32"/>
          <w:szCs w:val="32"/>
        </w:rPr>
        <w:t>的主要原因是：</w:t>
      </w:r>
      <w:r>
        <w:rPr>
          <w:rFonts w:hint="eastAsia" w:ascii="仿宋_GB2312" w:hAnsi="仿宋_GB2312" w:eastAsia="仿宋_GB2312" w:cs="仿宋_GB2312"/>
          <w:sz w:val="32"/>
          <w:szCs w:val="32"/>
          <w:lang w:eastAsia="zh-CN"/>
        </w:rPr>
        <w:t>年中追加预算。</w:t>
      </w:r>
    </w:p>
    <w:p w14:paraId="57C7A66D">
      <w:pPr>
        <w:keepNext/>
        <w:keepLines/>
        <w:pageBreakBefore w:val="0"/>
        <w:widowControl w:val="0"/>
        <w:kinsoku/>
        <w:wordWrap/>
        <w:overflowPunct/>
        <w:topLinePunct w:val="0"/>
        <w:autoSpaceDE/>
        <w:autoSpaceDN/>
        <w:bidi w:val="0"/>
        <w:adjustRightInd/>
        <w:snapToGrid/>
        <w:spacing w:beforeLines="0" w:afterLines="0"/>
        <w:ind w:firstLine="640" w:firstLineChars="200"/>
        <w:textAlignment w:val="auto"/>
        <w:rPr>
          <w:rFonts w:hint="eastAsia" w:ascii="仿宋" w:hAnsi="仿宋" w:eastAsia="仿宋"/>
          <w:color w:val="auto"/>
          <w:sz w:val="32"/>
          <w:szCs w:val="24"/>
          <w:lang w:val="en-US"/>
        </w:rPr>
      </w:pPr>
      <w:r>
        <w:rPr>
          <w:rFonts w:hint="eastAsia" w:ascii="仿宋_GB2312" w:hAnsi="仿宋_GB2312" w:eastAsia="仿宋_GB2312" w:cs="仿宋_GB2312"/>
          <w:color w:val="000000"/>
          <w:kern w:val="0"/>
          <w:sz w:val="32"/>
          <w:szCs w:val="32"/>
          <w:lang w:val="en-US" w:eastAsia="zh-CN" w:bidi="ar-SA"/>
        </w:rPr>
        <w:t>4、</w:t>
      </w:r>
      <w:r>
        <w:rPr>
          <w:rFonts w:hint="eastAsia" w:ascii="仿宋" w:hAnsi="仿宋" w:eastAsia="仿宋"/>
          <w:color w:val="auto"/>
          <w:sz w:val="32"/>
          <w:szCs w:val="24"/>
          <w:lang w:val="en-US"/>
        </w:rPr>
        <w:t>一般公共服务支出（类）</w:t>
      </w:r>
      <w:r>
        <w:rPr>
          <w:rFonts w:hint="eastAsia" w:ascii="仿宋" w:hAnsi="仿宋" w:eastAsia="仿宋"/>
          <w:color w:val="auto"/>
          <w:sz w:val="32"/>
          <w:szCs w:val="24"/>
          <w:lang w:val="en-US" w:eastAsia="zh-CN"/>
        </w:rPr>
        <w:t>组织事务</w:t>
      </w:r>
      <w:r>
        <w:rPr>
          <w:rFonts w:hint="eastAsia" w:ascii="仿宋" w:hAnsi="仿宋" w:eastAsia="仿宋"/>
          <w:color w:val="auto"/>
          <w:sz w:val="32"/>
          <w:szCs w:val="24"/>
          <w:lang w:val="en-US"/>
        </w:rPr>
        <w:t>（款）其他</w:t>
      </w:r>
      <w:r>
        <w:rPr>
          <w:rFonts w:hint="eastAsia" w:ascii="仿宋" w:hAnsi="仿宋" w:eastAsia="仿宋"/>
          <w:color w:val="auto"/>
          <w:sz w:val="32"/>
          <w:szCs w:val="24"/>
          <w:lang w:val="en-US" w:eastAsia="zh-CN"/>
        </w:rPr>
        <w:t>组织事务</w:t>
      </w:r>
      <w:r>
        <w:rPr>
          <w:rFonts w:hint="eastAsia" w:ascii="仿宋" w:hAnsi="仿宋" w:eastAsia="仿宋"/>
          <w:color w:val="auto"/>
          <w:sz w:val="32"/>
          <w:szCs w:val="24"/>
          <w:lang w:val="en-US"/>
        </w:rPr>
        <w:t>支出（项）。</w:t>
      </w:r>
    </w:p>
    <w:p w14:paraId="3385953C">
      <w:pPr>
        <w:keepNext/>
        <w:keepLines/>
        <w:pageBreakBefore w:val="0"/>
        <w:widowControl w:val="0"/>
        <w:kinsoku/>
        <w:wordWrap/>
        <w:overflowPunct/>
        <w:topLinePunct w:val="0"/>
        <w:autoSpaceDE/>
        <w:autoSpaceDN/>
        <w:bidi w:val="0"/>
        <w:adjustRightInd/>
        <w:snapToGrid/>
        <w:spacing w:beforeLines="0" w:afterLines="0"/>
        <w:ind w:firstLine="640" w:firstLineChars="200"/>
        <w:textAlignment w:val="auto"/>
        <w:rPr>
          <w:rFonts w:hint="eastAsia" w:ascii="仿宋" w:hAnsi="仿宋" w:eastAsia="仿宋"/>
          <w:color w:val="auto"/>
          <w:sz w:val="32"/>
          <w:szCs w:val="24"/>
          <w:lang w:val="en-US" w:eastAsia="zh-CN"/>
        </w:rPr>
      </w:pPr>
      <w:r>
        <w:rPr>
          <w:rFonts w:hint="eastAsia" w:ascii="仿宋" w:hAnsi="仿宋" w:eastAsia="仿宋"/>
          <w:color w:val="auto"/>
          <w:sz w:val="32"/>
          <w:szCs w:val="24"/>
          <w:lang w:val="en-US"/>
        </w:rPr>
        <w:t>年初预算为0万元，支出决算为</w:t>
      </w:r>
      <w:r>
        <w:rPr>
          <w:rFonts w:hint="eastAsia" w:ascii="仿宋" w:hAnsi="仿宋" w:eastAsia="仿宋"/>
          <w:color w:val="auto"/>
          <w:sz w:val="32"/>
          <w:szCs w:val="24"/>
          <w:lang w:val="en-US" w:eastAsia="zh-CN"/>
        </w:rPr>
        <w:t>24.87</w:t>
      </w:r>
      <w:r>
        <w:rPr>
          <w:rFonts w:hint="eastAsia" w:ascii="仿宋" w:hAnsi="仿宋" w:eastAsia="仿宋"/>
          <w:color w:val="auto"/>
          <w:sz w:val="32"/>
          <w:szCs w:val="24"/>
          <w:lang w:val="en-US"/>
        </w:rPr>
        <w:t>万元，因预算数为0，无法计算百分比，主要原因是：</w:t>
      </w:r>
      <w:r>
        <w:rPr>
          <w:rFonts w:hint="eastAsia" w:ascii="仿宋" w:hAnsi="仿宋" w:eastAsia="仿宋"/>
          <w:color w:val="auto"/>
          <w:sz w:val="32"/>
          <w:szCs w:val="24"/>
          <w:lang w:val="en-US" w:eastAsia="zh-CN"/>
        </w:rPr>
        <w:t>年中追加预算。</w:t>
      </w:r>
    </w:p>
    <w:p w14:paraId="75A5924C">
      <w:pPr>
        <w:keepNext/>
        <w:keepLines/>
        <w:pageBreakBefore w:val="0"/>
        <w:widowControl w:val="0"/>
        <w:kinsoku/>
        <w:wordWrap/>
        <w:overflowPunct/>
        <w:topLinePunct w:val="0"/>
        <w:autoSpaceDE/>
        <w:autoSpaceDN/>
        <w:bidi w:val="0"/>
        <w:adjustRightInd/>
        <w:snapToGrid/>
        <w:spacing w:beforeLines="0" w:afterLines="0"/>
        <w:ind w:firstLine="640" w:firstLineChars="200"/>
        <w:textAlignment w:val="auto"/>
        <w:rPr>
          <w:rFonts w:hint="eastAsia" w:ascii="仿宋" w:hAnsi="仿宋" w:eastAsia="仿宋"/>
          <w:color w:val="auto"/>
          <w:sz w:val="32"/>
          <w:szCs w:val="24"/>
          <w:lang w:val="en-US"/>
        </w:rPr>
      </w:pPr>
      <w:r>
        <w:rPr>
          <w:rFonts w:hint="eastAsia" w:ascii="仿宋" w:hAnsi="仿宋" w:eastAsia="仿宋"/>
          <w:color w:val="auto"/>
          <w:sz w:val="32"/>
          <w:szCs w:val="24"/>
          <w:lang w:val="en-US" w:eastAsia="zh-CN"/>
        </w:rPr>
        <w:t>5、</w:t>
      </w:r>
      <w:r>
        <w:rPr>
          <w:rFonts w:hint="eastAsia" w:ascii="仿宋" w:hAnsi="仿宋" w:eastAsia="仿宋"/>
          <w:color w:val="auto"/>
          <w:sz w:val="32"/>
          <w:szCs w:val="24"/>
          <w:lang w:val="en-US"/>
        </w:rPr>
        <w:t>一般公共服务支出（类）</w:t>
      </w:r>
      <w:r>
        <w:rPr>
          <w:rFonts w:hint="eastAsia" w:ascii="仿宋" w:hAnsi="仿宋" w:eastAsia="仿宋"/>
          <w:color w:val="auto"/>
          <w:sz w:val="32"/>
          <w:szCs w:val="24"/>
          <w:lang w:val="en-US" w:eastAsia="zh-CN"/>
        </w:rPr>
        <w:t>宣传事务</w:t>
      </w:r>
      <w:r>
        <w:rPr>
          <w:rFonts w:hint="eastAsia" w:ascii="仿宋" w:hAnsi="仿宋" w:eastAsia="仿宋"/>
          <w:color w:val="auto"/>
          <w:sz w:val="32"/>
          <w:szCs w:val="24"/>
          <w:lang w:val="en-US"/>
        </w:rPr>
        <w:t>（款）其他</w:t>
      </w:r>
      <w:r>
        <w:rPr>
          <w:rFonts w:hint="eastAsia" w:ascii="仿宋" w:hAnsi="仿宋" w:eastAsia="仿宋"/>
          <w:color w:val="auto"/>
          <w:sz w:val="32"/>
          <w:szCs w:val="24"/>
          <w:lang w:val="en-US" w:eastAsia="zh-CN"/>
        </w:rPr>
        <w:t>宣传事务</w:t>
      </w:r>
      <w:r>
        <w:rPr>
          <w:rFonts w:hint="eastAsia" w:ascii="仿宋" w:hAnsi="仿宋" w:eastAsia="仿宋"/>
          <w:color w:val="auto"/>
          <w:sz w:val="32"/>
          <w:szCs w:val="24"/>
          <w:lang w:val="en-US"/>
        </w:rPr>
        <w:t>支出（项）。</w:t>
      </w:r>
    </w:p>
    <w:p w14:paraId="2E08BA3E">
      <w:pPr>
        <w:keepNext/>
        <w:keepLines/>
        <w:pageBreakBefore w:val="0"/>
        <w:widowControl w:val="0"/>
        <w:kinsoku/>
        <w:wordWrap/>
        <w:overflowPunct/>
        <w:topLinePunct w:val="0"/>
        <w:autoSpaceDE/>
        <w:autoSpaceDN/>
        <w:bidi w:val="0"/>
        <w:adjustRightInd/>
        <w:snapToGrid/>
        <w:spacing w:beforeLines="0" w:afterLines="0"/>
        <w:ind w:firstLine="640" w:firstLineChars="200"/>
        <w:textAlignment w:val="auto"/>
        <w:rPr>
          <w:rFonts w:hint="default" w:ascii="仿宋" w:hAnsi="仿宋" w:eastAsia="仿宋"/>
          <w:color w:val="auto"/>
          <w:sz w:val="32"/>
          <w:szCs w:val="24"/>
          <w:lang w:val="en-US" w:eastAsia="zh-CN"/>
        </w:rPr>
      </w:pPr>
      <w:r>
        <w:rPr>
          <w:rFonts w:hint="eastAsia" w:ascii="仿宋" w:hAnsi="仿宋" w:eastAsia="仿宋"/>
          <w:color w:val="auto"/>
          <w:sz w:val="32"/>
          <w:szCs w:val="24"/>
          <w:lang w:val="en-US"/>
        </w:rPr>
        <w:t>年初预算为0万元，支出决算为</w:t>
      </w:r>
      <w:r>
        <w:rPr>
          <w:rFonts w:hint="eastAsia" w:ascii="仿宋" w:hAnsi="仿宋" w:eastAsia="仿宋"/>
          <w:color w:val="auto"/>
          <w:sz w:val="32"/>
          <w:szCs w:val="24"/>
          <w:lang w:val="en-US" w:eastAsia="zh-CN"/>
        </w:rPr>
        <w:t>6.11</w:t>
      </w:r>
      <w:r>
        <w:rPr>
          <w:rFonts w:hint="eastAsia" w:ascii="仿宋" w:hAnsi="仿宋" w:eastAsia="仿宋"/>
          <w:color w:val="auto"/>
          <w:sz w:val="32"/>
          <w:szCs w:val="24"/>
          <w:lang w:val="en-US"/>
        </w:rPr>
        <w:t>万元，因预算数为0，无法计算百分比，主要原因是：</w:t>
      </w:r>
      <w:r>
        <w:rPr>
          <w:rFonts w:hint="eastAsia" w:ascii="仿宋" w:hAnsi="仿宋" w:eastAsia="仿宋"/>
          <w:color w:val="auto"/>
          <w:sz w:val="32"/>
          <w:szCs w:val="24"/>
          <w:lang w:val="en-US" w:eastAsia="zh-CN"/>
        </w:rPr>
        <w:t>年中追加预算。</w:t>
      </w:r>
    </w:p>
    <w:p w14:paraId="443A5710">
      <w:pPr>
        <w:keepNext/>
        <w:keepLines/>
        <w:spacing w:beforeLines="0" w:afterLines="0"/>
        <w:ind w:firstLine="640"/>
        <w:rPr>
          <w:rFonts w:hint="eastAsia" w:ascii="仿宋" w:hAnsi="仿宋" w:eastAsia="仿宋"/>
          <w:color w:val="auto"/>
          <w:sz w:val="32"/>
          <w:szCs w:val="24"/>
          <w:lang w:val="en-US"/>
        </w:rPr>
      </w:pPr>
      <w:r>
        <w:rPr>
          <w:rFonts w:hint="eastAsia" w:ascii="仿宋" w:hAnsi="仿宋" w:eastAsia="仿宋"/>
          <w:color w:val="auto"/>
          <w:sz w:val="32"/>
          <w:szCs w:val="24"/>
          <w:lang w:val="en-US" w:eastAsia="zh-CN"/>
        </w:rPr>
        <w:t>6、</w:t>
      </w:r>
      <w:r>
        <w:rPr>
          <w:rFonts w:hint="eastAsia" w:ascii="仿宋" w:hAnsi="仿宋" w:eastAsia="仿宋"/>
          <w:color w:val="auto"/>
          <w:sz w:val="32"/>
          <w:szCs w:val="24"/>
          <w:lang w:val="en-US"/>
        </w:rPr>
        <w:t>一般公共服务支出（类）其他一般公共服务支出（款）其他一般公共服务支出（项）。</w:t>
      </w:r>
    </w:p>
    <w:p w14:paraId="4C0D583B">
      <w:pPr>
        <w:keepNext/>
        <w:keepLines/>
        <w:spacing w:beforeLines="0" w:afterLines="0"/>
        <w:ind w:firstLine="640"/>
        <w:rPr>
          <w:rFonts w:hint="eastAsia" w:ascii="仿宋" w:hAnsi="仿宋" w:eastAsia="仿宋"/>
          <w:color w:val="auto"/>
          <w:sz w:val="32"/>
          <w:szCs w:val="24"/>
          <w:lang w:val="en-US" w:eastAsia="zh-CN"/>
        </w:rPr>
      </w:pPr>
      <w:r>
        <w:rPr>
          <w:rFonts w:hint="eastAsia" w:ascii="仿宋" w:hAnsi="仿宋" w:eastAsia="仿宋"/>
          <w:color w:val="auto"/>
          <w:sz w:val="32"/>
          <w:szCs w:val="24"/>
          <w:lang w:val="en-US"/>
        </w:rPr>
        <w:t>年初预算为0万元，支出决算为</w:t>
      </w:r>
      <w:r>
        <w:rPr>
          <w:rFonts w:hint="eastAsia" w:ascii="仿宋" w:hAnsi="仿宋" w:eastAsia="仿宋"/>
          <w:color w:val="auto"/>
          <w:sz w:val="32"/>
          <w:szCs w:val="24"/>
          <w:lang w:val="en-US" w:eastAsia="zh-CN"/>
        </w:rPr>
        <w:t>156</w:t>
      </w:r>
      <w:r>
        <w:rPr>
          <w:rFonts w:hint="eastAsia" w:ascii="仿宋" w:hAnsi="仿宋" w:eastAsia="仿宋"/>
          <w:color w:val="auto"/>
          <w:sz w:val="32"/>
          <w:szCs w:val="24"/>
          <w:lang w:val="en-US"/>
        </w:rPr>
        <w:t>万元，因预算数为0，无法计算百分比，主要原因是：</w:t>
      </w:r>
      <w:r>
        <w:rPr>
          <w:rFonts w:hint="eastAsia" w:ascii="仿宋" w:hAnsi="仿宋" w:eastAsia="仿宋"/>
          <w:color w:val="auto"/>
          <w:sz w:val="32"/>
          <w:szCs w:val="24"/>
          <w:lang w:val="en-US" w:eastAsia="zh-CN"/>
        </w:rPr>
        <w:t>年中追加预算。</w:t>
      </w:r>
    </w:p>
    <w:p w14:paraId="48170862">
      <w:pPr>
        <w:keepNext/>
        <w:keepLines/>
        <w:spacing w:beforeLines="0" w:afterLines="0"/>
        <w:ind w:firstLine="640"/>
        <w:rPr>
          <w:rFonts w:hint="eastAsia" w:ascii="仿宋" w:hAnsi="仿宋" w:eastAsia="仿宋"/>
          <w:color w:val="auto"/>
          <w:sz w:val="32"/>
          <w:szCs w:val="24"/>
          <w:lang w:val="en-US"/>
        </w:rPr>
      </w:pPr>
      <w:r>
        <w:rPr>
          <w:rFonts w:hint="eastAsia" w:ascii="仿宋" w:hAnsi="仿宋" w:eastAsia="仿宋"/>
          <w:color w:val="auto"/>
          <w:sz w:val="32"/>
          <w:szCs w:val="24"/>
          <w:lang w:val="en-US" w:eastAsia="zh-CN"/>
        </w:rPr>
        <w:t>7、</w:t>
      </w:r>
      <w:r>
        <w:rPr>
          <w:rFonts w:hint="eastAsia" w:ascii="仿宋" w:hAnsi="仿宋" w:eastAsia="仿宋"/>
          <w:color w:val="auto"/>
          <w:sz w:val="32"/>
          <w:szCs w:val="24"/>
          <w:lang w:val="en-US"/>
        </w:rPr>
        <w:t>文化旅游体育与传媒支出（类）文化和旅游（款）文化展示及纪念机构（项）。</w:t>
      </w:r>
    </w:p>
    <w:p w14:paraId="0421ADC4">
      <w:pPr>
        <w:keepNext/>
        <w:keepLines/>
        <w:spacing w:beforeLines="0" w:afterLines="0"/>
        <w:ind w:firstLine="640"/>
        <w:rPr>
          <w:rFonts w:hint="eastAsia" w:ascii="仿宋" w:hAnsi="仿宋" w:eastAsia="仿宋"/>
          <w:color w:val="auto"/>
          <w:sz w:val="32"/>
          <w:szCs w:val="24"/>
          <w:lang w:val="en-US" w:eastAsia="zh-CN"/>
        </w:rPr>
      </w:pPr>
      <w:r>
        <w:rPr>
          <w:rFonts w:hint="eastAsia" w:ascii="仿宋" w:hAnsi="仿宋" w:eastAsia="仿宋"/>
          <w:color w:val="auto"/>
          <w:sz w:val="32"/>
          <w:szCs w:val="24"/>
          <w:lang w:val="en-US"/>
        </w:rPr>
        <w:t>年初预算为0万元，支出决算为</w:t>
      </w:r>
      <w:r>
        <w:rPr>
          <w:rFonts w:hint="eastAsia" w:ascii="仿宋" w:hAnsi="仿宋" w:eastAsia="仿宋"/>
          <w:color w:val="auto"/>
          <w:sz w:val="32"/>
          <w:szCs w:val="24"/>
          <w:lang w:val="en-US" w:eastAsia="zh-CN"/>
        </w:rPr>
        <w:t>27.67</w:t>
      </w:r>
      <w:r>
        <w:rPr>
          <w:rFonts w:hint="eastAsia" w:ascii="仿宋" w:hAnsi="仿宋" w:eastAsia="仿宋"/>
          <w:color w:val="auto"/>
          <w:sz w:val="32"/>
          <w:szCs w:val="24"/>
          <w:lang w:val="en-US"/>
        </w:rPr>
        <w:t>万元，因预算数为0，无法计算百分比，主要原因是：</w:t>
      </w:r>
      <w:r>
        <w:rPr>
          <w:rFonts w:hint="eastAsia" w:ascii="仿宋" w:hAnsi="仿宋" w:eastAsia="仿宋"/>
          <w:color w:val="auto"/>
          <w:sz w:val="32"/>
          <w:szCs w:val="24"/>
          <w:lang w:val="en-US" w:eastAsia="zh-CN"/>
        </w:rPr>
        <w:t>年中追加预算。</w:t>
      </w:r>
    </w:p>
    <w:p w14:paraId="38D3FB55">
      <w:pPr>
        <w:keepNext/>
        <w:keepLines/>
        <w:spacing w:beforeLines="0" w:afterLines="0"/>
        <w:ind w:firstLine="640"/>
        <w:rPr>
          <w:rFonts w:hint="eastAsia" w:ascii="仿宋" w:hAnsi="仿宋" w:eastAsia="仿宋"/>
          <w:color w:val="auto"/>
          <w:sz w:val="32"/>
          <w:szCs w:val="24"/>
          <w:lang w:val="en-US"/>
        </w:rPr>
      </w:pPr>
      <w:r>
        <w:rPr>
          <w:rFonts w:hint="eastAsia" w:ascii="仿宋" w:hAnsi="仿宋" w:eastAsia="仿宋"/>
          <w:color w:val="auto"/>
          <w:sz w:val="32"/>
          <w:szCs w:val="24"/>
          <w:lang w:val="en-US" w:eastAsia="zh-CN"/>
        </w:rPr>
        <w:t>8、</w:t>
      </w:r>
      <w:r>
        <w:rPr>
          <w:rFonts w:hint="eastAsia" w:ascii="仿宋" w:hAnsi="仿宋" w:eastAsia="仿宋"/>
          <w:color w:val="auto"/>
          <w:sz w:val="32"/>
          <w:szCs w:val="24"/>
          <w:lang w:val="en-US"/>
        </w:rPr>
        <w:t>文化旅游体育与传媒支出（类）文化和旅游（款）其他文化和旅游支出（项）。</w:t>
      </w:r>
    </w:p>
    <w:p w14:paraId="272AF2E8">
      <w:pPr>
        <w:keepNext/>
        <w:keepLines/>
        <w:spacing w:beforeLines="0" w:afterLines="0"/>
        <w:ind w:firstLine="640"/>
        <w:rPr>
          <w:rFonts w:hint="eastAsia" w:ascii="仿宋" w:hAnsi="仿宋" w:eastAsia="仿宋"/>
          <w:color w:val="auto"/>
          <w:sz w:val="32"/>
          <w:szCs w:val="24"/>
          <w:lang w:val="en-US" w:eastAsia="zh-CN"/>
        </w:rPr>
      </w:pPr>
      <w:r>
        <w:rPr>
          <w:rFonts w:hint="eastAsia" w:ascii="仿宋" w:hAnsi="仿宋" w:eastAsia="仿宋"/>
          <w:color w:val="auto"/>
          <w:sz w:val="32"/>
          <w:szCs w:val="24"/>
          <w:lang w:val="en-US"/>
        </w:rPr>
        <w:t>年初预算为0万元，支出决算为</w:t>
      </w:r>
      <w:r>
        <w:rPr>
          <w:rFonts w:hint="eastAsia" w:ascii="仿宋" w:hAnsi="仿宋" w:eastAsia="仿宋"/>
          <w:color w:val="auto"/>
          <w:sz w:val="32"/>
          <w:szCs w:val="24"/>
          <w:lang w:val="en-US" w:eastAsia="zh-CN"/>
        </w:rPr>
        <w:t>32.69</w:t>
      </w:r>
      <w:r>
        <w:rPr>
          <w:rFonts w:hint="eastAsia" w:ascii="仿宋" w:hAnsi="仿宋" w:eastAsia="仿宋"/>
          <w:color w:val="auto"/>
          <w:sz w:val="32"/>
          <w:szCs w:val="24"/>
          <w:lang w:val="en-US"/>
        </w:rPr>
        <w:t>万元，因预算数为0，无法计算百分比，主要原因是：</w:t>
      </w:r>
      <w:r>
        <w:rPr>
          <w:rFonts w:hint="eastAsia" w:ascii="仿宋" w:hAnsi="仿宋" w:eastAsia="仿宋"/>
          <w:color w:val="auto"/>
          <w:sz w:val="32"/>
          <w:szCs w:val="24"/>
          <w:lang w:val="en-US" w:eastAsia="zh-CN"/>
        </w:rPr>
        <w:t>年中追加预算。</w:t>
      </w:r>
    </w:p>
    <w:p w14:paraId="4952C285">
      <w:pPr>
        <w:keepNext/>
        <w:keepLines/>
        <w:spacing w:beforeLines="0" w:afterLines="0"/>
        <w:ind w:firstLine="640"/>
        <w:rPr>
          <w:rFonts w:hint="eastAsia" w:ascii="仿宋" w:hAnsi="仿宋" w:eastAsia="仿宋"/>
          <w:color w:val="auto"/>
          <w:sz w:val="32"/>
          <w:szCs w:val="24"/>
          <w:lang w:val="en-US"/>
        </w:rPr>
      </w:pPr>
      <w:r>
        <w:rPr>
          <w:rFonts w:hint="eastAsia" w:ascii="仿宋" w:hAnsi="仿宋" w:eastAsia="仿宋"/>
          <w:color w:val="auto"/>
          <w:sz w:val="32"/>
          <w:szCs w:val="24"/>
          <w:lang w:val="en-US" w:eastAsia="zh-CN"/>
        </w:rPr>
        <w:t>9、</w:t>
      </w:r>
      <w:r>
        <w:rPr>
          <w:rFonts w:hint="eastAsia" w:ascii="仿宋" w:hAnsi="仿宋" w:eastAsia="仿宋"/>
          <w:color w:val="auto"/>
          <w:sz w:val="32"/>
          <w:szCs w:val="24"/>
          <w:lang w:val="en-US"/>
        </w:rPr>
        <w:t>文化旅游体育与传媒支出（类）文物（款）博物馆（项）。</w:t>
      </w:r>
    </w:p>
    <w:p w14:paraId="06C0274B">
      <w:pPr>
        <w:keepNext/>
        <w:keepLines/>
        <w:spacing w:beforeLines="0" w:afterLines="0"/>
        <w:ind w:firstLine="640"/>
        <w:rPr>
          <w:rFonts w:hint="eastAsia" w:ascii="仿宋" w:hAnsi="仿宋" w:eastAsia="仿宋"/>
          <w:color w:val="auto"/>
          <w:sz w:val="32"/>
          <w:szCs w:val="24"/>
          <w:lang w:val="en-US" w:eastAsia="zh-CN"/>
        </w:rPr>
      </w:pPr>
      <w:r>
        <w:rPr>
          <w:rFonts w:hint="eastAsia" w:ascii="仿宋" w:hAnsi="仿宋" w:eastAsia="仿宋"/>
          <w:color w:val="auto"/>
          <w:sz w:val="32"/>
          <w:szCs w:val="24"/>
          <w:lang w:val="en-US"/>
        </w:rPr>
        <w:t>年初预算为</w:t>
      </w:r>
      <w:r>
        <w:rPr>
          <w:rFonts w:hint="eastAsia" w:ascii="仿宋" w:hAnsi="仿宋" w:eastAsia="仿宋"/>
          <w:color w:val="auto"/>
          <w:sz w:val="32"/>
          <w:szCs w:val="24"/>
          <w:lang w:val="en-US" w:eastAsia="zh-CN"/>
        </w:rPr>
        <w:t>433.69</w:t>
      </w:r>
      <w:r>
        <w:rPr>
          <w:rFonts w:hint="eastAsia" w:ascii="仿宋" w:hAnsi="仿宋" w:eastAsia="仿宋"/>
          <w:color w:val="auto"/>
          <w:sz w:val="32"/>
          <w:szCs w:val="24"/>
          <w:lang w:val="en-US"/>
        </w:rPr>
        <w:t>万元，支出决算为</w:t>
      </w:r>
      <w:r>
        <w:rPr>
          <w:rFonts w:hint="eastAsia" w:ascii="仿宋" w:hAnsi="仿宋" w:eastAsia="仿宋"/>
          <w:color w:val="auto"/>
          <w:sz w:val="32"/>
          <w:szCs w:val="24"/>
          <w:lang w:val="en-US" w:eastAsia="zh-CN"/>
        </w:rPr>
        <w:t>967.96</w:t>
      </w:r>
      <w:r>
        <w:rPr>
          <w:rFonts w:hint="eastAsia" w:ascii="仿宋" w:hAnsi="仿宋" w:eastAsia="仿宋"/>
          <w:color w:val="auto"/>
          <w:sz w:val="32"/>
          <w:szCs w:val="24"/>
          <w:lang w:val="en-US"/>
        </w:rPr>
        <w:t>万元，完成年初预算的</w:t>
      </w:r>
      <w:r>
        <w:rPr>
          <w:rFonts w:hint="eastAsia" w:ascii="仿宋" w:hAnsi="仿宋" w:eastAsia="仿宋"/>
          <w:color w:val="auto"/>
          <w:sz w:val="32"/>
          <w:szCs w:val="24"/>
          <w:lang w:val="en-US" w:eastAsia="zh-CN"/>
        </w:rPr>
        <w:t>223.19</w:t>
      </w:r>
      <w:r>
        <w:rPr>
          <w:rFonts w:hint="eastAsia" w:ascii="仿宋" w:hAnsi="仿宋" w:eastAsia="仿宋"/>
          <w:color w:val="auto"/>
          <w:sz w:val="32"/>
          <w:szCs w:val="24"/>
          <w:lang w:val="en-US"/>
        </w:rPr>
        <w:t>%</w:t>
      </w:r>
      <w:r>
        <w:rPr>
          <w:rFonts w:hint="eastAsia" w:ascii="仿宋" w:hAnsi="仿宋" w:eastAsia="仿宋"/>
          <w:color w:val="auto"/>
          <w:sz w:val="32"/>
          <w:szCs w:val="24"/>
          <w:lang w:val="en-US" w:eastAsia="zh-CN"/>
        </w:rPr>
        <w:t>，</w:t>
      </w:r>
      <w:r>
        <w:rPr>
          <w:rFonts w:hint="eastAsia" w:ascii="仿宋" w:hAnsi="仿宋" w:eastAsia="仿宋"/>
          <w:color w:val="auto"/>
          <w:sz w:val="32"/>
          <w:szCs w:val="24"/>
          <w:lang w:val="en-US"/>
        </w:rPr>
        <w:t>决算数大于预算数的主要原因是：</w:t>
      </w:r>
      <w:r>
        <w:rPr>
          <w:rFonts w:hint="eastAsia" w:ascii="仿宋" w:hAnsi="仿宋" w:eastAsia="仿宋"/>
          <w:color w:val="auto"/>
          <w:sz w:val="32"/>
          <w:szCs w:val="24"/>
          <w:lang w:val="en-US" w:eastAsia="zh-CN"/>
        </w:rPr>
        <w:t>年中追加专项支出经费。</w:t>
      </w:r>
    </w:p>
    <w:p w14:paraId="4CD10C13">
      <w:pPr>
        <w:keepNext/>
        <w:keepLines/>
        <w:spacing w:beforeLines="0" w:afterLines="0"/>
        <w:ind w:firstLine="640"/>
        <w:rPr>
          <w:rFonts w:hint="eastAsia" w:ascii="仿宋" w:hAnsi="仿宋" w:eastAsia="仿宋"/>
          <w:color w:val="auto"/>
          <w:sz w:val="32"/>
          <w:szCs w:val="24"/>
          <w:lang w:val="en-US"/>
        </w:rPr>
      </w:pPr>
      <w:r>
        <w:rPr>
          <w:rFonts w:hint="eastAsia" w:ascii="仿宋" w:hAnsi="仿宋" w:eastAsia="仿宋"/>
          <w:color w:val="auto"/>
          <w:sz w:val="32"/>
          <w:szCs w:val="24"/>
          <w:lang w:val="en-US" w:eastAsia="zh-CN"/>
        </w:rPr>
        <w:t>10、</w:t>
      </w:r>
      <w:r>
        <w:rPr>
          <w:rFonts w:hint="eastAsia" w:ascii="仿宋" w:hAnsi="仿宋" w:eastAsia="仿宋"/>
          <w:color w:val="auto"/>
          <w:sz w:val="32"/>
          <w:szCs w:val="24"/>
          <w:lang w:val="en-US"/>
        </w:rPr>
        <w:t>文化旅游体育与传媒支出（类）文物（款）其他文物支出（项）。</w:t>
      </w:r>
    </w:p>
    <w:p w14:paraId="6DA6C1F3">
      <w:pPr>
        <w:keepNext/>
        <w:keepLines/>
        <w:spacing w:beforeLines="0" w:afterLines="0"/>
        <w:ind w:firstLine="640"/>
        <w:rPr>
          <w:rFonts w:hint="eastAsia" w:ascii="仿宋" w:hAnsi="仿宋" w:eastAsia="仿宋"/>
          <w:color w:val="auto"/>
          <w:sz w:val="32"/>
          <w:szCs w:val="24"/>
          <w:lang w:val="en-US" w:eastAsia="zh-CN"/>
        </w:rPr>
      </w:pPr>
      <w:r>
        <w:rPr>
          <w:rFonts w:hint="eastAsia" w:ascii="仿宋" w:hAnsi="仿宋" w:eastAsia="仿宋"/>
          <w:color w:val="auto"/>
          <w:sz w:val="32"/>
          <w:szCs w:val="24"/>
          <w:lang w:val="en-US"/>
        </w:rPr>
        <w:t>年初预算为0万元，支出决算为</w:t>
      </w:r>
      <w:r>
        <w:rPr>
          <w:rFonts w:hint="eastAsia" w:ascii="仿宋" w:hAnsi="仿宋" w:eastAsia="仿宋"/>
          <w:color w:val="auto"/>
          <w:sz w:val="32"/>
          <w:szCs w:val="24"/>
          <w:lang w:val="en-US" w:eastAsia="zh-CN"/>
        </w:rPr>
        <w:t>1355.90</w:t>
      </w:r>
      <w:r>
        <w:rPr>
          <w:rFonts w:hint="eastAsia" w:ascii="仿宋" w:hAnsi="仿宋" w:eastAsia="仿宋"/>
          <w:color w:val="auto"/>
          <w:sz w:val="32"/>
          <w:szCs w:val="24"/>
          <w:lang w:val="en-US"/>
        </w:rPr>
        <w:t>万元，因预算数为0，无法计算百分比，主要原因是：</w:t>
      </w:r>
      <w:r>
        <w:rPr>
          <w:rFonts w:hint="eastAsia" w:ascii="仿宋" w:hAnsi="仿宋" w:eastAsia="仿宋"/>
          <w:color w:val="auto"/>
          <w:sz w:val="32"/>
          <w:szCs w:val="24"/>
          <w:lang w:val="en-US" w:eastAsia="zh-CN"/>
        </w:rPr>
        <w:t>年中追加预算。</w:t>
      </w:r>
    </w:p>
    <w:p w14:paraId="4A863BB9">
      <w:pPr>
        <w:keepNext/>
        <w:keepLines/>
        <w:spacing w:beforeLines="0" w:afterLines="0"/>
        <w:ind w:firstLine="640"/>
        <w:rPr>
          <w:rFonts w:hint="eastAsia" w:ascii="仿宋" w:hAnsi="仿宋" w:eastAsia="仿宋"/>
          <w:color w:val="auto"/>
          <w:sz w:val="32"/>
          <w:szCs w:val="24"/>
          <w:lang w:val="en-US"/>
        </w:rPr>
      </w:pPr>
      <w:r>
        <w:rPr>
          <w:rFonts w:hint="eastAsia" w:ascii="仿宋" w:hAnsi="仿宋" w:eastAsia="仿宋"/>
          <w:color w:val="auto"/>
          <w:sz w:val="32"/>
          <w:szCs w:val="24"/>
          <w:lang w:val="en-US" w:eastAsia="zh-CN"/>
        </w:rPr>
        <w:t>11、</w:t>
      </w:r>
      <w:r>
        <w:rPr>
          <w:rFonts w:hint="eastAsia" w:ascii="仿宋" w:hAnsi="仿宋" w:eastAsia="仿宋"/>
          <w:color w:val="auto"/>
          <w:sz w:val="32"/>
          <w:szCs w:val="24"/>
          <w:lang w:val="en-US"/>
        </w:rPr>
        <w:t>文化旅游体育与传媒支出（类）其他文化旅游体育与传媒支出（款）其他文化旅游体育与传媒支出（项）。</w:t>
      </w:r>
    </w:p>
    <w:p w14:paraId="38F9BA64">
      <w:pPr>
        <w:keepNext/>
        <w:keepLines/>
        <w:spacing w:beforeLines="0" w:afterLines="0"/>
        <w:ind w:firstLine="640"/>
        <w:rPr>
          <w:rFonts w:hint="eastAsia" w:ascii="仿宋" w:hAnsi="仿宋" w:eastAsia="仿宋"/>
          <w:color w:val="auto"/>
          <w:sz w:val="32"/>
          <w:szCs w:val="24"/>
          <w:lang w:val="en-US" w:eastAsia="zh-CN"/>
        </w:rPr>
      </w:pPr>
      <w:r>
        <w:rPr>
          <w:rFonts w:hint="eastAsia" w:ascii="仿宋" w:hAnsi="仿宋" w:eastAsia="仿宋"/>
          <w:color w:val="auto"/>
          <w:sz w:val="32"/>
          <w:szCs w:val="24"/>
          <w:lang w:val="en-US"/>
        </w:rPr>
        <w:t>年初预算为0万元，支出决算为</w:t>
      </w:r>
      <w:r>
        <w:rPr>
          <w:rFonts w:hint="eastAsia" w:ascii="仿宋" w:hAnsi="仿宋" w:eastAsia="仿宋"/>
          <w:color w:val="auto"/>
          <w:sz w:val="32"/>
          <w:szCs w:val="24"/>
          <w:lang w:val="en-US" w:eastAsia="zh-CN"/>
        </w:rPr>
        <w:t>28.25</w:t>
      </w:r>
      <w:r>
        <w:rPr>
          <w:rFonts w:hint="eastAsia" w:ascii="仿宋" w:hAnsi="仿宋" w:eastAsia="仿宋"/>
          <w:color w:val="auto"/>
          <w:sz w:val="32"/>
          <w:szCs w:val="24"/>
          <w:lang w:val="en-US"/>
        </w:rPr>
        <w:t>万元，因预算数为0，无法计算百分比，主要原因是：</w:t>
      </w:r>
      <w:r>
        <w:rPr>
          <w:rFonts w:hint="eastAsia" w:ascii="仿宋" w:hAnsi="仿宋" w:eastAsia="仿宋"/>
          <w:color w:val="auto"/>
          <w:sz w:val="32"/>
          <w:szCs w:val="24"/>
          <w:lang w:val="en-US" w:eastAsia="zh-CN"/>
        </w:rPr>
        <w:t>年中追加预算。</w:t>
      </w:r>
    </w:p>
    <w:p w14:paraId="6274DD28">
      <w:pPr>
        <w:keepNext/>
        <w:keepLines/>
        <w:spacing w:beforeLines="0" w:afterLines="0"/>
        <w:ind w:firstLine="640"/>
        <w:rPr>
          <w:rFonts w:hint="eastAsia" w:ascii="仿宋" w:hAnsi="仿宋" w:eastAsia="仿宋"/>
          <w:color w:val="auto"/>
          <w:sz w:val="32"/>
          <w:szCs w:val="24"/>
          <w:lang w:val="en-US"/>
        </w:rPr>
      </w:pPr>
      <w:r>
        <w:rPr>
          <w:rFonts w:hint="eastAsia" w:ascii="仿宋" w:hAnsi="仿宋" w:eastAsia="仿宋"/>
          <w:color w:val="auto"/>
          <w:sz w:val="32"/>
          <w:szCs w:val="24"/>
          <w:lang w:val="en-US" w:eastAsia="zh-CN"/>
        </w:rPr>
        <w:t>12、</w:t>
      </w:r>
      <w:r>
        <w:rPr>
          <w:rFonts w:hint="eastAsia" w:ascii="仿宋" w:hAnsi="仿宋" w:eastAsia="仿宋"/>
          <w:color w:val="auto"/>
          <w:sz w:val="32"/>
          <w:szCs w:val="24"/>
          <w:lang w:val="en-US"/>
        </w:rPr>
        <w:t>社会保障和就业支出（类）行政事业单位养老支出（款）事业单位离退休（项）。</w:t>
      </w:r>
    </w:p>
    <w:p w14:paraId="73CE2233">
      <w:pPr>
        <w:keepNext/>
        <w:keepLines/>
        <w:spacing w:beforeLines="0" w:afterLines="0"/>
        <w:ind w:firstLine="640"/>
        <w:rPr>
          <w:rFonts w:hint="eastAsia" w:ascii="仿宋" w:hAnsi="仿宋" w:eastAsia="仿宋"/>
          <w:color w:val="auto"/>
          <w:sz w:val="32"/>
          <w:szCs w:val="24"/>
          <w:lang w:val="en-US" w:eastAsia="zh-CN"/>
        </w:rPr>
      </w:pPr>
      <w:r>
        <w:rPr>
          <w:rFonts w:hint="eastAsia" w:ascii="仿宋" w:hAnsi="仿宋" w:eastAsia="仿宋"/>
          <w:color w:val="auto"/>
          <w:sz w:val="32"/>
          <w:szCs w:val="24"/>
          <w:lang w:val="en-US"/>
        </w:rPr>
        <w:t>年初预算为</w:t>
      </w:r>
      <w:r>
        <w:rPr>
          <w:rFonts w:hint="eastAsia" w:ascii="仿宋" w:hAnsi="仿宋" w:eastAsia="仿宋"/>
          <w:color w:val="auto"/>
          <w:sz w:val="32"/>
          <w:szCs w:val="24"/>
          <w:lang w:val="en-US" w:eastAsia="zh-CN"/>
        </w:rPr>
        <w:t>0</w:t>
      </w:r>
      <w:r>
        <w:rPr>
          <w:rFonts w:hint="eastAsia" w:ascii="仿宋" w:hAnsi="仿宋" w:eastAsia="仿宋"/>
          <w:color w:val="auto"/>
          <w:sz w:val="32"/>
          <w:szCs w:val="24"/>
          <w:lang w:val="en-US"/>
        </w:rPr>
        <w:t>万元，支出决算为</w:t>
      </w:r>
      <w:r>
        <w:rPr>
          <w:rFonts w:hint="eastAsia" w:ascii="仿宋" w:hAnsi="仿宋" w:eastAsia="仿宋"/>
          <w:color w:val="auto"/>
          <w:sz w:val="32"/>
          <w:szCs w:val="24"/>
          <w:lang w:val="en-US" w:eastAsia="zh-CN"/>
        </w:rPr>
        <w:t>20.66</w:t>
      </w:r>
      <w:r>
        <w:rPr>
          <w:rFonts w:hint="eastAsia" w:ascii="仿宋" w:hAnsi="仿宋" w:eastAsia="仿宋"/>
          <w:color w:val="auto"/>
          <w:sz w:val="32"/>
          <w:szCs w:val="24"/>
          <w:lang w:val="en-US"/>
        </w:rPr>
        <w:t>万元，因预算数为0，无法计算百分比，主要原因是：</w:t>
      </w:r>
      <w:r>
        <w:rPr>
          <w:rFonts w:hint="eastAsia" w:ascii="仿宋" w:hAnsi="仿宋" w:eastAsia="仿宋"/>
          <w:color w:val="auto"/>
          <w:sz w:val="32"/>
          <w:szCs w:val="24"/>
          <w:lang w:val="en-US" w:eastAsia="zh-CN"/>
        </w:rPr>
        <w:t>年中追加预算。</w:t>
      </w:r>
    </w:p>
    <w:p w14:paraId="02786829">
      <w:pPr>
        <w:keepNext/>
        <w:keepLines/>
        <w:spacing w:beforeLines="0" w:afterLines="0"/>
        <w:ind w:firstLine="640"/>
        <w:rPr>
          <w:rFonts w:hint="eastAsia" w:ascii="仿宋" w:hAnsi="仿宋" w:eastAsia="仿宋"/>
          <w:color w:val="auto"/>
          <w:sz w:val="32"/>
          <w:szCs w:val="24"/>
          <w:lang w:val="en-US"/>
        </w:rPr>
      </w:pPr>
      <w:r>
        <w:rPr>
          <w:rFonts w:hint="eastAsia" w:ascii="仿宋" w:hAnsi="仿宋" w:eastAsia="仿宋"/>
          <w:color w:val="auto"/>
          <w:sz w:val="32"/>
          <w:szCs w:val="24"/>
          <w:lang w:val="en-US" w:eastAsia="zh-CN"/>
        </w:rPr>
        <w:t>13、</w:t>
      </w:r>
      <w:r>
        <w:rPr>
          <w:rFonts w:hint="eastAsia" w:ascii="仿宋" w:hAnsi="仿宋" w:eastAsia="仿宋"/>
          <w:color w:val="auto"/>
          <w:sz w:val="32"/>
          <w:szCs w:val="24"/>
          <w:lang w:val="en-US"/>
        </w:rPr>
        <w:t>社会保障和就业支出（类）行政事业单位养老支出（款）机关事业单位基本养老保险缴费支出（项）。</w:t>
      </w:r>
    </w:p>
    <w:p w14:paraId="2C34A31C">
      <w:pPr>
        <w:keepNext/>
        <w:keepLines/>
        <w:spacing w:beforeLines="0" w:afterLines="0"/>
        <w:ind w:firstLine="640"/>
        <w:rPr>
          <w:rFonts w:hint="eastAsia" w:ascii="仿宋" w:hAnsi="仿宋" w:eastAsia="仿宋"/>
          <w:color w:val="auto"/>
          <w:sz w:val="32"/>
          <w:szCs w:val="24"/>
          <w:lang w:val="en-US"/>
        </w:rPr>
      </w:pPr>
      <w:r>
        <w:rPr>
          <w:rFonts w:hint="eastAsia" w:ascii="仿宋" w:hAnsi="仿宋" w:eastAsia="仿宋"/>
          <w:color w:val="auto"/>
          <w:sz w:val="32"/>
          <w:szCs w:val="24"/>
          <w:lang w:val="en-US"/>
        </w:rPr>
        <w:t>年初预算为</w:t>
      </w:r>
      <w:r>
        <w:rPr>
          <w:rFonts w:hint="eastAsia" w:ascii="仿宋" w:hAnsi="仿宋" w:eastAsia="仿宋"/>
          <w:color w:val="auto"/>
          <w:sz w:val="32"/>
          <w:szCs w:val="24"/>
          <w:lang w:val="en-US" w:eastAsia="zh-CN"/>
        </w:rPr>
        <w:t>48.20</w:t>
      </w:r>
      <w:r>
        <w:rPr>
          <w:rFonts w:hint="eastAsia" w:ascii="仿宋" w:hAnsi="仿宋" w:eastAsia="仿宋"/>
          <w:color w:val="auto"/>
          <w:sz w:val="32"/>
          <w:szCs w:val="24"/>
          <w:lang w:val="en-US"/>
        </w:rPr>
        <w:t>万元，支出决算为</w:t>
      </w:r>
      <w:r>
        <w:rPr>
          <w:rFonts w:hint="eastAsia" w:ascii="仿宋" w:hAnsi="仿宋" w:eastAsia="仿宋"/>
          <w:color w:val="auto"/>
          <w:sz w:val="32"/>
          <w:szCs w:val="24"/>
          <w:lang w:val="en-US" w:eastAsia="zh-CN"/>
        </w:rPr>
        <w:t>46.33</w:t>
      </w:r>
      <w:r>
        <w:rPr>
          <w:rFonts w:hint="eastAsia" w:ascii="仿宋" w:hAnsi="仿宋" w:eastAsia="仿宋"/>
          <w:color w:val="auto"/>
          <w:sz w:val="32"/>
          <w:szCs w:val="24"/>
          <w:lang w:val="en-US"/>
        </w:rPr>
        <w:t>万元，完成年初预算的</w:t>
      </w:r>
      <w:r>
        <w:rPr>
          <w:rFonts w:hint="eastAsia" w:ascii="仿宋" w:hAnsi="仿宋" w:eastAsia="仿宋"/>
          <w:color w:val="auto"/>
          <w:sz w:val="32"/>
          <w:szCs w:val="24"/>
          <w:lang w:val="en-US" w:eastAsia="zh-CN"/>
        </w:rPr>
        <w:t>96.12</w:t>
      </w:r>
      <w:r>
        <w:rPr>
          <w:rFonts w:hint="eastAsia" w:ascii="仿宋" w:hAnsi="仿宋" w:eastAsia="仿宋"/>
          <w:color w:val="auto"/>
          <w:sz w:val="32"/>
          <w:szCs w:val="24"/>
          <w:lang w:val="en-US"/>
        </w:rPr>
        <w:t>%</w:t>
      </w:r>
      <w:r>
        <w:rPr>
          <w:rFonts w:hint="eastAsia" w:ascii="仿宋" w:hAnsi="仿宋" w:eastAsia="仿宋"/>
          <w:color w:val="auto"/>
          <w:sz w:val="32"/>
          <w:szCs w:val="24"/>
          <w:lang w:val="en-US" w:eastAsia="zh-CN"/>
        </w:rPr>
        <w:t>，</w:t>
      </w:r>
      <w:r>
        <w:rPr>
          <w:rFonts w:hint="eastAsia" w:ascii="仿宋" w:hAnsi="仿宋" w:eastAsia="仿宋"/>
          <w:color w:val="auto"/>
          <w:sz w:val="32"/>
          <w:szCs w:val="24"/>
          <w:lang w:val="en-US"/>
        </w:rPr>
        <w:t>决算数小于预算数的主要原因是我单位严格按预算执行决算。</w:t>
      </w:r>
    </w:p>
    <w:p w14:paraId="1713B176">
      <w:pPr>
        <w:keepNext/>
        <w:keepLines/>
        <w:spacing w:beforeLines="0" w:afterLines="0"/>
        <w:ind w:firstLine="640"/>
        <w:rPr>
          <w:rFonts w:hint="eastAsia" w:ascii="仿宋" w:hAnsi="仿宋" w:eastAsia="仿宋"/>
          <w:color w:val="auto"/>
          <w:sz w:val="32"/>
          <w:szCs w:val="24"/>
          <w:lang w:val="en-US"/>
        </w:rPr>
      </w:pPr>
      <w:r>
        <w:rPr>
          <w:rFonts w:hint="eastAsia" w:ascii="仿宋" w:hAnsi="仿宋" w:eastAsia="仿宋"/>
          <w:color w:val="auto"/>
          <w:sz w:val="32"/>
          <w:szCs w:val="24"/>
          <w:lang w:val="en-US" w:eastAsia="zh-CN"/>
        </w:rPr>
        <w:t>14、</w:t>
      </w:r>
      <w:r>
        <w:rPr>
          <w:rFonts w:hint="eastAsia" w:ascii="仿宋" w:hAnsi="仿宋" w:eastAsia="仿宋"/>
          <w:color w:val="auto"/>
          <w:sz w:val="32"/>
          <w:szCs w:val="24"/>
          <w:lang w:val="en-US"/>
        </w:rPr>
        <w:t>社会保障和就业支出（类）</w:t>
      </w:r>
      <w:r>
        <w:rPr>
          <w:rFonts w:hint="eastAsia" w:ascii="仿宋" w:hAnsi="仿宋" w:eastAsia="仿宋"/>
          <w:color w:val="auto"/>
          <w:sz w:val="32"/>
          <w:szCs w:val="24"/>
          <w:lang w:val="en-US" w:eastAsia="zh-CN"/>
        </w:rPr>
        <w:t>就业补助</w:t>
      </w:r>
      <w:r>
        <w:rPr>
          <w:rFonts w:hint="eastAsia" w:ascii="仿宋" w:hAnsi="仿宋" w:eastAsia="仿宋"/>
          <w:color w:val="auto"/>
          <w:sz w:val="32"/>
          <w:szCs w:val="24"/>
          <w:lang w:val="en-US"/>
        </w:rPr>
        <w:t>（款）</w:t>
      </w:r>
      <w:r>
        <w:rPr>
          <w:rFonts w:hint="eastAsia" w:ascii="仿宋" w:hAnsi="仿宋" w:eastAsia="仿宋"/>
          <w:color w:val="auto"/>
          <w:sz w:val="32"/>
          <w:szCs w:val="24"/>
          <w:lang w:val="en-US" w:eastAsia="zh-CN"/>
        </w:rPr>
        <w:t>就业见习补贴</w:t>
      </w:r>
      <w:r>
        <w:rPr>
          <w:rFonts w:hint="eastAsia" w:ascii="仿宋" w:hAnsi="仿宋" w:eastAsia="仿宋"/>
          <w:color w:val="auto"/>
          <w:sz w:val="32"/>
          <w:szCs w:val="24"/>
          <w:lang w:val="en-US"/>
        </w:rPr>
        <w:t>（项）。</w:t>
      </w:r>
    </w:p>
    <w:p w14:paraId="40398B3E">
      <w:pPr>
        <w:keepNext/>
        <w:keepLines/>
        <w:spacing w:beforeLines="0" w:afterLines="0"/>
        <w:ind w:firstLine="640"/>
        <w:rPr>
          <w:rFonts w:hint="eastAsia" w:ascii="仿宋" w:hAnsi="仿宋" w:eastAsia="仿宋"/>
          <w:color w:val="auto"/>
          <w:sz w:val="32"/>
          <w:szCs w:val="24"/>
          <w:lang w:val="en-US" w:eastAsia="zh-CN"/>
        </w:rPr>
      </w:pPr>
      <w:r>
        <w:rPr>
          <w:rFonts w:hint="eastAsia" w:ascii="仿宋" w:hAnsi="仿宋" w:eastAsia="仿宋"/>
          <w:color w:val="auto"/>
          <w:sz w:val="32"/>
          <w:szCs w:val="24"/>
          <w:lang w:val="en-US"/>
        </w:rPr>
        <w:t>年初预算为</w:t>
      </w:r>
      <w:r>
        <w:rPr>
          <w:rFonts w:hint="eastAsia" w:ascii="仿宋" w:hAnsi="仿宋" w:eastAsia="仿宋"/>
          <w:color w:val="auto"/>
          <w:sz w:val="32"/>
          <w:szCs w:val="24"/>
          <w:lang w:val="en-US" w:eastAsia="zh-CN"/>
        </w:rPr>
        <w:t>0</w:t>
      </w:r>
      <w:r>
        <w:rPr>
          <w:rFonts w:hint="eastAsia" w:ascii="仿宋" w:hAnsi="仿宋" w:eastAsia="仿宋"/>
          <w:color w:val="auto"/>
          <w:sz w:val="32"/>
          <w:szCs w:val="24"/>
          <w:lang w:val="en-US"/>
        </w:rPr>
        <w:t>万元，支出决算为</w:t>
      </w:r>
      <w:r>
        <w:rPr>
          <w:rFonts w:hint="eastAsia" w:ascii="仿宋" w:hAnsi="仿宋" w:eastAsia="仿宋"/>
          <w:color w:val="auto"/>
          <w:sz w:val="32"/>
          <w:szCs w:val="24"/>
          <w:lang w:val="en-US" w:eastAsia="zh-CN"/>
        </w:rPr>
        <w:t>5.88</w:t>
      </w:r>
      <w:r>
        <w:rPr>
          <w:rFonts w:hint="eastAsia" w:ascii="仿宋" w:hAnsi="仿宋" w:eastAsia="仿宋"/>
          <w:color w:val="auto"/>
          <w:sz w:val="32"/>
          <w:szCs w:val="24"/>
          <w:lang w:val="en-US"/>
        </w:rPr>
        <w:t>万元，因预算数为0，无法计算百分比，主要原因是：</w:t>
      </w:r>
      <w:r>
        <w:rPr>
          <w:rFonts w:hint="eastAsia" w:ascii="仿宋" w:hAnsi="仿宋" w:eastAsia="仿宋"/>
          <w:color w:val="auto"/>
          <w:sz w:val="32"/>
          <w:szCs w:val="24"/>
          <w:lang w:val="en-US" w:eastAsia="zh-CN"/>
        </w:rPr>
        <w:t>年中追加预算。</w:t>
      </w:r>
    </w:p>
    <w:p w14:paraId="01FE26D2">
      <w:pPr>
        <w:keepNext/>
        <w:keepLines/>
        <w:spacing w:beforeLines="0" w:afterLines="0"/>
        <w:ind w:firstLine="640"/>
        <w:rPr>
          <w:rFonts w:hint="eastAsia" w:ascii="仿宋" w:hAnsi="仿宋" w:eastAsia="仿宋"/>
          <w:color w:val="auto"/>
          <w:sz w:val="32"/>
          <w:szCs w:val="24"/>
          <w:lang w:val="en-US"/>
        </w:rPr>
      </w:pPr>
      <w:r>
        <w:rPr>
          <w:rFonts w:hint="eastAsia" w:ascii="仿宋" w:hAnsi="仿宋" w:eastAsia="仿宋"/>
          <w:color w:val="auto"/>
          <w:sz w:val="32"/>
          <w:szCs w:val="24"/>
          <w:lang w:val="en-US" w:eastAsia="zh-CN"/>
        </w:rPr>
        <w:t>15、</w:t>
      </w:r>
      <w:r>
        <w:rPr>
          <w:rFonts w:hint="eastAsia" w:ascii="仿宋" w:hAnsi="仿宋" w:eastAsia="仿宋"/>
          <w:color w:val="auto"/>
          <w:sz w:val="32"/>
          <w:szCs w:val="24"/>
          <w:lang w:val="en-US"/>
        </w:rPr>
        <w:t>社会保障和就业支出（类）</w:t>
      </w:r>
      <w:r>
        <w:rPr>
          <w:rFonts w:hint="eastAsia" w:ascii="仿宋" w:hAnsi="仿宋" w:eastAsia="仿宋"/>
          <w:color w:val="auto"/>
          <w:sz w:val="32"/>
          <w:szCs w:val="24"/>
          <w:lang w:val="en-US" w:eastAsia="zh-CN"/>
        </w:rPr>
        <w:t>抚恤</w:t>
      </w:r>
      <w:r>
        <w:rPr>
          <w:rFonts w:hint="eastAsia" w:ascii="仿宋" w:hAnsi="仿宋" w:eastAsia="仿宋"/>
          <w:color w:val="auto"/>
          <w:sz w:val="32"/>
          <w:szCs w:val="24"/>
          <w:lang w:val="en-US"/>
        </w:rPr>
        <w:t>（款）</w:t>
      </w:r>
      <w:r>
        <w:rPr>
          <w:rFonts w:hint="eastAsia" w:ascii="仿宋" w:hAnsi="仿宋" w:eastAsia="仿宋"/>
          <w:color w:val="auto"/>
          <w:sz w:val="32"/>
          <w:szCs w:val="24"/>
          <w:lang w:val="en-US" w:eastAsia="zh-CN"/>
        </w:rPr>
        <w:t>其他优抚</w:t>
      </w:r>
      <w:r>
        <w:rPr>
          <w:rFonts w:hint="eastAsia" w:ascii="仿宋" w:hAnsi="仿宋" w:eastAsia="仿宋"/>
          <w:color w:val="auto"/>
          <w:sz w:val="32"/>
          <w:szCs w:val="24"/>
          <w:lang w:val="en-US"/>
        </w:rPr>
        <w:t>支出（项）。</w:t>
      </w:r>
    </w:p>
    <w:p w14:paraId="1F510F4F">
      <w:pPr>
        <w:keepNext/>
        <w:keepLines/>
        <w:spacing w:beforeLines="0" w:afterLines="0"/>
        <w:ind w:firstLine="640"/>
        <w:rPr>
          <w:rFonts w:hint="eastAsia" w:ascii="仿宋" w:hAnsi="仿宋" w:eastAsia="仿宋"/>
          <w:color w:val="auto"/>
          <w:sz w:val="32"/>
          <w:szCs w:val="24"/>
          <w:lang w:val="en-US" w:eastAsia="zh-CN"/>
        </w:rPr>
      </w:pPr>
      <w:r>
        <w:rPr>
          <w:rFonts w:hint="eastAsia" w:ascii="仿宋" w:hAnsi="仿宋" w:eastAsia="仿宋"/>
          <w:color w:val="auto"/>
          <w:sz w:val="32"/>
          <w:szCs w:val="24"/>
          <w:lang w:val="en-US"/>
        </w:rPr>
        <w:t>年初预算为</w:t>
      </w:r>
      <w:r>
        <w:rPr>
          <w:rFonts w:hint="eastAsia" w:ascii="仿宋" w:hAnsi="仿宋" w:eastAsia="仿宋"/>
          <w:color w:val="auto"/>
          <w:sz w:val="32"/>
          <w:szCs w:val="24"/>
          <w:lang w:val="en-US" w:eastAsia="zh-CN"/>
        </w:rPr>
        <w:t>0</w:t>
      </w:r>
      <w:r>
        <w:rPr>
          <w:rFonts w:hint="eastAsia" w:ascii="仿宋" w:hAnsi="仿宋" w:eastAsia="仿宋"/>
          <w:color w:val="auto"/>
          <w:sz w:val="32"/>
          <w:szCs w:val="24"/>
          <w:lang w:val="en-US"/>
        </w:rPr>
        <w:t>万元，支出决算为</w:t>
      </w:r>
      <w:r>
        <w:rPr>
          <w:rFonts w:hint="eastAsia" w:ascii="仿宋" w:hAnsi="仿宋" w:eastAsia="仿宋"/>
          <w:color w:val="auto"/>
          <w:sz w:val="32"/>
          <w:szCs w:val="24"/>
          <w:lang w:val="en-US" w:eastAsia="zh-CN"/>
        </w:rPr>
        <w:t>2.33</w:t>
      </w:r>
      <w:r>
        <w:rPr>
          <w:rFonts w:hint="eastAsia" w:ascii="仿宋" w:hAnsi="仿宋" w:eastAsia="仿宋"/>
          <w:color w:val="auto"/>
          <w:sz w:val="32"/>
          <w:szCs w:val="24"/>
          <w:lang w:val="en-US"/>
        </w:rPr>
        <w:t>万元，因预算数为0，无法计算百分比，主要原因是：</w:t>
      </w:r>
      <w:r>
        <w:rPr>
          <w:rFonts w:hint="eastAsia" w:ascii="仿宋" w:hAnsi="仿宋" w:eastAsia="仿宋"/>
          <w:color w:val="auto"/>
          <w:sz w:val="32"/>
          <w:szCs w:val="24"/>
          <w:lang w:val="en-US" w:eastAsia="zh-CN"/>
        </w:rPr>
        <w:t>年中追加预算。</w:t>
      </w:r>
    </w:p>
    <w:p w14:paraId="55A265F8">
      <w:pPr>
        <w:keepNext/>
        <w:keepLines/>
        <w:spacing w:beforeLines="0" w:afterLines="0"/>
        <w:ind w:firstLine="640"/>
        <w:rPr>
          <w:rFonts w:hint="eastAsia" w:ascii="仿宋" w:hAnsi="仿宋" w:eastAsia="仿宋"/>
          <w:color w:val="auto"/>
          <w:sz w:val="32"/>
          <w:szCs w:val="24"/>
          <w:lang w:val="en-US"/>
        </w:rPr>
      </w:pPr>
      <w:r>
        <w:rPr>
          <w:rFonts w:hint="eastAsia" w:ascii="仿宋" w:hAnsi="仿宋" w:eastAsia="仿宋"/>
          <w:color w:val="auto"/>
          <w:sz w:val="32"/>
          <w:szCs w:val="24"/>
          <w:lang w:val="en-US" w:eastAsia="zh-CN"/>
        </w:rPr>
        <w:t>16、</w:t>
      </w:r>
      <w:r>
        <w:rPr>
          <w:rFonts w:hint="eastAsia" w:ascii="仿宋" w:hAnsi="仿宋" w:eastAsia="仿宋"/>
          <w:color w:val="auto"/>
          <w:sz w:val="32"/>
          <w:szCs w:val="24"/>
          <w:lang w:val="en-US"/>
        </w:rPr>
        <w:t>社会保障和就业支出（类）</w:t>
      </w:r>
      <w:r>
        <w:rPr>
          <w:rFonts w:hint="eastAsia" w:ascii="仿宋" w:hAnsi="仿宋" w:eastAsia="仿宋"/>
          <w:color w:val="auto"/>
          <w:sz w:val="32"/>
          <w:szCs w:val="24"/>
          <w:lang w:val="en-US" w:eastAsia="zh-CN"/>
        </w:rPr>
        <w:t>残疾人事业</w:t>
      </w:r>
      <w:r>
        <w:rPr>
          <w:rFonts w:hint="eastAsia" w:ascii="仿宋" w:hAnsi="仿宋" w:eastAsia="仿宋"/>
          <w:color w:val="auto"/>
          <w:sz w:val="32"/>
          <w:szCs w:val="24"/>
          <w:lang w:val="en-US"/>
        </w:rPr>
        <w:t>（款）</w:t>
      </w:r>
      <w:r>
        <w:rPr>
          <w:rFonts w:hint="eastAsia" w:ascii="仿宋" w:hAnsi="仿宋" w:eastAsia="仿宋"/>
          <w:color w:val="auto"/>
          <w:sz w:val="32"/>
          <w:szCs w:val="24"/>
          <w:lang w:val="en-US" w:eastAsia="zh-CN"/>
        </w:rPr>
        <w:t>其他残疾人事业</w:t>
      </w:r>
      <w:r>
        <w:rPr>
          <w:rFonts w:hint="eastAsia" w:ascii="仿宋" w:hAnsi="仿宋" w:eastAsia="仿宋"/>
          <w:color w:val="auto"/>
          <w:sz w:val="32"/>
          <w:szCs w:val="24"/>
          <w:lang w:val="en-US"/>
        </w:rPr>
        <w:t>支出（项）。</w:t>
      </w:r>
    </w:p>
    <w:p w14:paraId="063D6A6F">
      <w:pPr>
        <w:keepNext/>
        <w:keepLines/>
        <w:spacing w:beforeLines="0" w:afterLines="0"/>
        <w:ind w:firstLine="640"/>
        <w:rPr>
          <w:rFonts w:hint="default" w:ascii="仿宋" w:hAnsi="仿宋" w:eastAsia="仿宋"/>
          <w:color w:val="auto"/>
          <w:sz w:val="32"/>
          <w:szCs w:val="24"/>
          <w:lang w:val="en-US" w:eastAsia="zh-CN"/>
        </w:rPr>
      </w:pPr>
      <w:r>
        <w:rPr>
          <w:rFonts w:hint="eastAsia" w:ascii="仿宋" w:hAnsi="仿宋" w:eastAsia="仿宋"/>
          <w:color w:val="auto"/>
          <w:sz w:val="32"/>
          <w:szCs w:val="24"/>
          <w:lang w:val="en-US"/>
        </w:rPr>
        <w:t>年初预算为</w:t>
      </w:r>
      <w:r>
        <w:rPr>
          <w:rFonts w:hint="eastAsia" w:ascii="仿宋" w:hAnsi="仿宋" w:eastAsia="仿宋"/>
          <w:color w:val="auto"/>
          <w:sz w:val="32"/>
          <w:szCs w:val="24"/>
          <w:lang w:val="en-US" w:eastAsia="zh-CN"/>
        </w:rPr>
        <w:t>3.76</w:t>
      </w:r>
      <w:r>
        <w:rPr>
          <w:rFonts w:hint="eastAsia" w:ascii="仿宋" w:hAnsi="仿宋" w:eastAsia="仿宋"/>
          <w:color w:val="auto"/>
          <w:sz w:val="32"/>
          <w:szCs w:val="24"/>
          <w:lang w:val="en-US"/>
        </w:rPr>
        <w:t>万元，支出决算为</w:t>
      </w:r>
      <w:r>
        <w:rPr>
          <w:rFonts w:hint="eastAsia" w:ascii="仿宋" w:hAnsi="仿宋" w:eastAsia="仿宋"/>
          <w:color w:val="auto"/>
          <w:sz w:val="32"/>
          <w:szCs w:val="24"/>
          <w:lang w:val="en-US" w:eastAsia="zh-CN"/>
        </w:rPr>
        <w:t>3.15</w:t>
      </w:r>
      <w:r>
        <w:rPr>
          <w:rFonts w:hint="eastAsia" w:ascii="仿宋" w:hAnsi="仿宋" w:eastAsia="仿宋"/>
          <w:color w:val="auto"/>
          <w:sz w:val="32"/>
          <w:szCs w:val="24"/>
          <w:lang w:val="en-US"/>
        </w:rPr>
        <w:t>万元，完成年初预算的</w:t>
      </w:r>
      <w:r>
        <w:rPr>
          <w:rFonts w:hint="eastAsia" w:ascii="仿宋" w:hAnsi="仿宋" w:eastAsia="仿宋"/>
          <w:color w:val="auto"/>
          <w:sz w:val="32"/>
          <w:szCs w:val="24"/>
          <w:lang w:val="en-US" w:eastAsia="zh-CN"/>
        </w:rPr>
        <w:t>83.78</w:t>
      </w:r>
      <w:r>
        <w:rPr>
          <w:rFonts w:hint="eastAsia" w:ascii="仿宋" w:hAnsi="仿宋" w:eastAsia="仿宋"/>
          <w:color w:val="auto"/>
          <w:sz w:val="32"/>
          <w:szCs w:val="24"/>
          <w:lang w:val="en-US"/>
        </w:rPr>
        <w:t>%</w:t>
      </w:r>
      <w:r>
        <w:rPr>
          <w:rFonts w:hint="eastAsia" w:ascii="仿宋" w:hAnsi="仿宋" w:eastAsia="仿宋"/>
          <w:color w:val="auto"/>
          <w:sz w:val="32"/>
          <w:szCs w:val="24"/>
          <w:lang w:val="en-US" w:eastAsia="zh-CN"/>
        </w:rPr>
        <w:t>，</w:t>
      </w:r>
      <w:r>
        <w:rPr>
          <w:rFonts w:hint="eastAsia" w:ascii="仿宋" w:hAnsi="仿宋" w:eastAsia="仿宋"/>
          <w:color w:val="auto"/>
          <w:sz w:val="32"/>
          <w:szCs w:val="24"/>
          <w:lang w:val="en-US"/>
        </w:rPr>
        <w:t>决算数小于预算数的主要原因是我单位严格按预算执行决算。</w:t>
      </w:r>
    </w:p>
    <w:p w14:paraId="2DE98407">
      <w:pPr>
        <w:keepNext/>
        <w:keepLines/>
        <w:spacing w:beforeLines="0" w:afterLines="0"/>
        <w:ind w:firstLine="640"/>
        <w:rPr>
          <w:rFonts w:hint="default" w:ascii="仿宋" w:hAnsi="仿宋" w:eastAsia="仿宋"/>
          <w:color w:val="auto"/>
          <w:sz w:val="32"/>
          <w:szCs w:val="24"/>
          <w:lang w:val="en-US" w:eastAsia="zh-CN"/>
        </w:rPr>
      </w:pPr>
      <w:r>
        <w:rPr>
          <w:rFonts w:hint="eastAsia" w:ascii="仿宋" w:hAnsi="仿宋" w:eastAsia="仿宋"/>
          <w:color w:val="auto"/>
          <w:sz w:val="32"/>
          <w:szCs w:val="24"/>
          <w:lang w:val="en-US" w:eastAsia="zh-CN"/>
        </w:rPr>
        <w:t>17、</w:t>
      </w:r>
      <w:r>
        <w:rPr>
          <w:rFonts w:hint="eastAsia" w:ascii="仿宋" w:hAnsi="仿宋" w:eastAsia="仿宋"/>
          <w:color w:val="auto"/>
          <w:sz w:val="32"/>
          <w:szCs w:val="24"/>
          <w:lang w:val="en-US"/>
        </w:rPr>
        <w:t>社会保障和就业支出（类）</w:t>
      </w:r>
      <w:r>
        <w:rPr>
          <w:rFonts w:hint="eastAsia" w:ascii="仿宋" w:hAnsi="仿宋" w:eastAsia="仿宋"/>
          <w:color w:val="auto"/>
          <w:sz w:val="32"/>
          <w:szCs w:val="24"/>
          <w:lang w:val="en-US" w:eastAsia="zh-CN"/>
        </w:rPr>
        <w:t>其他社会保障和就业支出</w:t>
      </w:r>
      <w:r>
        <w:rPr>
          <w:rFonts w:hint="eastAsia" w:ascii="仿宋" w:hAnsi="仿宋" w:eastAsia="仿宋"/>
          <w:color w:val="auto"/>
          <w:sz w:val="32"/>
          <w:szCs w:val="24"/>
          <w:lang w:val="en-US"/>
        </w:rPr>
        <w:t>（款）</w:t>
      </w:r>
      <w:r>
        <w:rPr>
          <w:rFonts w:hint="eastAsia" w:ascii="仿宋" w:hAnsi="仿宋" w:eastAsia="仿宋"/>
          <w:color w:val="auto"/>
          <w:sz w:val="32"/>
          <w:szCs w:val="24"/>
          <w:lang w:val="en-US" w:eastAsia="zh-CN"/>
        </w:rPr>
        <w:t>其他社会保障和就业支出</w:t>
      </w:r>
      <w:r>
        <w:rPr>
          <w:rFonts w:hint="eastAsia" w:ascii="仿宋" w:hAnsi="仿宋" w:eastAsia="仿宋"/>
          <w:color w:val="auto"/>
          <w:sz w:val="32"/>
          <w:szCs w:val="24"/>
          <w:lang w:val="en-US"/>
        </w:rPr>
        <w:t>（项）。</w:t>
      </w:r>
    </w:p>
    <w:p w14:paraId="3C1A5D51">
      <w:pPr>
        <w:keepNext/>
        <w:keepLines/>
        <w:spacing w:beforeLines="0" w:afterLines="0"/>
        <w:ind w:firstLine="640"/>
        <w:rPr>
          <w:rFonts w:hint="eastAsia" w:ascii="仿宋" w:hAnsi="仿宋" w:eastAsia="仿宋"/>
          <w:color w:val="auto"/>
          <w:sz w:val="32"/>
          <w:szCs w:val="24"/>
          <w:lang w:val="en-US"/>
        </w:rPr>
      </w:pPr>
      <w:r>
        <w:rPr>
          <w:rFonts w:hint="eastAsia" w:ascii="仿宋" w:hAnsi="仿宋" w:eastAsia="仿宋"/>
          <w:color w:val="auto"/>
          <w:sz w:val="32"/>
          <w:szCs w:val="24"/>
          <w:lang w:val="en-US"/>
        </w:rPr>
        <w:t>年初预算为</w:t>
      </w:r>
      <w:r>
        <w:rPr>
          <w:rFonts w:hint="eastAsia" w:ascii="仿宋" w:hAnsi="仿宋" w:eastAsia="仿宋"/>
          <w:color w:val="auto"/>
          <w:sz w:val="32"/>
          <w:szCs w:val="24"/>
          <w:lang w:val="en-US" w:eastAsia="zh-CN"/>
        </w:rPr>
        <w:t>0.87</w:t>
      </w:r>
      <w:r>
        <w:rPr>
          <w:rFonts w:hint="eastAsia" w:ascii="仿宋" w:hAnsi="仿宋" w:eastAsia="仿宋"/>
          <w:color w:val="auto"/>
          <w:sz w:val="32"/>
          <w:szCs w:val="24"/>
          <w:lang w:val="en-US"/>
        </w:rPr>
        <w:t>万元，支出决算为</w:t>
      </w:r>
      <w:r>
        <w:rPr>
          <w:rFonts w:hint="eastAsia" w:ascii="仿宋" w:hAnsi="仿宋" w:eastAsia="仿宋"/>
          <w:color w:val="auto"/>
          <w:sz w:val="32"/>
          <w:szCs w:val="24"/>
          <w:lang w:val="en-US" w:eastAsia="zh-CN"/>
        </w:rPr>
        <w:t>1.18</w:t>
      </w:r>
      <w:r>
        <w:rPr>
          <w:rFonts w:hint="eastAsia" w:ascii="仿宋" w:hAnsi="仿宋" w:eastAsia="仿宋"/>
          <w:color w:val="auto"/>
          <w:sz w:val="32"/>
          <w:szCs w:val="24"/>
          <w:lang w:val="en-US"/>
        </w:rPr>
        <w:t>万元，完成年初预算的</w:t>
      </w:r>
      <w:r>
        <w:rPr>
          <w:rFonts w:hint="eastAsia" w:ascii="仿宋" w:hAnsi="仿宋" w:eastAsia="仿宋"/>
          <w:color w:val="auto"/>
          <w:sz w:val="32"/>
          <w:szCs w:val="24"/>
          <w:lang w:val="en-US" w:eastAsia="zh-CN"/>
        </w:rPr>
        <w:t>135.63</w:t>
      </w:r>
      <w:r>
        <w:rPr>
          <w:rFonts w:hint="eastAsia" w:ascii="仿宋" w:hAnsi="仿宋" w:eastAsia="仿宋"/>
          <w:color w:val="auto"/>
          <w:sz w:val="32"/>
          <w:szCs w:val="24"/>
          <w:lang w:val="en-US"/>
        </w:rPr>
        <w:t>%。决算数大于预算数的主要原因是：</w:t>
      </w:r>
      <w:r>
        <w:rPr>
          <w:rFonts w:hint="eastAsia" w:ascii="仿宋" w:hAnsi="仿宋" w:eastAsia="仿宋"/>
          <w:color w:val="auto"/>
          <w:sz w:val="32"/>
          <w:szCs w:val="24"/>
          <w:lang w:val="en-US" w:eastAsia="zh-CN"/>
        </w:rPr>
        <w:t>年中调整预算。</w:t>
      </w:r>
    </w:p>
    <w:p w14:paraId="253E5ACD">
      <w:pPr>
        <w:keepNext/>
        <w:keepLines/>
        <w:spacing w:beforeLines="0" w:afterLines="0"/>
        <w:ind w:firstLine="640"/>
        <w:rPr>
          <w:rFonts w:hint="eastAsia" w:ascii="仿宋" w:hAnsi="仿宋" w:eastAsia="仿宋"/>
          <w:color w:val="auto"/>
          <w:sz w:val="32"/>
          <w:szCs w:val="24"/>
          <w:lang w:val="en-US" w:eastAsia="zh-CN"/>
        </w:rPr>
      </w:pPr>
      <w:r>
        <w:rPr>
          <w:rFonts w:hint="default" w:ascii="仿宋" w:hAnsi="仿宋" w:eastAsia="仿宋"/>
          <w:color w:val="auto"/>
          <w:sz w:val="32"/>
          <w:szCs w:val="24"/>
          <w:lang w:val="en-US"/>
        </w:rPr>
        <w:t>18</w:t>
      </w:r>
      <w:r>
        <w:rPr>
          <w:rFonts w:hint="eastAsia" w:ascii="仿宋" w:hAnsi="仿宋" w:eastAsia="仿宋"/>
          <w:color w:val="auto"/>
          <w:sz w:val="32"/>
          <w:szCs w:val="24"/>
          <w:lang w:val="en-US" w:eastAsia="zh-CN"/>
        </w:rPr>
        <w:t>、住房保障支出</w:t>
      </w:r>
      <w:r>
        <w:rPr>
          <w:rFonts w:hint="eastAsia" w:ascii="仿宋" w:hAnsi="仿宋" w:eastAsia="仿宋"/>
          <w:color w:val="auto"/>
          <w:sz w:val="32"/>
          <w:szCs w:val="24"/>
          <w:lang w:val="en-US"/>
        </w:rPr>
        <w:t>（类）</w:t>
      </w:r>
      <w:r>
        <w:rPr>
          <w:rFonts w:hint="eastAsia" w:ascii="仿宋" w:hAnsi="仿宋" w:eastAsia="仿宋"/>
          <w:color w:val="auto"/>
          <w:sz w:val="32"/>
          <w:szCs w:val="24"/>
          <w:lang w:val="en-US" w:eastAsia="zh-CN"/>
        </w:rPr>
        <w:t>住房改革支出</w:t>
      </w:r>
      <w:r>
        <w:rPr>
          <w:rFonts w:hint="eastAsia" w:ascii="仿宋" w:hAnsi="仿宋" w:eastAsia="仿宋"/>
          <w:color w:val="auto"/>
          <w:sz w:val="32"/>
          <w:szCs w:val="24"/>
          <w:lang w:val="en-US"/>
        </w:rPr>
        <w:t>（款）</w:t>
      </w:r>
      <w:r>
        <w:rPr>
          <w:rFonts w:hint="eastAsia" w:ascii="仿宋" w:hAnsi="仿宋" w:eastAsia="仿宋"/>
          <w:color w:val="auto"/>
          <w:sz w:val="32"/>
          <w:szCs w:val="24"/>
          <w:lang w:val="en-US" w:eastAsia="zh-CN"/>
        </w:rPr>
        <w:t>住房公积金</w:t>
      </w:r>
      <w:r>
        <w:rPr>
          <w:rFonts w:hint="eastAsia" w:ascii="仿宋" w:hAnsi="仿宋" w:eastAsia="仿宋"/>
          <w:color w:val="auto"/>
          <w:sz w:val="32"/>
          <w:szCs w:val="24"/>
          <w:lang w:val="en-US"/>
        </w:rPr>
        <w:t>（项）。</w:t>
      </w:r>
    </w:p>
    <w:p w14:paraId="75B97B01">
      <w:pPr>
        <w:keepNext/>
        <w:keepLines/>
        <w:spacing w:beforeLines="0" w:afterLines="0"/>
        <w:ind w:firstLine="640"/>
        <w:rPr>
          <w:rFonts w:hint="eastAsia" w:ascii="仿宋_GB2312" w:hAnsi="仿宋_GB2312" w:eastAsia="仿宋_GB2312" w:cs="仿宋_GB2312"/>
          <w:sz w:val="32"/>
          <w:szCs w:val="32"/>
        </w:rPr>
      </w:pPr>
      <w:r>
        <w:rPr>
          <w:rFonts w:hint="eastAsia" w:ascii="仿宋" w:hAnsi="仿宋" w:eastAsia="仿宋"/>
          <w:color w:val="auto"/>
          <w:sz w:val="32"/>
          <w:szCs w:val="24"/>
          <w:lang w:val="en-US"/>
        </w:rPr>
        <w:t>年初预算为</w:t>
      </w:r>
      <w:r>
        <w:rPr>
          <w:rFonts w:hint="eastAsia" w:ascii="仿宋" w:hAnsi="仿宋" w:eastAsia="仿宋"/>
          <w:color w:val="auto"/>
          <w:sz w:val="32"/>
          <w:szCs w:val="24"/>
          <w:lang w:val="en-US" w:eastAsia="zh-CN"/>
        </w:rPr>
        <w:t>34.76</w:t>
      </w:r>
      <w:r>
        <w:rPr>
          <w:rFonts w:hint="eastAsia" w:ascii="仿宋" w:hAnsi="仿宋" w:eastAsia="仿宋"/>
          <w:color w:val="auto"/>
          <w:sz w:val="32"/>
          <w:szCs w:val="24"/>
          <w:lang w:val="en-US"/>
        </w:rPr>
        <w:t>万元，支出决算为</w:t>
      </w:r>
      <w:r>
        <w:rPr>
          <w:rFonts w:hint="eastAsia" w:ascii="仿宋" w:hAnsi="仿宋" w:eastAsia="仿宋"/>
          <w:color w:val="auto"/>
          <w:sz w:val="32"/>
          <w:szCs w:val="24"/>
          <w:lang w:val="en-US" w:eastAsia="zh-CN"/>
        </w:rPr>
        <w:t>33.39</w:t>
      </w:r>
      <w:r>
        <w:rPr>
          <w:rFonts w:hint="eastAsia" w:ascii="仿宋" w:hAnsi="仿宋" w:eastAsia="仿宋"/>
          <w:color w:val="auto"/>
          <w:sz w:val="32"/>
          <w:szCs w:val="24"/>
          <w:lang w:val="en-US"/>
        </w:rPr>
        <w:t>万元，完成年初预算的</w:t>
      </w:r>
      <w:r>
        <w:rPr>
          <w:rFonts w:hint="eastAsia" w:ascii="仿宋" w:hAnsi="仿宋" w:eastAsia="仿宋"/>
          <w:color w:val="auto"/>
          <w:sz w:val="32"/>
          <w:szCs w:val="24"/>
          <w:lang w:val="en-US" w:eastAsia="zh-CN"/>
        </w:rPr>
        <w:t>96.06</w:t>
      </w:r>
      <w:r>
        <w:rPr>
          <w:rFonts w:hint="eastAsia" w:ascii="仿宋" w:hAnsi="仿宋" w:eastAsia="仿宋"/>
          <w:color w:val="auto"/>
          <w:sz w:val="32"/>
          <w:szCs w:val="24"/>
          <w:lang w:val="en-US"/>
        </w:rPr>
        <w:t>%</w:t>
      </w:r>
      <w:r>
        <w:rPr>
          <w:rFonts w:hint="eastAsia" w:ascii="仿宋" w:hAnsi="仿宋" w:eastAsia="仿宋"/>
          <w:color w:val="auto"/>
          <w:sz w:val="32"/>
          <w:szCs w:val="24"/>
          <w:lang w:val="en-US" w:eastAsia="zh-CN"/>
        </w:rPr>
        <w:t>，</w:t>
      </w:r>
      <w:r>
        <w:rPr>
          <w:rFonts w:hint="eastAsia" w:ascii="仿宋" w:hAnsi="仿宋" w:eastAsia="仿宋"/>
          <w:color w:val="auto"/>
          <w:sz w:val="32"/>
          <w:szCs w:val="24"/>
          <w:lang w:val="en-US"/>
        </w:rPr>
        <w:t>决算数小于预算数的主要原因是我单位严格按预算执行决算。</w:t>
      </w:r>
    </w:p>
    <w:p w14:paraId="31EDF72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SimHei" w:hAnsi="SimHei" w:eastAsia="SimHei" w:cs="SimHei"/>
          <w:b w:val="0"/>
          <w:bCs/>
          <w:sz w:val="32"/>
          <w:szCs w:val="32"/>
        </w:rPr>
      </w:pPr>
      <w:r>
        <w:rPr>
          <w:rFonts w:hint="eastAsia" w:ascii="SimHei" w:hAnsi="SimHei" w:eastAsia="SimHei" w:cs="SimHei"/>
          <w:b w:val="0"/>
          <w:bCs/>
          <w:sz w:val="32"/>
          <w:szCs w:val="32"/>
        </w:rPr>
        <w:t>六、一般公共预算财政拨款基本支出决算情况说明</w:t>
      </w:r>
    </w:p>
    <w:p w14:paraId="45689BF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580.67</w:t>
      </w:r>
      <w:r>
        <w:rPr>
          <w:rFonts w:hint="eastAsia" w:ascii="仿宋_GB2312" w:hAnsi="仿宋_GB2312" w:eastAsia="仿宋_GB2312" w:cs="仿宋_GB2312"/>
          <w:sz w:val="32"/>
          <w:szCs w:val="32"/>
        </w:rPr>
        <w:t>万元，其中：</w:t>
      </w:r>
    </w:p>
    <w:p w14:paraId="6681B84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530.36</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91.34</w:t>
      </w:r>
      <w:r>
        <w:rPr>
          <w:rFonts w:hint="eastAsia" w:ascii="仿宋_GB2312" w:hAnsi="仿宋_GB2312" w:eastAsia="仿宋_GB2312" w:cs="仿宋_GB2312"/>
          <w:sz w:val="32"/>
          <w:szCs w:val="32"/>
        </w:rPr>
        <w:t>%,主要包括基本工资、津贴补贴、奖金、伙食补助费</w:t>
      </w:r>
      <w:r>
        <w:rPr>
          <w:rFonts w:hint="eastAsia" w:ascii="仿宋_GB2312" w:hAnsi="仿宋_GB2312" w:eastAsia="仿宋_GB2312" w:cs="仿宋_GB2312"/>
          <w:sz w:val="32"/>
          <w:szCs w:val="32"/>
          <w:lang w:eastAsia="zh-CN"/>
        </w:rPr>
        <w:t>、绩效工资、机关事业单位基本养老保险缴费、职工基本医疗保险缴费、其他社会保障缴费、住房公积金、医疗费、退休费、生活补助、医疗费补助、其他对家庭和个人的补助。</w:t>
      </w:r>
    </w:p>
    <w:p w14:paraId="74D12AC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50.31</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8.66</w:t>
      </w:r>
      <w:r>
        <w:rPr>
          <w:rFonts w:hint="eastAsia" w:ascii="仿宋_GB2312" w:hAnsi="仿宋_GB2312" w:eastAsia="仿宋_GB2312" w:cs="仿宋_GB2312"/>
          <w:sz w:val="32"/>
          <w:szCs w:val="32"/>
        </w:rPr>
        <w:t>%，主要包</w:t>
      </w:r>
      <w:r>
        <w:rPr>
          <w:rFonts w:hint="eastAsia" w:ascii="仿宋_GB2312" w:hAnsi="仿宋_GB2312" w:eastAsia="仿宋_GB2312" w:cs="仿宋_GB2312"/>
          <w:sz w:val="32"/>
          <w:szCs w:val="32"/>
          <w:lang w:eastAsia="zh-CN"/>
        </w:rPr>
        <w:t>括水费、电费、邮电费、差旅费、公务接待费、劳务费、工会经费、福利费、公务用车运行维护费、其他交通费用、其他商品和服务支出、办公设备购置、其他交通工具购置</w:t>
      </w:r>
      <w:r>
        <w:rPr>
          <w:rFonts w:hint="eastAsia" w:ascii="仿宋_GB2312" w:hAnsi="仿宋_GB2312" w:eastAsia="仿宋_GB2312" w:cs="仿宋_GB2312"/>
          <w:sz w:val="32"/>
          <w:szCs w:val="32"/>
        </w:rPr>
        <w:t>。</w:t>
      </w:r>
    </w:p>
    <w:p w14:paraId="681DCFEC">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SimHei" w:hAnsi="SimHei" w:eastAsia="SimHei" w:cs="SimHei"/>
          <w:b w:val="0"/>
          <w:bCs/>
          <w:sz w:val="32"/>
          <w:szCs w:val="32"/>
        </w:rPr>
      </w:pPr>
      <w:r>
        <w:rPr>
          <w:rFonts w:hint="eastAsia" w:ascii="SimHei" w:hAnsi="SimHei" w:eastAsia="SimHei" w:cs="SimHei"/>
          <w:b w:val="0"/>
          <w:bCs/>
          <w:sz w:val="32"/>
          <w:szCs w:val="32"/>
        </w:rPr>
        <w:t>七、政府性基金预算收入支出决算情况</w:t>
      </w:r>
    </w:p>
    <w:p w14:paraId="6C5158FD">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SimHei" w:hAnsi="SimHei" w:eastAsia="SimHei" w:cs="SimHei"/>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color w:val="000000"/>
          <w:kern w:val="0"/>
          <w:sz w:val="32"/>
          <w:szCs w:val="32"/>
          <w:lang w:val="en-US" w:eastAsia="zh-CN" w:bidi="ar-SA"/>
        </w:rPr>
        <w:t>2025年度政府性基金预算财政拨款收入0万元；年初结转和结余0万元；支出0万元，其中基本支出0万元，项目支出0万元；年末结转和结余0万元。</w:t>
      </w:r>
    </w:p>
    <w:p w14:paraId="46FEA345">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SimHei" w:hAnsi="SimHei" w:eastAsia="SimHei" w:cs="SimHei"/>
          <w:b w:val="0"/>
          <w:bCs/>
          <w:color w:val="000000"/>
          <w:kern w:val="0"/>
          <w:sz w:val="32"/>
          <w:szCs w:val="32"/>
          <w:lang w:val="en-US" w:eastAsia="zh-CN" w:bidi="ar-SA"/>
        </w:rPr>
      </w:pPr>
      <w:r>
        <w:rPr>
          <w:rFonts w:hint="eastAsia" w:ascii="SimHei" w:hAnsi="SimHei" w:eastAsia="SimHei" w:cs="SimHei"/>
          <w:b w:val="0"/>
          <w:bCs/>
          <w:color w:val="000000"/>
          <w:kern w:val="0"/>
          <w:sz w:val="32"/>
          <w:szCs w:val="32"/>
          <w:lang w:val="en-US" w:eastAsia="zh-CN" w:bidi="ar-SA"/>
        </w:rPr>
        <w:t>八、国有资本经营预算财政拨款支出决算情况</w:t>
      </w:r>
    </w:p>
    <w:p w14:paraId="36E912FC">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2025年度国有资本经营预算财政拨款收入0万元；年初结转和结余0万元；支出0万元，其中：基本支出0万元，项目支出0万元；年末结转和结余0万元。</w:t>
      </w:r>
    </w:p>
    <w:p w14:paraId="45EAAEF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SimHei" w:hAnsi="SimHei" w:eastAsia="SimHei" w:cs="SimHei"/>
          <w:b w:val="0"/>
          <w:bCs/>
          <w:sz w:val="32"/>
          <w:szCs w:val="32"/>
          <w:highlight w:val="none"/>
        </w:rPr>
      </w:pPr>
      <w:r>
        <w:rPr>
          <w:rFonts w:hint="eastAsia" w:hAnsi="SimHei" w:cs="SimHei"/>
          <w:b w:val="0"/>
          <w:bCs/>
          <w:sz w:val="32"/>
          <w:szCs w:val="32"/>
          <w:highlight w:val="none"/>
          <w:lang w:eastAsia="zh-CN"/>
        </w:rPr>
        <w:t>九、</w:t>
      </w:r>
      <w:r>
        <w:rPr>
          <w:rFonts w:hint="eastAsia" w:ascii="SimHei" w:hAnsi="SimHei" w:eastAsia="SimHei" w:cs="SimHei"/>
          <w:b w:val="0"/>
          <w:bCs/>
          <w:sz w:val="32"/>
          <w:szCs w:val="32"/>
          <w:highlight w:val="none"/>
        </w:rPr>
        <w:t>财政拨款三公经费支出决算情况说明</w:t>
      </w:r>
    </w:p>
    <w:p w14:paraId="38C2553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63C4824B">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3.50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3.21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91.71</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3.31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50.78</w:t>
      </w:r>
      <w:r>
        <w:rPr>
          <w:rFonts w:ascii="Times New Roman" w:hAnsi="Times New Roman" w:eastAsia="仿宋_GB2312" w:cs="Times New Roman"/>
          <w:sz w:val="32"/>
          <w:szCs w:val="32"/>
        </w:rPr>
        <w:t>%。决算数大小于预算数的主要原因是</w:t>
      </w:r>
      <w:r>
        <w:rPr>
          <w:rFonts w:hint="eastAsia" w:ascii="Times New Roman" w:hAnsi="Times New Roman" w:eastAsia="仿宋_GB2312" w:cs="Times New Roman"/>
          <w:sz w:val="32"/>
          <w:szCs w:val="32"/>
        </w:rPr>
        <w:t>落实过紧日子要求，从严压减“三公”经费支出。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持续压减“三公”经费支出</w:t>
      </w:r>
      <w:r>
        <w:rPr>
          <w:rFonts w:ascii="Times New Roman" w:hAnsi="Times New Roman" w:eastAsia="仿宋_GB2312" w:cs="Times New Roman"/>
          <w:sz w:val="32"/>
          <w:szCs w:val="32"/>
        </w:rPr>
        <w:t>。</w:t>
      </w:r>
    </w:p>
    <w:p w14:paraId="5FC7F24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5A01F3BF">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因公出国（境）费支出预算为0万元，支出决算为0万元，决算数等于预算数，主要原因是我单位严格按预算执行决算；与上年一致，无增减变动，主要原因是未安排因公出国（境）活动。2025年度安排因公出国（境）团组0个，累计0人次。</w:t>
      </w:r>
    </w:p>
    <w:p w14:paraId="0AE5FC3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2.94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0.94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24.23</w:t>
      </w:r>
      <w:r>
        <w:rPr>
          <w:rFonts w:ascii="Times New Roman" w:hAnsi="Times New Roman" w:eastAsia="仿宋_GB2312" w:cs="Times New Roman"/>
          <w:sz w:val="32"/>
          <w:szCs w:val="32"/>
        </w:rPr>
        <w:t>%。其中：</w:t>
      </w:r>
    </w:p>
    <w:p w14:paraId="400C8EB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决算数等于预算数，主要原因是我单位严格按预算执行决算</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与上年一致，无增减变动，主要原因是两年均未购置公务用车。本单位</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p>
    <w:p w14:paraId="744080A0">
      <w:pPr>
        <w:pStyle w:val="12"/>
        <w:overflowPunct w:val="0"/>
        <w:autoSpaceDE/>
        <w:autoSpaceDN/>
        <w:spacing w:line="600" w:lineRule="exact"/>
        <w:ind w:firstLine="640" w:firstLineChars="200"/>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2.94</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公务用车燃油费、维修费、保险费等运行维护</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0.94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24.23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落实过紧日子要求，从严控制公务用车运行维护支出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加强公务用车管理，燃油费、维修费等运行维护支出减少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截止2025年</w:t>
      </w:r>
      <w:r>
        <w:rPr>
          <w:rFonts w:ascii="Times New Roman" w:hAnsi="Times New Roman" w:eastAsia="仿宋_GB2312" w:cs="Times New Roman"/>
          <w:sz w:val="32"/>
          <w:szCs w:val="32"/>
        </w:rPr>
        <w:t>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32915D3B">
      <w:pPr>
        <w:numPr>
          <w:ilvl w:val="0"/>
          <w:numId w:val="2"/>
        </w:num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52</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2.38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90.15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落实过紧日子要求，严格执行公务接待管理规定，从严控制接待批次、人次和标准</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公务接待批次和人次较上年减少，接待费用相应下降</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接待湖南省委机要局来馆考察调研接待用餐、韶山毛泽东纪念馆陈列部来馆交流接待用餐、何长工同志纪念馆来馆交流接待用餐</w:t>
      </w:r>
      <w:r>
        <w:rPr>
          <w:rFonts w:ascii="Times New Roman" w:hAnsi="Times New Roman" w:eastAsia="仿宋_GB2312" w:cs="Times New Roman"/>
          <w:sz w:val="32"/>
          <w:szCs w:val="32"/>
        </w:rPr>
        <w:t>发生的接待支出。</w:t>
      </w:r>
    </w:p>
    <w:p w14:paraId="79FA46CD">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4E96892D">
      <w:pPr>
        <w:pStyle w:val="12"/>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lang w:val="en-US" w:eastAsia="zh-CN"/>
        </w:rPr>
        <w:t>本级和所属单位均为事业单位，按照机关运行经费的口径，本年度机关运行经费为0。</w:t>
      </w:r>
    </w:p>
    <w:p w14:paraId="7F94393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SimHei" w:hAnsi="SimHei" w:eastAsia="SimHei" w:cs="SimHei"/>
          <w:b w:val="0"/>
          <w:bCs/>
          <w:sz w:val="32"/>
          <w:szCs w:val="32"/>
        </w:rPr>
      </w:pPr>
      <w:r>
        <w:rPr>
          <w:rFonts w:hint="eastAsia" w:ascii="SimHei" w:hAnsi="SimHei" w:eastAsia="SimHei" w:cs="SimHei"/>
          <w:b w:val="0"/>
          <w:bCs/>
          <w:sz w:val="32"/>
          <w:szCs w:val="32"/>
        </w:rPr>
        <w:t>十</w:t>
      </w:r>
      <w:r>
        <w:rPr>
          <w:rFonts w:hint="eastAsia" w:hAnsi="SimHei" w:cs="SimHei"/>
          <w:b w:val="0"/>
          <w:bCs/>
          <w:sz w:val="32"/>
          <w:szCs w:val="32"/>
          <w:lang w:eastAsia="zh-CN"/>
        </w:rPr>
        <w:t>一</w:t>
      </w:r>
      <w:r>
        <w:rPr>
          <w:rFonts w:hint="eastAsia" w:ascii="SimHei" w:hAnsi="SimHei" w:eastAsia="SimHei" w:cs="SimHei"/>
          <w:b w:val="0"/>
          <w:bCs/>
          <w:sz w:val="32"/>
          <w:szCs w:val="32"/>
        </w:rPr>
        <w:t>、一般性支出情况说明</w:t>
      </w:r>
    </w:p>
    <w:p w14:paraId="2A51F4B5">
      <w:pPr>
        <w:pStyle w:val="12"/>
        <w:ind w:firstLine="640" w:firstLineChars="200"/>
        <w:rPr>
          <w:rFonts w:hint="eastAsia" w:ascii="楷体" w:hAnsi="楷体" w:eastAsia="楷体" w:cs="楷体"/>
          <w:b/>
          <w:bCs/>
          <w:i w:val="0"/>
          <w:iCs w:val="0"/>
          <w:color w:val="FF0000"/>
          <w:kern w:val="0"/>
          <w:sz w:val="40"/>
          <w:szCs w:val="40"/>
          <w:lang w:val="en-US" w:eastAsia="zh-CN" w:bidi="ar-SA"/>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年度，本单位无会议费的预算和支出决算数；</w:t>
      </w:r>
      <w:r>
        <w:rPr>
          <w:rFonts w:hint="eastAsia" w:ascii="仿宋_GB2312" w:hAnsi="仿宋_GB2312" w:eastAsia="仿宋_GB2312" w:cs="仿宋_GB2312"/>
          <w:color w:val="000000"/>
          <w:kern w:val="0"/>
          <w:sz w:val="32"/>
          <w:szCs w:val="32"/>
          <w:lang w:val="en-US" w:eastAsia="zh-CN" w:bidi="ar-SA"/>
        </w:rPr>
        <w:t>本单位无培训费的预算和支出决算数；本单位无举办节庆、晚会、论坛、赛事等活动的预算和支出决算数。</w:t>
      </w:r>
    </w:p>
    <w:p w14:paraId="52D9862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SimHei" w:hAnsi="SimHei" w:eastAsia="SimHei" w:cs="SimHei"/>
          <w:b w:val="0"/>
          <w:bCs/>
          <w:sz w:val="32"/>
          <w:szCs w:val="32"/>
          <w:highlight w:val="none"/>
        </w:rPr>
      </w:pPr>
      <w:r>
        <w:rPr>
          <w:rFonts w:hint="eastAsia" w:ascii="SimHei" w:hAnsi="SimHei" w:eastAsia="SimHei" w:cs="SimHei"/>
          <w:b w:val="0"/>
          <w:bCs/>
          <w:sz w:val="32"/>
          <w:szCs w:val="32"/>
          <w:highlight w:val="none"/>
        </w:rPr>
        <w:t>十</w:t>
      </w:r>
      <w:r>
        <w:rPr>
          <w:rFonts w:hint="eastAsia" w:hAnsi="SimHei" w:cs="SimHei"/>
          <w:b w:val="0"/>
          <w:bCs/>
          <w:sz w:val="32"/>
          <w:szCs w:val="32"/>
          <w:highlight w:val="none"/>
          <w:lang w:eastAsia="zh-CN"/>
        </w:rPr>
        <w:t>二</w:t>
      </w:r>
      <w:r>
        <w:rPr>
          <w:rFonts w:hint="eastAsia" w:ascii="SimHei" w:hAnsi="SimHei" w:eastAsia="SimHei" w:cs="SimHei"/>
          <w:b w:val="0"/>
          <w:bCs/>
          <w:sz w:val="32"/>
          <w:szCs w:val="32"/>
          <w:highlight w:val="none"/>
        </w:rPr>
        <w:t>、关于政府采购支出说明</w:t>
      </w:r>
    </w:p>
    <w:p w14:paraId="69F897B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i/>
          <w:color w:val="FF0000"/>
          <w:sz w:val="32"/>
          <w:szCs w:val="32"/>
          <w:lang w:val="en-US" w:eastAsia="zh-CN"/>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193.81</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193.81</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193.81</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193.81</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p>
    <w:p w14:paraId="06A936FB">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SimHei" w:hAnsi="SimHei" w:eastAsia="SimHei" w:cs="SimHei"/>
          <w:b w:val="0"/>
          <w:bCs/>
          <w:color w:val="auto"/>
          <w:sz w:val="32"/>
          <w:szCs w:val="32"/>
          <w:highlight w:val="none"/>
        </w:rPr>
      </w:pPr>
      <w:r>
        <w:rPr>
          <w:rFonts w:hint="eastAsia" w:ascii="SimHei" w:hAnsi="SimHei" w:eastAsia="SimHei" w:cs="SimHei"/>
          <w:b w:val="0"/>
          <w:bCs/>
          <w:color w:val="auto"/>
          <w:sz w:val="32"/>
          <w:szCs w:val="32"/>
          <w:highlight w:val="none"/>
        </w:rPr>
        <w:t>十</w:t>
      </w:r>
      <w:r>
        <w:rPr>
          <w:rFonts w:hint="eastAsia" w:hAnsi="SimHei" w:cs="SimHei"/>
          <w:b w:val="0"/>
          <w:bCs/>
          <w:color w:val="auto"/>
          <w:sz w:val="32"/>
          <w:szCs w:val="32"/>
          <w:highlight w:val="none"/>
          <w:lang w:eastAsia="zh-CN"/>
        </w:rPr>
        <w:t>三</w:t>
      </w:r>
      <w:r>
        <w:rPr>
          <w:rFonts w:hint="eastAsia" w:ascii="SimHei" w:hAnsi="SimHei" w:eastAsia="SimHei" w:cs="SimHei"/>
          <w:b w:val="0"/>
          <w:bCs/>
          <w:color w:val="auto"/>
          <w:sz w:val="32"/>
          <w:szCs w:val="32"/>
          <w:highlight w:val="none"/>
        </w:rPr>
        <w:t>、关于国有资产占用情况说明</w:t>
      </w:r>
    </w:p>
    <w:p w14:paraId="74361D3C">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SimHei" w:hAnsi="SimHei" w:eastAsia="SimHei" w:cs="SimHei"/>
          <w:b w:val="0"/>
          <w:bCs/>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部门（单位）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highlight w:val="none"/>
        </w:rPr>
        <w:t>单位价值100万元以上设备</w:t>
      </w:r>
      <w:r>
        <w:rPr>
          <w:rFonts w:hint="eastAsia" w:ascii="仿宋_GB2312" w:hAnsi="仿宋_GB2312" w:eastAsia="仿宋_GB2312" w:cs="仿宋_GB2312"/>
          <w:color w:val="auto"/>
          <w:sz w:val="32"/>
          <w:szCs w:val="32"/>
          <w:highlight w:val="none"/>
          <w:lang w:eastAsia="zh-CN"/>
        </w:rPr>
        <w:t>（不含车辆）</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台（套）。</w:t>
      </w:r>
    </w:p>
    <w:p w14:paraId="011F860D">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SimHei" w:hAnsi="SimHei" w:eastAsia="SimHei" w:cs="SimHei"/>
          <w:b w:val="0"/>
          <w:bCs/>
          <w:color w:val="auto"/>
          <w:sz w:val="32"/>
          <w:szCs w:val="32"/>
          <w:highlight w:val="none"/>
        </w:rPr>
      </w:pPr>
      <w:r>
        <w:rPr>
          <w:rFonts w:hint="eastAsia" w:ascii="SimHei" w:hAnsi="SimHei" w:eastAsia="SimHei" w:cs="SimHei"/>
          <w:b w:val="0"/>
          <w:bCs/>
          <w:color w:val="auto"/>
          <w:sz w:val="32"/>
          <w:szCs w:val="32"/>
          <w:highlight w:val="none"/>
        </w:rPr>
        <w:t>十</w:t>
      </w:r>
      <w:r>
        <w:rPr>
          <w:rFonts w:hint="eastAsia" w:hAnsi="SimHei" w:cs="SimHei"/>
          <w:b w:val="0"/>
          <w:bCs/>
          <w:color w:val="auto"/>
          <w:sz w:val="32"/>
          <w:szCs w:val="32"/>
          <w:highlight w:val="none"/>
          <w:lang w:eastAsia="zh-CN"/>
        </w:rPr>
        <w:t>四</w:t>
      </w:r>
      <w:r>
        <w:rPr>
          <w:rFonts w:hint="eastAsia" w:ascii="SimHei" w:hAnsi="SimHei" w:eastAsia="SimHei" w:cs="SimHei"/>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SimHei" w:hAnsi="SimHei" w:eastAsia="SimHei" w:cs="SimHei"/>
          <w:b w:val="0"/>
          <w:bCs/>
          <w:color w:val="auto"/>
          <w:sz w:val="32"/>
          <w:szCs w:val="32"/>
          <w:highlight w:val="none"/>
        </w:rPr>
        <w:t>度</w:t>
      </w:r>
      <w:r>
        <w:rPr>
          <w:rFonts w:hint="eastAsia" w:hAnsi="SimHei" w:cs="SimHei"/>
          <w:b w:val="0"/>
          <w:bCs/>
          <w:color w:val="auto"/>
          <w:sz w:val="32"/>
          <w:szCs w:val="32"/>
          <w:highlight w:val="none"/>
          <w:lang w:eastAsia="zh-CN"/>
        </w:rPr>
        <w:t>预算</w:t>
      </w:r>
      <w:r>
        <w:rPr>
          <w:rFonts w:hint="eastAsia" w:ascii="SimHei" w:hAnsi="SimHei" w:eastAsia="SimHei" w:cs="SimHei"/>
          <w:b w:val="0"/>
          <w:bCs/>
          <w:color w:val="auto"/>
          <w:sz w:val="32"/>
          <w:szCs w:val="32"/>
          <w:highlight w:val="none"/>
        </w:rPr>
        <w:t>绩效</w:t>
      </w:r>
      <w:r>
        <w:rPr>
          <w:rFonts w:hint="eastAsia" w:hAnsi="SimHei" w:cs="SimHei"/>
          <w:b w:val="0"/>
          <w:bCs/>
          <w:color w:val="auto"/>
          <w:sz w:val="32"/>
          <w:szCs w:val="32"/>
          <w:highlight w:val="none"/>
          <w:lang w:eastAsia="zh-CN"/>
        </w:rPr>
        <w:t>管理</w:t>
      </w:r>
      <w:r>
        <w:rPr>
          <w:rFonts w:hint="eastAsia" w:ascii="SimHei" w:hAnsi="SimHei" w:eastAsia="SimHei" w:cs="SimHei"/>
          <w:b w:val="0"/>
          <w:bCs/>
          <w:color w:val="auto"/>
          <w:sz w:val="32"/>
          <w:szCs w:val="32"/>
          <w:highlight w:val="none"/>
        </w:rPr>
        <w:t>情况的说明</w:t>
      </w:r>
    </w:p>
    <w:p w14:paraId="7429A976">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1CDD1BD8">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2769.73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2769.73</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p>
    <w:p w14:paraId="44CE1B79">
      <w:pPr>
        <w:overflowPunct w:val="0"/>
        <w:spacing w:line="600" w:lineRule="exact"/>
        <w:ind w:firstLine="640" w:firstLineChars="200"/>
        <w:rPr>
          <w:rFonts w:hint="eastAsia" w:ascii="Times New Roman" w:hAnsi="Times New Roman" w:eastAsia="仿宋_GB2312" w:cs="Times New Roman"/>
          <w:kern w:val="0"/>
          <w:sz w:val="32"/>
          <w:szCs w:val="32"/>
          <w:highlight w:val="none"/>
          <w:lang w:eastAsia="zh-CN"/>
        </w:rPr>
      </w:pPr>
      <w:r>
        <w:rPr>
          <w:rFonts w:hint="eastAsia" w:ascii="Times New Roman" w:hAnsi="Times New Roman" w:eastAsia="仿宋_GB2312" w:cs="Times New Roman"/>
          <w:kern w:val="0"/>
          <w:sz w:val="32"/>
          <w:szCs w:val="32"/>
          <w:highlight w:val="none"/>
        </w:rPr>
        <w:t>自评认为，绩效目标总体完成，产出和效益达到预期；预算管理、资产管理和业务运行规范，运行成本可控，管理效率、履职效能、社会效应、可持续发展能力和服务对象满意度总体较好。综合自评等级</w:t>
      </w:r>
      <w:r>
        <w:rPr>
          <w:rFonts w:hint="eastAsia" w:ascii="Times New Roman" w:hAnsi="Times New Roman" w:eastAsia="仿宋_GB2312" w:cs="Times New Roman"/>
          <w:kern w:val="0"/>
          <w:sz w:val="32"/>
          <w:szCs w:val="32"/>
          <w:highlight w:val="none"/>
          <w:lang w:eastAsia="zh-CN"/>
        </w:rPr>
        <w:t>为优秀</w:t>
      </w:r>
      <w:r>
        <w:rPr>
          <w:rFonts w:hint="eastAsia" w:ascii="Times New Roman" w:hAnsi="Times New Roman" w:eastAsia="仿宋_GB2312" w:cs="Times New Roman"/>
          <w:kern w:val="0"/>
          <w:sz w:val="32"/>
          <w:szCs w:val="32"/>
          <w:highlight w:val="none"/>
        </w:rPr>
        <w:t>。</w:t>
      </w:r>
    </w:p>
    <w:p w14:paraId="311B09E7">
      <w:pPr>
        <w:overflowPunct w:val="0"/>
        <w:spacing w:line="600" w:lineRule="exact"/>
        <w:ind w:firstLine="640" w:firstLineChars="200"/>
        <w:rPr>
          <w:rFonts w:hint="eastAsia" w:ascii="Times New Roman" w:hAnsi="Times New Roman" w:eastAsia="仿宋_GB2312" w:cs="Times New Roman"/>
          <w:color w:val="auto"/>
          <w:kern w:val="0"/>
          <w:sz w:val="32"/>
          <w:szCs w:val="32"/>
          <w:lang w:eastAsia="zh-CN"/>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hint="eastAsia" w:ascii="Times New Roman" w:hAnsi="Times New Roman" w:eastAsia="仿宋_GB2312" w:cs="Times New Roman"/>
          <w:color w:val="auto"/>
          <w:kern w:val="0"/>
          <w:sz w:val="32"/>
          <w:szCs w:val="32"/>
          <w:lang w:val="en-US" w:eastAsia="zh-CN"/>
        </w:rPr>
        <w:t>本单位及所属单位本年度未开展项目，所以无部门评价开展情况。</w:t>
      </w:r>
    </w:p>
    <w:p w14:paraId="15D348E3">
      <w:pPr>
        <w:overflowPunct w:val="0"/>
        <w:spacing w:line="600" w:lineRule="exact"/>
        <w:ind w:firstLine="640" w:firstLineChars="200"/>
        <w:rPr>
          <w:rFonts w:hint="eastAsia" w:ascii="Times New Roman" w:hAnsi="Times New Roman" w:eastAsia="仿宋_GB2312" w:cs="Times New Roman"/>
          <w:color w:val="FF0000"/>
          <w:kern w:val="0"/>
          <w:sz w:val="32"/>
          <w:szCs w:val="32"/>
          <w:lang w:val="en-US" w:eastAsia="zh-CN"/>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kern w:val="0"/>
          <w:sz w:val="32"/>
          <w:szCs w:val="32"/>
          <w:lang w:val="en-US" w:eastAsia="zh-CN"/>
        </w:rPr>
        <w:t>本单位及所属单位本年度未新增重大政策和重大项目，所以无事前绩效评估开展情况。</w:t>
      </w:r>
    </w:p>
    <w:p w14:paraId="272BF02E">
      <w:pPr>
        <w:overflowPunct w:val="0"/>
        <w:spacing w:line="600" w:lineRule="exact"/>
        <w:ind w:firstLine="640" w:firstLineChars="200"/>
        <w:rPr>
          <w:rFonts w:ascii="Times New Roman" w:hAnsi="Times New Roman" w:eastAsia="楷体" w:cs="Times New Roman"/>
          <w:b/>
          <w:bCs/>
          <w:sz w:val="32"/>
          <w:szCs w:val="32"/>
        </w:rPr>
      </w:pPr>
    </w:p>
    <w:p w14:paraId="6F44B6CC">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3497F4A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3961.64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2819.40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71.17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97.09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一是年度工作任务总体完成，资金使用合规，部门运转和重点支出得到有效保障；二是履职效能和服务水平稳步提升，绩效目标基本实现</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一是预算执行率偏低，部分项目推进较慢；二是绩效管理不够精细，指标约束和结果运用有待加强。</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一是强化预算执行管理，加快项目推进和资金支付；二是完善绩效管理，强化结果运用，提高资金使用效益。</w:t>
      </w:r>
    </w:p>
    <w:p w14:paraId="70EE29D3">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kern w:val="0"/>
          <w:sz w:val="32"/>
          <w:szCs w:val="32"/>
          <w:highlight w:val="none"/>
          <w:lang w:val="en-US" w:eastAsia="zh-CN"/>
        </w:rPr>
        <w:t>本单位及所属单位本年度未开展部门评价，所以无部门评价结果。</w:t>
      </w:r>
    </w:p>
    <w:p w14:paraId="789C6712">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kern w:val="0"/>
          <w:sz w:val="32"/>
          <w:szCs w:val="32"/>
          <w:highlight w:val="none"/>
          <w:lang w:val="en-US" w:eastAsia="zh-CN"/>
        </w:rPr>
        <w:t>本单位及所属单位本年度未开展事前绩效评估，所以无事前绩效评估结果。</w:t>
      </w:r>
    </w:p>
    <w:p w14:paraId="617453EE">
      <w:pPr>
        <w:pStyle w:val="12"/>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color w:val="FF0000"/>
          <w:sz w:val="32"/>
          <w:szCs w:val="32"/>
        </w:rPr>
      </w:pPr>
    </w:p>
    <w:p w14:paraId="15F7F28B">
      <w:pPr>
        <w:numPr>
          <w:ilvl w:val="0"/>
          <w:numId w:val="3"/>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1A2F0328">
      <w:pPr>
        <w:numPr>
          <w:ilvl w:val="0"/>
          <w:numId w:val="0"/>
        </w:numPr>
        <w:autoSpaceDE w:val="0"/>
        <w:autoSpaceDN w:val="0"/>
        <w:adjustRightInd w:val="0"/>
        <w:ind w:firstLine="640" w:firstLineChars="200"/>
        <w:jc w:val="lef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请根据</w:t>
      </w:r>
      <w:r>
        <w:rPr>
          <w:rFonts w:hint="eastAsia" w:ascii="Times New Roman" w:hAnsi="Times New Roman" w:eastAsia="仿宋_GB2312" w:cs="Times New Roman"/>
          <w:color w:val="auto"/>
          <w:sz w:val="32"/>
          <w:szCs w:val="32"/>
          <w:highlight w:val="none"/>
          <w:lang w:eastAsia="zh-CN"/>
        </w:rPr>
        <w:t>2025年</w:t>
      </w:r>
      <w:r>
        <w:rPr>
          <w:rFonts w:ascii="Times New Roman" w:hAnsi="Times New Roman" w:eastAsia="仿宋_GB2312" w:cs="Times New Roman"/>
          <w:color w:val="auto"/>
          <w:sz w:val="32"/>
          <w:szCs w:val="32"/>
          <w:highlight w:val="none"/>
        </w:rPr>
        <w:t>度绩效自评结果、部门评价结果、</w:t>
      </w:r>
      <w:r>
        <w:rPr>
          <w:rFonts w:hint="eastAsia" w:ascii="Times New Roman" w:hAnsi="Times New Roman" w:eastAsia="仿宋_GB2312" w:cs="Times New Roman"/>
          <w:color w:val="auto"/>
          <w:sz w:val="32"/>
          <w:szCs w:val="32"/>
          <w:highlight w:val="none"/>
          <w:lang w:eastAsia="zh-CN"/>
        </w:rPr>
        <w:t>事前绩效评估</w:t>
      </w:r>
      <w:r>
        <w:rPr>
          <w:rFonts w:ascii="Times New Roman" w:hAnsi="Times New Roman" w:eastAsia="仿宋_GB2312" w:cs="Times New Roman"/>
          <w:color w:val="auto"/>
          <w:sz w:val="32"/>
          <w:szCs w:val="32"/>
          <w:highlight w:val="none"/>
        </w:rPr>
        <w:t>结果对本部门2025年度预算安排，支出结构调整，资金管理，制度建设等方面结果运用进行简要说明。</w:t>
      </w:r>
    </w:p>
    <w:p w14:paraId="006173D2">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70CF9192">
      <w:pPr>
        <w:pStyle w:val="7"/>
        <w:rPr>
          <w:rFonts w:hint="eastAsia"/>
          <w:lang w:val="en-US" w:eastAsia="zh-CN"/>
        </w:rPr>
      </w:pPr>
    </w:p>
    <w:p w14:paraId="0E04219C">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07EBAAA3">
      <w:pPr>
        <w:pStyle w:val="12"/>
        <w:jc w:val="both"/>
        <w:rPr>
          <w:rFonts w:hint="eastAsia" w:ascii="方正小标宋_GBK" w:hAnsi="方正小标宋_GBK" w:eastAsia="方正小标宋_GBK" w:cs="方正小标宋_GBK"/>
          <w:sz w:val="24"/>
          <w:szCs w:val="24"/>
        </w:rPr>
      </w:pPr>
    </w:p>
    <w:p w14:paraId="5D92D7F3">
      <w:pPr>
        <w:pStyle w:val="12"/>
        <w:jc w:val="center"/>
        <w:rPr>
          <w:rFonts w:hint="eastAsia" w:ascii="方正小标宋_GBK" w:hAnsi="方正小标宋_GBK" w:eastAsia="方正小标宋_GBK" w:cs="方正小标宋_GBK"/>
          <w:sz w:val="72"/>
          <w:szCs w:val="72"/>
        </w:rPr>
      </w:pPr>
    </w:p>
    <w:p w14:paraId="3E06B65B">
      <w:pPr>
        <w:pStyle w:val="12"/>
        <w:jc w:val="center"/>
        <w:rPr>
          <w:rFonts w:hint="eastAsia" w:ascii="方正小标宋_GBK" w:hAnsi="方正小标宋_GBK" w:eastAsia="方正小标宋_GBK" w:cs="方正小标宋_GBK"/>
          <w:sz w:val="72"/>
          <w:szCs w:val="72"/>
        </w:rPr>
      </w:pPr>
    </w:p>
    <w:p w14:paraId="2006B4A0">
      <w:pP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br w:type="page"/>
      </w:r>
    </w:p>
    <w:p w14:paraId="29A11B11">
      <w:pPr>
        <w:pStyle w:val="12"/>
        <w:jc w:val="center"/>
        <w:rPr>
          <w:rFonts w:hint="eastAsia" w:ascii="方正小标宋_GBK" w:hAnsi="方正小标宋_GBK" w:eastAsia="方正小标宋_GBK" w:cs="方正小标宋_GBK"/>
          <w:sz w:val="72"/>
          <w:szCs w:val="72"/>
        </w:rPr>
      </w:pPr>
    </w:p>
    <w:p w14:paraId="4D9FAA36">
      <w:pPr>
        <w:pStyle w:val="12"/>
        <w:jc w:val="center"/>
        <w:rPr>
          <w:rFonts w:hint="eastAsia" w:ascii="方正小标宋_GBK" w:hAnsi="方正小标宋_GBK" w:eastAsia="方正小标宋_GBK" w:cs="方正小标宋_GBK"/>
          <w:sz w:val="72"/>
          <w:szCs w:val="72"/>
        </w:rPr>
      </w:pPr>
    </w:p>
    <w:p w14:paraId="4FDA6EFC">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7978A156">
      <w:pPr>
        <w:jc w:val="center"/>
        <w:rPr>
          <w:rFonts w:hint="eastAsia" w:ascii="方正小标宋_GBK" w:hAnsi="方正小标宋_GBK" w:eastAsia="方正小标宋_GBK" w:cs="方正小标宋_GBK"/>
          <w:color w:val="000000"/>
          <w:kern w:val="0"/>
          <w:sz w:val="70"/>
          <w:szCs w:val="70"/>
        </w:rPr>
      </w:pPr>
    </w:p>
    <w:p w14:paraId="307F6F22">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3FD5E859">
      <w:pPr>
        <w:pStyle w:val="7"/>
      </w:pPr>
    </w:p>
    <w:p w14:paraId="5334C1B4">
      <w:pPr>
        <w:pStyle w:val="3"/>
      </w:pPr>
    </w:p>
    <w:p w14:paraId="7ABC8791"/>
    <w:p w14:paraId="0681F8D0">
      <w:pPr>
        <w:pStyle w:val="7"/>
      </w:pPr>
    </w:p>
    <w:p w14:paraId="6345D900">
      <w:pPr>
        <w:pStyle w:val="3"/>
      </w:pPr>
    </w:p>
    <w:p w14:paraId="7CFA6A38"/>
    <w:p w14:paraId="68502A1D">
      <w:pPr>
        <w:pStyle w:val="7"/>
      </w:pPr>
    </w:p>
    <w:p w14:paraId="5719791E">
      <w:pPr>
        <w:pStyle w:val="3"/>
      </w:pPr>
    </w:p>
    <w:p w14:paraId="11437586"/>
    <w:p w14:paraId="324438F4">
      <w:pPr>
        <w:pStyle w:val="7"/>
      </w:pPr>
    </w:p>
    <w:p w14:paraId="48D235E9">
      <w:pPr>
        <w:pStyle w:val="3"/>
      </w:pPr>
    </w:p>
    <w:p w14:paraId="51C0A6B2"/>
    <w:p w14:paraId="48C2F634">
      <w:pPr>
        <w:jc w:val="left"/>
        <w:rPr>
          <w:rFonts w:hint="eastAsia" w:ascii="仿宋_GB2312" w:hAnsi="仿宋_GB2312" w:eastAsia="仿宋_GB2312" w:cs="仿宋_GB2312"/>
          <w:color w:val="000000"/>
          <w:kern w:val="0"/>
          <w:sz w:val="32"/>
          <w:szCs w:val="32"/>
        </w:rPr>
      </w:pPr>
    </w:p>
    <w:p w14:paraId="6C387F37">
      <w:pPr>
        <w:pStyle w:val="7"/>
        <w:rPr>
          <w:rFonts w:hint="eastAsia" w:ascii="仿宋_GB2312" w:hAnsi="仿宋_GB2312" w:eastAsia="仿宋_GB2312" w:cs="仿宋_GB2312"/>
          <w:color w:val="000000"/>
          <w:kern w:val="0"/>
          <w:sz w:val="32"/>
          <w:szCs w:val="32"/>
        </w:rPr>
      </w:pPr>
    </w:p>
    <w:p w14:paraId="686A1E00">
      <w:pPr>
        <w:pStyle w:val="3"/>
        <w:rPr>
          <w:rFonts w:hint="eastAsia" w:ascii="仿宋_GB2312" w:hAnsi="仿宋_GB2312" w:eastAsia="仿宋_GB2312" w:cs="仿宋_GB2312"/>
          <w:color w:val="000000"/>
          <w:kern w:val="0"/>
          <w:sz w:val="32"/>
          <w:szCs w:val="32"/>
        </w:rPr>
      </w:pPr>
    </w:p>
    <w:p w14:paraId="14304BD8">
      <w:pPr>
        <w:rPr>
          <w:rFonts w:hint="eastAsia" w:ascii="仿宋_GB2312" w:hAnsi="仿宋_GB2312" w:eastAsia="仿宋_GB2312" w:cs="仿宋_GB2312"/>
          <w:color w:val="000000"/>
          <w:kern w:val="0"/>
          <w:sz w:val="32"/>
          <w:szCs w:val="32"/>
        </w:rPr>
      </w:pPr>
    </w:p>
    <w:p w14:paraId="22D0D5BF">
      <w:pPr>
        <w:pStyle w:val="7"/>
        <w:rPr>
          <w:rFonts w:hint="eastAsia" w:ascii="仿宋_GB2312" w:hAnsi="仿宋_GB2312" w:eastAsia="仿宋_GB2312" w:cs="仿宋_GB2312"/>
          <w:color w:val="000000"/>
          <w:kern w:val="0"/>
          <w:sz w:val="32"/>
          <w:szCs w:val="32"/>
        </w:rPr>
      </w:pPr>
    </w:p>
    <w:p w14:paraId="6A45E48F">
      <w:pPr>
        <w:pStyle w:val="3"/>
        <w:rPr>
          <w:rFonts w:hint="eastAsia" w:ascii="仿宋_GB2312" w:hAnsi="仿宋_GB2312" w:eastAsia="仿宋_GB2312" w:cs="仿宋_GB2312"/>
          <w:color w:val="000000"/>
          <w:kern w:val="0"/>
          <w:sz w:val="32"/>
          <w:szCs w:val="32"/>
        </w:rPr>
      </w:pPr>
    </w:p>
    <w:p w14:paraId="77A7C177">
      <w:pPr>
        <w:rPr>
          <w:rFonts w:hint="eastAsia" w:ascii="仿宋_GB2312" w:hAnsi="仿宋_GB2312" w:eastAsia="仿宋_GB2312" w:cs="仿宋_GB2312"/>
          <w:color w:val="000000"/>
          <w:kern w:val="0"/>
          <w:sz w:val="32"/>
          <w:szCs w:val="32"/>
        </w:rPr>
      </w:pPr>
    </w:p>
    <w:p w14:paraId="2012ED84">
      <w:pPr>
        <w:pStyle w:val="7"/>
        <w:rPr>
          <w:rFonts w:hint="eastAsia" w:ascii="仿宋_GB2312" w:hAnsi="仿宋_GB2312" w:eastAsia="仿宋_GB2312" w:cs="仿宋_GB2312"/>
          <w:color w:val="000000"/>
          <w:kern w:val="0"/>
          <w:sz w:val="32"/>
          <w:szCs w:val="32"/>
        </w:rPr>
      </w:pPr>
    </w:p>
    <w:p w14:paraId="74511384">
      <w:pPr>
        <w:pStyle w:val="3"/>
        <w:ind w:left="0" w:leftChars="0" w:firstLine="0" w:firstLineChars="0"/>
        <w:rPr>
          <w:rFonts w:hint="eastAsia"/>
        </w:rPr>
      </w:pPr>
    </w:p>
    <w:p w14:paraId="1E8207F4">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18F95D3">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71CD8989">
      <w:pPr>
        <w:ind w:firstLine="640" w:firstLineChars="200"/>
        <w:jc w:val="left"/>
        <w:rPr>
          <w:rFonts w:hint="eastAsia" w:ascii="仿宋" w:hAnsi="仿宋" w:eastAsia="仿宋"/>
          <w:color w:val="000000"/>
          <w:kern w:val="0"/>
          <w:sz w:val="32"/>
          <w:szCs w:val="24"/>
          <w:highlight w:val="white"/>
          <w:lang w:val="en-US"/>
        </w:rPr>
      </w:pPr>
      <w:r>
        <w:rPr>
          <w:rFonts w:hint="eastAsia" w:ascii="仿宋_GB2312" w:hAnsi="仿宋_GB2312" w:eastAsia="仿宋_GB2312" w:cs="仿宋_GB2312"/>
          <w:color w:val="000000"/>
          <w:kern w:val="0"/>
          <w:sz w:val="32"/>
          <w:szCs w:val="32"/>
        </w:rPr>
        <w:t>三、</w:t>
      </w:r>
      <w:r>
        <w:rPr>
          <w:rFonts w:hint="eastAsia" w:ascii="仿宋" w:hAnsi="仿宋" w:eastAsia="仿宋"/>
          <w:color w:val="000000"/>
          <w:kern w:val="0"/>
          <w:sz w:val="32"/>
          <w:szCs w:val="24"/>
          <w:highlight w:val="white"/>
          <w:lang w:val="en-US"/>
        </w:rPr>
        <w:t>财政拨款收入：指本级财政当年拨付的资金。</w:t>
      </w:r>
    </w:p>
    <w:p w14:paraId="1FD045BA">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四、</w:t>
      </w:r>
      <w:r>
        <w:rPr>
          <w:rFonts w:hint="eastAsia" w:ascii="仿宋" w:hAnsi="仿宋" w:eastAsia="仿宋"/>
          <w:color w:val="000000"/>
          <w:kern w:val="0"/>
          <w:sz w:val="32"/>
          <w:szCs w:val="24"/>
          <w:highlight w:val="white"/>
          <w:lang w:val="en-US"/>
        </w:rPr>
        <w:t>其他收入：指除上述“财政拨款收入”“上级补助收入”“事业收入”“经营收入”“附属单位上缴收入”等以外的收入。</w:t>
      </w:r>
    </w:p>
    <w:p w14:paraId="32784B39">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五、</w:t>
      </w:r>
      <w:r>
        <w:rPr>
          <w:rFonts w:hint="eastAsia" w:ascii="仿宋" w:hAnsi="仿宋" w:eastAsia="仿宋"/>
          <w:color w:val="000000"/>
          <w:kern w:val="0"/>
          <w:sz w:val="32"/>
          <w:szCs w:val="24"/>
          <w:highlight w:val="white"/>
          <w:lang w:val="en-US"/>
        </w:rPr>
        <w:t>上年结转和结余：指以前年度尚未完成、结转到本年按有关规定继续使用的资金。</w:t>
      </w:r>
    </w:p>
    <w:p w14:paraId="165F6C3E">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六、</w:t>
      </w:r>
      <w:r>
        <w:rPr>
          <w:rFonts w:hint="eastAsia" w:ascii="仿宋" w:hAnsi="仿宋" w:eastAsia="仿宋"/>
          <w:color w:val="000000"/>
          <w:kern w:val="0"/>
          <w:sz w:val="32"/>
          <w:szCs w:val="24"/>
          <w:highlight w:val="white"/>
          <w:lang w:val="en-US"/>
        </w:rPr>
        <w:t>年末结转和结余资金：指本年度或以前年度预算安排、因客观条件发生变化无法按原计划实施，需要延迟到以后年度按有关规定继续使用的资金。</w:t>
      </w:r>
    </w:p>
    <w:p w14:paraId="2AA9A508">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七、</w:t>
      </w:r>
      <w:r>
        <w:rPr>
          <w:rFonts w:hint="eastAsia" w:ascii="仿宋" w:hAnsi="仿宋" w:eastAsia="仿宋"/>
          <w:color w:val="000000"/>
          <w:kern w:val="0"/>
          <w:sz w:val="32"/>
          <w:szCs w:val="24"/>
          <w:highlight w:val="white"/>
          <w:lang w:val="en-US"/>
        </w:rPr>
        <w:t>一般公共服务支出（类）：是指用于人大、政协、政府办公厅（室）及相关机构事务、发展与改革事务、统计信息事务、财政事务、税收事务、审计事务、人力资源事务、纪检监察事务、商贸事务、工商行政管理事务、质量技术监督与检验检疫事务、民族事务、档案事务、民主党派及工商联事务、群众团体事务、党委办公厅（室）及相关机构事务、组织事务、宣传事务、统战事务、其他一般公共服务等方面的支出，包括保障机构正常运转、完成日常和特定的工作任务或事业发展目标的支出。</w:t>
      </w:r>
    </w:p>
    <w:p w14:paraId="5916F975">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八、</w:t>
      </w:r>
      <w:r>
        <w:rPr>
          <w:rFonts w:hint="eastAsia" w:ascii="仿宋" w:hAnsi="仿宋" w:eastAsia="仿宋"/>
          <w:color w:val="000000"/>
          <w:kern w:val="0"/>
          <w:sz w:val="32"/>
          <w:szCs w:val="24"/>
          <w:highlight w:val="white"/>
          <w:lang w:val="en-US"/>
        </w:rPr>
        <w:t>科学技术支出（类）：是指用于科学技术方面的支出，包括保障机构正常运转、完成日常和特定的工作任务或事业发展目标的支出。</w:t>
      </w:r>
    </w:p>
    <w:p w14:paraId="47EC5182">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九、</w:t>
      </w:r>
      <w:r>
        <w:rPr>
          <w:rFonts w:hint="eastAsia" w:ascii="仿宋" w:hAnsi="仿宋" w:eastAsia="仿宋"/>
          <w:color w:val="000000"/>
          <w:kern w:val="0"/>
          <w:sz w:val="32"/>
          <w:szCs w:val="24"/>
          <w:highlight w:val="white"/>
          <w:lang w:val="en-US"/>
        </w:rPr>
        <w:t>文化体育与传媒支出（类）：是指用于文化、文物、体育、新闻出版广播影视等方面的支出，包括保障机构正常运转、完成日常和特定的工作任务或事业发展目标的支出。</w:t>
      </w:r>
    </w:p>
    <w:p w14:paraId="08A79493">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十、</w:t>
      </w:r>
      <w:r>
        <w:rPr>
          <w:rFonts w:hint="eastAsia" w:ascii="仿宋" w:hAnsi="仿宋" w:eastAsia="仿宋"/>
          <w:color w:val="000000"/>
          <w:kern w:val="0"/>
          <w:sz w:val="32"/>
          <w:szCs w:val="24"/>
          <w:highlight w:val="white"/>
          <w:lang w:val="en-US"/>
        </w:rPr>
        <w:t>社会保障和就业支出（类）：是指用于社会保障和就业方面的支出，包括保障机构正常运转、完成日常和特定的工作任务或事业发展目标的支出。归口管理的行政单位离退休，指离退休人员管理机构统一管理的机关离退休人员的经费。</w:t>
      </w:r>
    </w:p>
    <w:p w14:paraId="045568F8">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十一、</w:t>
      </w:r>
      <w:r>
        <w:rPr>
          <w:rFonts w:hint="eastAsia" w:ascii="仿宋" w:hAnsi="仿宋" w:eastAsia="仿宋"/>
          <w:color w:val="000000"/>
          <w:kern w:val="0"/>
          <w:sz w:val="32"/>
          <w:szCs w:val="24"/>
          <w:highlight w:val="white"/>
          <w:lang w:val="en-US"/>
        </w:rPr>
        <w:t>卫生健康支出（类）：是指用于医疗卫生与计划生育方面的支出，包括保障机构正常运转、完成日常和特定的工作任务或事业发展目标的支出。</w:t>
      </w:r>
    </w:p>
    <w:p w14:paraId="356148EA">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十二、</w:t>
      </w:r>
      <w:r>
        <w:rPr>
          <w:rFonts w:hint="eastAsia" w:ascii="仿宋" w:hAnsi="仿宋" w:eastAsia="仿宋"/>
          <w:color w:val="000000"/>
          <w:kern w:val="0"/>
          <w:sz w:val="32"/>
          <w:szCs w:val="24"/>
          <w:highlight w:val="white"/>
          <w:lang w:val="en-US"/>
        </w:rPr>
        <w:t>住房保障支出（类）：是指用于住房方面的支出，包括保障机构正常运转、完成日常和特定的工作任务或事业发展目标的支出。</w:t>
      </w:r>
    </w:p>
    <w:p w14:paraId="30B69F3C">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十三、</w:t>
      </w:r>
      <w:r>
        <w:rPr>
          <w:rFonts w:hint="eastAsia" w:ascii="仿宋" w:hAnsi="仿宋" w:eastAsia="仿宋"/>
          <w:color w:val="000000"/>
          <w:kern w:val="0"/>
          <w:sz w:val="32"/>
          <w:szCs w:val="24"/>
          <w:highlight w:val="white"/>
          <w:lang w:val="en-US"/>
        </w:rPr>
        <w:t>基本支出：指保障机构正常运转、完成日常工作任务而发生的人员支出和公用支出。</w:t>
      </w:r>
    </w:p>
    <w:p w14:paraId="108934B9">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十四、</w:t>
      </w:r>
      <w:r>
        <w:rPr>
          <w:rFonts w:hint="eastAsia" w:ascii="仿宋" w:hAnsi="仿宋" w:eastAsia="仿宋"/>
          <w:color w:val="000000"/>
          <w:kern w:val="0"/>
          <w:sz w:val="32"/>
          <w:szCs w:val="24"/>
          <w:highlight w:val="white"/>
          <w:lang w:val="en-US"/>
        </w:rPr>
        <w:t>项目支出：指在基本支出之外为完成特定行政任务和事业发展目标所发生的支出。</w:t>
      </w:r>
    </w:p>
    <w:p w14:paraId="227863B7">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十五、</w:t>
      </w:r>
      <w:r>
        <w:rPr>
          <w:rFonts w:hint="eastAsia" w:ascii="仿宋" w:hAnsi="仿宋" w:eastAsia="仿宋"/>
          <w:color w:val="000000"/>
          <w:kern w:val="0"/>
          <w:sz w:val="32"/>
          <w:szCs w:val="24"/>
          <w:highlight w:val="white"/>
          <w:lang w:val="en-US"/>
        </w:rPr>
        <w:t>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29E58DDC">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十六、</w:t>
      </w:r>
      <w:r>
        <w:rPr>
          <w:rFonts w:hint="eastAsia" w:ascii="仿宋" w:hAnsi="仿宋" w:eastAsia="仿宋"/>
          <w:color w:val="000000"/>
          <w:kern w:val="0"/>
          <w:sz w:val="32"/>
          <w:szCs w:val="24"/>
          <w:highlight w:val="white"/>
          <w:lang w:val="en-US"/>
        </w:rPr>
        <w:t>工资福利支出：反映单位开支的在职职工和编制外长期聘用人员的各类劳动报酬，以及为上述人员缴纳的各项社会保险费等。</w:t>
      </w:r>
    </w:p>
    <w:p w14:paraId="6FD3E6D3">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十七、</w:t>
      </w:r>
      <w:r>
        <w:rPr>
          <w:rFonts w:hint="eastAsia" w:ascii="仿宋" w:hAnsi="仿宋" w:eastAsia="仿宋"/>
          <w:color w:val="000000"/>
          <w:kern w:val="0"/>
          <w:sz w:val="32"/>
          <w:szCs w:val="24"/>
          <w:highlight w:val="white"/>
          <w:lang w:val="en-US"/>
        </w:rPr>
        <w:t>基本工资：反映按规定发放的基本工资，包括公务员的职务工资、级别工资；机关工人的岗位工资、技术等级工资；事业单位工作人员的岗位工资、薪级工资；各类学校毕业生试用期</w:t>
      </w:r>
      <w:r>
        <w:rPr>
          <w:rFonts w:hint="eastAsia" w:ascii="仿宋" w:hAnsi="仿宋" w:eastAsia="仿宋"/>
          <w:color w:val="000000"/>
          <w:kern w:val="0"/>
          <w:sz w:val="32"/>
          <w:szCs w:val="24"/>
          <w:highlight w:val="white"/>
          <w:lang w:val="en-US" w:eastAsia="zh-CN"/>
        </w:rPr>
        <w:t>（</w:t>
      </w:r>
      <w:r>
        <w:rPr>
          <w:rFonts w:hint="eastAsia" w:ascii="仿宋" w:hAnsi="仿宋" w:eastAsia="仿宋"/>
          <w:color w:val="000000"/>
          <w:kern w:val="0"/>
          <w:sz w:val="32"/>
          <w:szCs w:val="24"/>
          <w:highlight w:val="white"/>
          <w:lang w:val="en-US"/>
        </w:rPr>
        <w:t>见习期</w:t>
      </w:r>
      <w:r>
        <w:rPr>
          <w:rFonts w:hint="eastAsia" w:ascii="仿宋" w:hAnsi="仿宋" w:eastAsia="仿宋"/>
          <w:color w:val="000000"/>
          <w:kern w:val="0"/>
          <w:sz w:val="32"/>
          <w:szCs w:val="24"/>
          <w:highlight w:val="white"/>
          <w:lang w:val="en-US" w:eastAsia="zh-CN"/>
        </w:rPr>
        <w:t>）</w:t>
      </w:r>
      <w:r>
        <w:rPr>
          <w:rFonts w:hint="eastAsia" w:ascii="仿宋" w:hAnsi="仿宋" w:eastAsia="仿宋"/>
          <w:color w:val="000000"/>
          <w:kern w:val="0"/>
          <w:sz w:val="32"/>
          <w:szCs w:val="24"/>
          <w:highlight w:val="white"/>
          <w:lang w:val="en-US"/>
        </w:rPr>
        <w:t>工资、新参加工作工人学徒期、熟练期工资；军队（武警）军官、文职干部的职务（专业技术等级）工资、军衔（级别）工资、基础工资和军龄工资；军队士官的军衔等级工资、基础工资和军龄工资等。</w:t>
      </w:r>
    </w:p>
    <w:p w14:paraId="4A4BC839">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十八、</w:t>
      </w:r>
      <w:r>
        <w:rPr>
          <w:rFonts w:hint="eastAsia" w:ascii="仿宋" w:hAnsi="仿宋" w:eastAsia="仿宋"/>
          <w:color w:val="000000"/>
          <w:kern w:val="0"/>
          <w:sz w:val="32"/>
          <w:szCs w:val="24"/>
          <w:highlight w:val="white"/>
          <w:lang w:val="en-US"/>
        </w:rPr>
        <w:t>津贴补贴：反映经国家批准建立的机关事业单位艰苦边远地区津贴、机关工作人员地区附加津贴、机关工作人员岗位津贴、事业单位工作人员特殊岗位津贴补贴等。</w:t>
      </w:r>
    </w:p>
    <w:p w14:paraId="5A956DC6">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十九、</w:t>
      </w:r>
      <w:r>
        <w:rPr>
          <w:rFonts w:hint="eastAsia" w:ascii="仿宋" w:hAnsi="仿宋" w:eastAsia="仿宋"/>
          <w:color w:val="000000"/>
          <w:kern w:val="0"/>
          <w:sz w:val="32"/>
          <w:szCs w:val="24"/>
          <w:highlight w:val="white"/>
          <w:lang w:val="en-US"/>
        </w:rPr>
        <w:t>奖金：反映机关工作人员年终一次性奖金。</w:t>
      </w:r>
    </w:p>
    <w:p w14:paraId="38363479">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二十、</w:t>
      </w:r>
      <w:r>
        <w:rPr>
          <w:rFonts w:hint="eastAsia" w:ascii="仿宋" w:hAnsi="仿宋" w:eastAsia="仿宋"/>
          <w:color w:val="000000"/>
          <w:kern w:val="0"/>
          <w:sz w:val="32"/>
          <w:szCs w:val="24"/>
          <w:highlight w:val="white"/>
          <w:lang w:val="en-US"/>
        </w:rPr>
        <w:t>伙食补助费：反映单位发给职工的伙食补助费，如误餐补助等。</w:t>
      </w:r>
    </w:p>
    <w:p w14:paraId="1D491438">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二十一、</w:t>
      </w:r>
      <w:r>
        <w:rPr>
          <w:rFonts w:hint="eastAsia" w:ascii="仿宋" w:hAnsi="仿宋" w:eastAsia="仿宋"/>
          <w:color w:val="000000"/>
          <w:kern w:val="0"/>
          <w:sz w:val="32"/>
          <w:szCs w:val="24"/>
          <w:highlight w:val="white"/>
          <w:lang w:val="en-US"/>
        </w:rPr>
        <w:t>绩效工资：反映事业单位工作人员的绩效工资。</w:t>
      </w:r>
    </w:p>
    <w:p w14:paraId="3C506027">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二十二、</w:t>
      </w:r>
      <w:r>
        <w:rPr>
          <w:rFonts w:hint="eastAsia" w:ascii="仿宋" w:hAnsi="仿宋" w:eastAsia="仿宋"/>
          <w:color w:val="000000"/>
          <w:kern w:val="0"/>
          <w:sz w:val="32"/>
          <w:szCs w:val="24"/>
          <w:highlight w:val="white"/>
          <w:lang w:val="en-US"/>
        </w:rPr>
        <w:t>机关事业单位基本养老保险缴费：反映机关事业单位缴纳的基本养老保险费。由单位代扣的工作人员基本养老保险缴费，不在此科目反映。</w:t>
      </w:r>
    </w:p>
    <w:p w14:paraId="7D311243">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二十三、</w:t>
      </w:r>
      <w:r>
        <w:rPr>
          <w:rFonts w:hint="eastAsia" w:ascii="仿宋" w:hAnsi="仿宋" w:eastAsia="仿宋"/>
          <w:color w:val="000000"/>
          <w:kern w:val="0"/>
          <w:sz w:val="32"/>
          <w:szCs w:val="24"/>
          <w:highlight w:val="white"/>
          <w:lang w:val="en-US"/>
        </w:rPr>
        <w:t>职工基本医疗保险缴费：反映单位为职工缴纳的基本医疗保险费。</w:t>
      </w:r>
    </w:p>
    <w:p w14:paraId="35BC6DF3">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二十四、</w:t>
      </w:r>
      <w:r>
        <w:rPr>
          <w:rFonts w:hint="eastAsia" w:ascii="仿宋" w:hAnsi="仿宋" w:eastAsia="仿宋"/>
          <w:color w:val="000000"/>
          <w:kern w:val="0"/>
          <w:sz w:val="32"/>
          <w:szCs w:val="24"/>
          <w:highlight w:val="white"/>
          <w:lang w:val="en-US"/>
        </w:rPr>
        <w:t>其他社会保障缴费：反映单位为职工缴纳的基本医疗、失业、工伤、生育等社会保险费，残疾人就业保障金，军队（含武警）为军人缴纳的伤亡、退役医疗等社会保险费。</w:t>
      </w:r>
    </w:p>
    <w:p w14:paraId="0014F5E5">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二十五、</w:t>
      </w:r>
      <w:r>
        <w:rPr>
          <w:rFonts w:hint="eastAsia" w:ascii="仿宋" w:hAnsi="仿宋" w:eastAsia="仿宋"/>
          <w:color w:val="000000"/>
          <w:kern w:val="0"/>
          <w:sz w:val="32"/>
          <w:szCs w:val="24"/>
          <w:highlight w:val="white"/>
          <w:lang w:val="en-US"/>
        </w:rPr>
        <w:t>住房公积金：反映行政事业单位按人力资源和社会保障部、财政部规定的基本工资和津贴补贴以及规定比例为职工缴纳的住房公积金。</w:t>
      </w:r>
    </w:p>
    <w:p w14:paraId="62BC361B">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二十六、</w:t>
      </w:r>
      <w:r>
        <w:rPr>
          <w:rFonts w:hint="eastAsia" w:ascii="仿宋" w:hAnsi="仿宋" w:eastAsia="仿宋"/>
          <w:color w:val="000000"/>
          <w:kern w:val="0"/>
          <w:sz w:val="32"/>
          <w:szCs w:val="24"/>
          <w:highlight w:val="white"/>
          <w:lang w:val="en-US"/>
        </w:rPr>
        <w:t>医疗费：反映未参加医疗保险单位的医疗经费和单位按规定为职工支出的其他医疗费用。</w:t>
      </w:r>
    </w:p>
    <w:p w14:paraId="646D8448">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二十七、</w:t>
      </w:r>
      <w:r>
        <w:rPr>
          <w:rFonts w:hint="eastAsia" w:ascii="仿宋" w:hAnsi="仿宋" w:eastAsia="仿宋"/>
          <w:color w:val="000000"/>
          <w:kern w:val="0"/>
          <w:sz w:val="32"/>
          <w:szCs w:val="24"/>
          <w:highlight w:val="white"/>
          <w:lang w:val="en-US"/>
        </w:rPr>
        <w:t>商品和服务支出：反映单位购买商品和服务的支出（不包括用于购置固定资产的支出、战略性和应急储备支出）。</w:t>
      </w:r>
    </w:p>
    <w:p w14:paraId="00BD6437">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二十八、</w:t>
      </w:r>
      <w:r>
        <w:rPr>
          <w:rFonts w:hint="eastAsia" w:ascii="仿宋" w:hAnsi="仿宋" w:eastAsia="仿宋"/>
          <w:color w:val="000000"/>
          <w:kern w:val="0"/>
          <w:sz w:val="32"/>
          <w:szCs w:val="24"/>
          <w:highlight w:val="white"/>
          <w:lang w:val="en-US"/>
        </w:rPr>
        <w:t>水费：反映单位支付的水费、污水处理费等支出。</w:t>
      </w:r>
    </w:p>
    <w:p w14:paraId="55D7177A">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二十九、</w:t>
      </w:r>
      <w:r>
        <w:rPr>
          <w:rFonts w:hint="eastAsia" w:ascii="仿宋" w:hAnsi="仿宋" w:eastAsia="仿宋"/>
          <w:color w:val="000000"/>
          <w:kern w:val="0"/>
          <w:sz w:val="32"/>
          <w:szCs w:val="24"/>
          <w:highlight w:val="white"/>
          <w:lang w:val="en-US"/>
        </w:rPr>
        <w:t>电费：反映单位的电费支出。</w:t>
      </w:r>
    </w:p>
    <w:p w14:paraId="6839A2E9">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三十、</w:t>
      </w:r>
      <w:r>
        <w:rPr>
          <w:rFonts w:hint="eastAsia" w:ascii="仿宋" w:hAnsi="仿宋" w:eastAsia="仿宋"/>
          <w:color w:val="000000"/>
          <w:kern w:val="0"/>
          <w:sz w:val="32"/>
          <w:szCs w:val="24"/>
          <w:highlight w:val="white"/>
          <w:lang w:val="en-US"/>
        </w:rPr>
        <w:t>邮电费：反映单位开支的信函、包裹、货物等物品的邮寄费及电话费、电报费、传真费、网络通讯费等。</w:t>
      </w:r>
    </w:p>
    <w:p w14:paraId="0DCDCEBF">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三十一、</w:t>
      </w:r>
      <w:r>
        <w:rPr>
          <w:rFonts w:hint="eastAsia" w:ascii="仿宋" w:hAnsi="仿宋" w:eastAsia="仿宋"/>
          <w:color w:val="000000"/>
          <w:kern w:val="0"/>
          <w:sz w:val="32"/>
          <w:szCs w:val="24"/>
          <w:highlight w:val="white"/>
          <w:lang w:val="en-US"/>
        </w:rPr>
        <w:t>物业管理费：反映单位开支的办公用房以及未实行职工住宅物业服务改革的在职职工和离退休人员宿舍等的物业管理费，包括综合治理、绿化、卫生等方面的支出。</w:t>
      </w:r>
    </w:p>
    <w:p w14:paraId="4E172AA2">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三十二、</w:t>
      </w:r>
      <w:r>
        <w:rPr>
          <w:rFonts w:hint="eastAsia" w:ascii="仿宋" w:hAnsi="仿宋" w:eastAsia="仿宋"/>
          <w:color w:val="000000"/>
          <w:kern w:val="0"/>
          <w:sz w:val="32"/>
          <w:szCs w:val="24"/>
          <w:highlight w:val="white"/>
          <w:lang w:val="en-US"/>
        </w:rPr>
        <w:t>差旅费：反映单位工作人员出差发生的城市间交通费、住宿费、伙食补贴费和市内交通费。</w:t>
      </w:r>
    </w:p>
    <w:p w14:paraId="4D9896DD">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三十三、</w:t>
      </w:r>
      <w:r>
        <w:rPr>
          <w:rFonts w:hint="eastAsia" w:ascii="仿宋" w:hAnsi="仿宋" w:eastAsia="仿宋"/>
          <w:color w:val="000000"/>
          <w:kern w:val="0"/>
          <w:sz w:val="32"/>
          <w:szCs w:val="24"/>
          <w:highlight w:val="white"/>
          <w:lang w:val="en-US"/>
        </w:rPr>
        <w:t>维修</w:t>
      </w:r>
      <w:r>
        <w:rPr>
          <w:rFonts w:hint="eastAsia" w:ascii="仿宋" w:hAnsi="仿宋" w:eastAsia="仿宋"/>
          <w:color w:val="000000"/>
          <w:kern w:val="0"/>
          <w:sz w:val="32"/>
          <w:szCs w:val="24"/>
          <w:highlight w:val="white"/>
          <w:lang w:val="en-US" w:eastAsia="zh-CN"/>
        </w:rPr>
        <w:t>（</w:t>
      </w:r>
      <w:r>
        <w:rPr>
          <w:rFonts w:hint="eastAsia" w:ascii="仿宋" w:hAnsi="仿宋" w:eastAsia="仿宋"/>
          <w:color w:val="000000"/>
          <w:kern w:val="0"/>
          <w:sz w:val="32"/>
          <w:szCs w:val="24"/>
          <w:highlight w:val="white"/>
          <w:lang w:val="en-US"/>
        </w:rPr>
        <w:t>护</w:t>
      </w:r>
      <w:r>
        <w:rPr>
          <w:rFonts w:hint="eastAsia" w:ascii="仿宋" w:hAnsi="仿宋" w:eastAsia="仿宋"/>
          <w:color w:val="000000"/>
          <w:kern w:val="0"/>
          <w:sz w:val="32"/>
          <w:szCs w:val="24"/>
          <w:highlight w:val="white"/>
          <w:lang w:val="en-US" w:eastAsia="zh-CN"/>
        </w:rPr>
        <w:t>）</w:t>
      </w:r>
      <w:bookmarkStart w:id="0" w:name="_GoBack"/>
      <w:bookmarkEnd w:id="0"/>
      <w:r>
        <w:rPr>
          <w:rFonts w:hint="eastAsia" w:ascii="仿宋" w:hAnsi="仿宋" w:eastAsia="仿宋"/>
          <w:color w:val="000000"/>
          <w:kern w:val="0"/>
          <w:sz w:val="32"/>
          <w:szCs w:val="24"/>
          <w:highlight w:val="white"/>
          <w:lang w:val="en-US"/>
        </w:rPr>
        <w:t>费：反映单位日常开支的固定资产（不包括车船等交通工具）修理和维护费用，网络信息系统运行与维护费用，以及按规定提取的修购基金。</w:t>
      </w:r>
    </w:p>
    <w:p w14:paraId="360D14D2">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三十四、</w:t>
      </w:r>
      <w:r>
        <w:rPr>
          <w:rFonts w:hint="eastAsia" w:ascii="仿宋" w:hAnsi="仿宋" w:eastAsia="仿宋"/>
          <w:color w:val="000000"/>
          <w:kern w:val="0"/>
          <w:sz w:val="32"/>
          <w:szCs w:val="24"/>
          <w:highlight w:val="white"/>
          <w:lang w:val="en-US"/>
        </w:rPr>
        <w:t>会议费：反映会议中按规定开支的住宿费、伙食费、会议室租金、交通费、文件印刷费、医药费等。</w:t>
      </w:r>
    </w:p>
    <w:p w14:paraId="566AE8C3">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三十五、</w:t>
      </w:r>
      <w:r>
        <w:rPr>
          <w:rFonts w:hint="eastAsia" w:ascii="仿宋" w:hAnsi="仿宋" w:eastAsia="仿宋"/>
          <w:color w:val="000000"/>
          <w:kern w:val="0"/>
          <w:sz w:val="32"/>
          <w:szCs w:val="24"/>
          <w:highlight w:val="white"/>
          <w:lang w:val="en-US"/>
        </w:rPr>
        <w:t>公务接待费：反映单位按规定开支的各类公务接待（含外宾接待）费用。</w:t>
      </w:r>
    </w:p>
    <w:p w14:paraId="41466343">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三十六、</w:t>
      </w:r>
      <w:r>
        <w:rPr>
          <w:rFonts w:hint="eastAsia" w:ascii="仿宋" w:hAnsi="仿宋" w:eastAsia="仿宋"/>
          <w:color w:val="000000"/>
          <w:kern w:val="0"/>
          <w:sz w:val="32"/>
          <w:szCs w:val="24"/>
          <w:highlight w:val="white"/>
          <w:lang w:val="en-US"/>
        </w:rPr>
        <w:t>劳务费：反映支付给单位和个人的劳务费用，如临时聘用人员、钟点工工资，稿费、翻译费，评审费等。</w:t>
      </w:r>
    </w:p>
    <w:p w14:paraId="509252FF">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三十七、</w:t>
      </w:r>
      <w:r>
        <w:rPr>
          <w:rFonts w:hint="eastAsia" w:ascii="仿宋" w:hAnsi="仿宋" w:eastAsia="仿宋"/>
          <w:color w:val="000000"/>
          <w:kern w:val="0"/>
          <w:sz w:val="32"/>
          <w:szCs w:val="24"/>
          <w:highlight w:val="white"/>
          <w:lang w:val="en-US"/>
        </w:rPr>
        <w:t>工会经费：反映单位按规定提取的工会经费。</w:t>
      </w:r>
    </w:p>
    <w:p w14:paraId="50953229">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三十八、</w:t>
      </w:r>
      <w:r>
        <w:rPr>
          <w:rFonts w:hint="eastAsia" w:ascii="仿宋" w:hAnsi="仿宋" w:eastAsia="仿宋"/>
          <w:color w:val="000000"/>
          <w:kern w:val="0"/>
          <w:sz w:val="32"/>
          <w:szCs w:val="24"/>
          <w:highlight w:val="white"/>
          <w:lang w:val="en-US"/>
        </w:rPr>
        <w:t>公务用车运行维护费：反映单位按规定保留的公务用车燃料费、维修费、过桥过路费、保险费、安全奖励费用等支出。</w:t>
      </w:r>
    </w:p>
    <w:p w14:paraId="40CE5DDD">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三十九、</w:t>
      </w:r>
      <w:r>
        <w:rPr>
          <w:rFonts w:hint="eastAsia" w:ascii="仿宋" w:hAnsi="仿宋" w:eastAsia="仿宋"/>
          <w:color w:val="000000"/>
          <w:kern w:val="0"/>
          <w:sz w:val="32"/>
          <w:szCs w:val="24"/>
          <w:highlight w:val="white"/>
          <w:lang w:val="en-US"/>
        </w:rPr>
        <w:t>其他交通费用：反映单位除公务用车运行维护费以外的其他交通费用。如公务交通补贴，租车费用、出租车费用，飞机、船舶等的燃料费、维修费、保险费等。</w:t>
      </w:r>
    </w:p>
    <w:p w14:paraId="45A9D4DD">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四十、</w:t>
      </w:r>
      <w:r>
        <w:rPr>
          <w:rFonts w:hint="eastAsia" w:ascii="仿宋" w:hAnsi="仿宋" w:eastAsia="仿宋"/>
          <w:color w:val="000000"/>
          <w:kern w:val="0"/>
          <w:sz w:val="32"/>
          <w:szCs w:val="24"/>
          <w:highlight w:val="white"/>
          <w:lang w:val="en-US"/>
        </w:rPr>
        <w:t>其他商品和服务支出：反映上述科目未包括的日常公用支出。如行政赔偿费和诉讼费、国内组织的会员费、来访费、广告宣传、其他劳务费及离休人员特需费、公用经费等。</w:t>
      </w:r>
    </w:p>
    <w:p w14:paraId="4A4B7A6B">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四十一、</w:t>
      </w:r>
      <w:r>
        <w:rPr>
          <w:rFonts w:hint="eastAsia" w:ascii="仿宋" w:hAnsi="仿宋" w:eastAsia="仿宋"/>
          <w:color w:val="000000"/>
          <w:kern w:val="0"/>
          <w:sz w:val="32"/>
          <w:szCs w:val="24"/>
          <w:highlight w:val="white"/>
          <w:lang w:val="en-US"/>
        </w:rPr>
        <w:t>对个人和家庭的补助：反映政府用于对个人和家庭的补助支出。</w:t>
      </w:r>
    </w:p>
    <w:p w14:paraId="594EC8A2">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四十二、</w:t>
      </w:r>
      <w:r>
        <w:rPr>
          <w:rFonts w:hint="eastAsia" w:ascii="仿宋" w:hAnsi="仿宋" w:eastAsia="仿宋"/>
          <w:color w:val="000000"/>
          <w:kern w:val="0"/>
          <w:sz w:val="32"/>
          <w:szCs w:val="24"/>
          <w:highlight w:val="white"/>
          <w:lang w:val="en-US"/>
        </w:rPr>
        <w:t>退休费：反映行政事业单位和军队移交政府安置的退休人员的退休费和其他补贴。</w:t>
      </w:r>
    </w:p>
    <w:p w14:paraId="1858411C">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四十三、</w:t>
      </w:r>
      <w:r>
        <w:rPr>
          <w:rFonts w:hint="eastAsia" w:ascii="仿宋" w:hAnsi="仿宋" w:eastAsia="仿宋"/>
          <w:color w:val="000000"/>
          <w:kern w:val="0"/>
          <w:sz w:val="32"/>
          <w:szCs w:val="24"/>
          <w:highlight w:val="white"/>
          <w:lang w:val="en-US"/>
        </w:rPr>
        <w:t>生活补助：反映按规定开支的优抚对象定期定量生活补助费，退役军人生活补助费，行政事业单位职工和遗属生活补助，因公负伤等住院治疗、住疗养院期间的伙食补助费，长期赡养人员补助费，由于国家实行退耕还林禁牧舍饲政策补偿给农牧民的现金、粮食支出，对农村党员、复员军人以及村干部的补助支出，看守人员和犯人的伙食费、药费等。</w:t>
      </w:r>
    </w:p>
    <w:p w14:paraId="00E66639">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四十四、</w:t>
      </w:r>
      <w:r>
        <w:rPr>
          <w:rFonts w:hint="eastAsia" w:ascii="仿宋" w:hAnsi="仿宋" w:eastAsia="仿宋"/>
          <w:color w:val="000000"/>
          <w:kern w:val="0"/>
          <w:sz w:val="32"/>
          <w:szCs w:val="24"/>
          <w:highlight w:val="white"/>
          <w:lang w:val="en-US"/>
        </w:rPr>
        <w:t>医疗费：反映行政事业单位在职职工、离退休人员的医疗费，军队移交政府安置的离退休人员的医疗费，学生医疗费，优抚对象医疗补助，以及按国家规定资助农民参加新型农村合作医疗和城镇居民参加城镇居民基本医疗保险的支出和对城乡贫困家庭的医疗救助支出。</w:t>
      </w:r>
    </w:p>
    <w:p w14:paraId="4942BEB3">
      <w:pPr>
        <w:ind w:firstLine="640" w:firstLineChars="200"/>
        <w:jc w:val="left"/>
        <w:rPr>
          <w:rFonts w:hint="eastAsia" w:ascii="仿宋" w:hAnsi="仿宋" w:eastAsia="仿宋"/>
          <w:color w:val="000000"/>
          <w:kern w:val="0"/>
          <w:sz w:val="32"/>
          <w:szCs w:val="24"/>
          <w:highlight w:val="white"/>
          <w:lang w:val="en-US"/>
        </w:rPr>
      </w:pPr>
      <w:r>
        <w:rPr>
          <w:rFonts w:hint="eastAsia" w:ascii="仿宋" w:hAnsi="仿宋" w:eastAsia="仿宋"/>
          <w:color w:val="000000"/>
          <w:kern w:val="0"/>
          <w:sz w:val="32"/>
          <w:szCs w:val="24"/>
          <w:highlight w:val="white"/>
          <w:lang w:val="en-US" w:eastAsia="zh-CN"/>
        </w:rPr>
        <w:t>四十五、</w:t>
      </w:r>
      <w:r>
        <w:rPr>
          <w:rFonts w:hint="eastAsia" w:ascii="仿宋" w:hAnsi="仿宋" w:eastAsia="仿宋"/>
          <w:color w:val="000000"/>
          <w:kern w:val="0"/>
          <w:sz w:val="32"/>
          <w:szCs w:val="24"/>
          <w:highlight w:val="white"/>
          <w:lang w:val="en-US"/>
        </w:rPr>
        <w:t>奖励金：反映政府各部门的奖励支出，如对个体私营经济的奖励、计划生育目标责任奖励、独生子女父母奖励等。</w:t>
      </w:r>
    </w:p>
    <w:p w14:paraId="24A7A7F4">
      <w:pPr>
        <w:keepNext/>
        <w:keepLines/>
        <w:spacing w:beforeLines="0" w:afterLines="0"/>
        <w:ind w:firstLine="640"/>
        <w:rPr>
          <w:rFonts w:hint="eastAsia" w:ascii="仿宋" w:hAnsi="仿宋" w:eastAsia="仿宋"/>
          <w:color w:val="000000"/>
          <w:kern w:val="0"/>
          <w:sz w:val="32"/>
          <w:szCs w:val="24"/>
          <w:highlight w:val="white"/>
          <w:lang w:val="en-US" w:eastAsia="zh-CN"/>
        </w:rPr>
      </w:pPr>
      <w:r>
        <w:rPr>
          <w:rFonts w:hint="eastAsia" w:ascii="仿宋" w:hAnsi="仿宋" w:eastAsia="仿宋"/>
          <w:color w:val="000000"/>
          <w:kern w:val="0"/>
          <w:sz w:val="32"/>
          <w:szCs w:val="24"/>
          <w:highlight w:val="white"/>
          <w:lang w:val="en-US" w:eastAsia="zh-CN"/>
        </w:rPr>
        <w:t>四十六、</w:t>
      </w:r>
      <w:r>
        <w:rPr>
          <w:rFonts w:hint="eastAsia" w:ascii="仿宋" w:hAnsi="仿宋" w:eastAsia="仿宋"/>
          <w:color w:val="000000"/>
          <w:kern w:val="0"/>
          <w:sz w:val="32"/>
          <w:szCs w:val="24"/>
          <w:highlight w:val="white"/>
          <w:lang w:val="en-US"/>
        </w:rPr>
        <w:t>其他对个人和家庭的补助支出：反映未包括在上述科目的对个人和家庭的补助支出，</w:t>
      </w:r>
    </w:p>
    <w:p w14:paraId="269C1BB6">
      <w:pPr>
        <w:keepNext/>
        <w:keepLines/>
        <w:spacing w:beforeLines="0" w:afterLines="0"/>
        <w:ind w:firstLine="640"/>
        <w:rPr>
          <w:rFonts w:hint="eastAsia" w:ascii="仿宋" w:hAnsi="仿宋" w:eastAsia="仿宋"/>
          <w:color w:val="000000"/>
          <w:kern w:val="0"/>
          <w:sz w:val="32"/>
          <w:szCs w:val="24"/>
          <w:highlight w:val="white"/>
          <w:lang w:val="en-US" w:eastAsia="zh-CN"/>
        </w:rPr>
      </w:pPr>
      <w:r>
        <w:rPr>
          <w:rFonts w:hint="eastAsia" w:ascii="仿宋" w:hAnsi="仿宋" w:eastAsia="仿宋"/>
          <w:color w:val="000000"/>
          <w:kern w:val="0"/>
          <w:sz w:val="32"/>
          <w:szCs w:val="24"/>
          <w:highlight w:val="white"/>
          <w:lang w:val="en-US" w:eastAsia="zh-CN"/>
        </w:rPr>
        <w:t>四十七、</w:t>
      </w:r>
      <w:r>
        <w:rPr>
          <w:rFonts w:hint="eastAsia" w:ascii="仿宋" w:hAnsi="仿宋" w:eastAsia="仿宋"/>
          <w:color w:val="000000"/>
          <w:kern w:val="0"/>
          <w:sz w:val="32"/>
          <w:szCs w:val="24"/>
          <w:highlight w:val="white"/>
          <w:lang w:val="en-US"/>
        </w:rPr>
        <w:t>办公设备购置：反映用于购置并按财务会计制度规定纳入固定资产核算范围的办公家具和办公设备的支出，以及按规定提取的修购基金。</w:t>
      </w:r>
    </w:p>
    <w:p w14:paraId="0DC3FC50">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 w:hAnsi="仿宋" w:eastAsia="仿宋"/>
          <w:color w:val="000000"/>
          <w:kern w:val="0"/>
          <w:sz w:val="32"/>
          <w:szCs w:val="24"/>
          <w:highlight w:val="white"/>
          <w:lang w:val="en-US" w:eastAsia="zh-CN"/>
        </w:rPr>
        <w:t>四十八、</w:t>
      </w:r>
      <w:r>
        <w:rPr>
          <w:rFonts w:hint="eastAsia" w:ascii="仿宋" w:hAnsi="仿宋" w:eastAsia="仿宋"/>
          <w:color w:val="000000"/>
          <w:kern w:val="0"/>
          <w:sz w:val="32"/>
          <w:szCs w:val="24"/>
          <w:highlight w:val="white"/>
          <w:lang w:val="en-US"/>
        </w:rPr>
        <w:t>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 办公用房物业管理费、 公务用车运行维护费以及其他费用。</w:t>
      </w:r>
    </w:p>
    <w:p w14:paraId="07710BCE">
      <w:pPr>
        <w:pStyle w:val="12"/>
        <w:jc w:val="center"/>
        <w:rPr>
          <w:rFonts w:hint="eastAsia" w:ascii="仿宋_GB2312" w:hAnsi="仿宋_GB2312" w:eastAsia="仿宋_GB2312" w:cs="仿宋_GB2312"/>
          <w:sz w:val="32"/>
          <w:szCs w:val="32"/>
        </w:rPr>
      </w:pPr>
    </w:p>
    <w:p w14:paraId="55E6494F">
      <w:pPr>
        <w:pStyle w:val="3"/>
      </w:pPr>
    </w:p>
    <w:p w14:paraId="5558DDFB"/>
    <w:p w14:paraId="1C9FDB69">
      <w:pPr>
        <w:pStyle w:val="7"/>
      </w:pPr>
    </w:p>
    <w:p w14:paraId="4B12AD73">
      <w:pPr>
        <w:pStyle w:val="3"/>
      </w:pPr>
    </w:p>
    <w:p w14:paraId="793E4EDD"/>
    <w:p w14:paraId="28E71C9D">
      <w:pPr>
        <w:pStyle w:val="7"/>
      </w:pPr>
    </w:p>
    <w:p w14:paraId="3AFECEF6">
      <w:pPr>
        <w:pStyle w:val="3"/>
      </w:pPr>
    </w:p>
    <w:p w14:paraId="5DAD9EE6"/>
    <w:p w14:paraId="7E22C0D3">
      <w:pPr>
        <w:pStyle w:val="7"/>
      </w:pPr>
    </w:p>
    <w:p w14:paraId="5DB1D6F5">
      <w:pPr>
        <w:pStyle w:val="3"/>
      </w:pPr>
    </w:p>
    <w:p w14:paraId="2848FBEA"/>
    <w:p w14:paraId="5D701F7E">
      <w:pPr>
        <w:pStyle w:val="7"/>
      </w:pPr>
    </w:p>
    <w:p w14:paraId="6BBDB34F">
      <w:pPr>
        <w:pStyle w:val="3"/>
      </w:pPr>
    </w:p>
    <w:p w14:paraId="334E25FC"/>
    <w:p w14:paraId="5AF89725">
      <w:pPr>
        <w:pStyle w:val="7"/>
      </w:pPr>
    </w:p>
    <w:p w14:paraId="562949C5">
      <w:pPr>
        <w:pStyle w:val="3"/>
      </w:pPr>
    </w:p>
    <w:p w14:paraId="1A6D320B"/>
    <w:p w14:paraId="030D98BC">
      <w:pPr>
        <w:pStyle w:val="7"/>
      </w:pPr>
    </w:p>
    <w:p w14:paraId="27B9E07D">
      <w:pPr>
        <w:pStyle w:val="3"/>
      </w:pPr>
    </w:p>
    <w:p w14:paraId="6190EDB6"/>
    <w:p w14:paraId="2A02940F"/>
    <w:p w14:paraId="1C48F4F2">
      <w:pPr>
        <w:pStyle w:val="7"/>
      </w:pPr>
    </w:p>
    <w:p w14:paraId="454B75E4">
      <w:pPr>
        <w:pStyle w:val="12"/>
        <w:jc w:val="both"/>
        <w:rPr>
          <w:rFonts w:hint="eastAsia" w:ascii="方正小标宋_GBK" w:hAnsi="方正小标宋_GBK" w:eastAsia="方正小标宋_GBK" w:cs="方正小标宋_GBK"/>
          <w:sz w:val="72"/>
          <w:szCs w:val="72"/>
        </w:rPr>
      </w:pPr>
    </w:p>
    <w:p w14:paraId="07C408B7">
      <w:pPr>
        <w:pStyle w:val="12"/>
        <w:jc w:val="both"/>
        <w:rPr>
          <w:rFonts w:hint="eastAsia" w:ascii="方正小标宋_GBK" w:hAnsi="方正小标宋_GBK" w:eastAsia="方正小标宋_GBK" w:cs="方正小标宋_GBK"/>
          <w:sz w:val="72"/>
          <w:szCs w:val="72"/>
        </w:rPr>
      </w:pPr>
    </w:p>
    <w:p w14:paraId="7C43B0FB">
      <w:pPr>
        <w:pStyle w:val="12"/>
        <w:jc w:val="both"/>
        <w:rPr>
          <w:rFonts w:hint="eastAsia" w:ascii="方正小标宋_GBK" w:hAnsi="方正小标宋_GBK" w:eastAsia="方正小标宋_GBK" w:cs="方正小标宋_GBK"/>
          <w:sz w:val="72"/>
          <w:szCs w:val="72"/>
        </w:rPr>
      </w:pPr>
    </w:p>
    <w:p w14:paraId="4B0E913F">
      <w:pPr>
        <w:pStyle w:val="12"/>
        <w:jc w:val="both"/>
        <w:rPr>
          <w:rFonts w:hint="eastAsia" w:ascii="方正小标宋_GBK" w:hAnsi="方正小标宋_GBK" w:eastAsia="方正小标宋_GBK" w:cs="方正小标宋_GBK"/>
          <w:sz w:val="72"/>
          <w:szCs w:val="72"/>
        </w:rPr>
      </w:pPr>
    </w:p>
    <w:p w14:paraId="386E684E">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74FA3082">
      <w:pPr>
        <w:pStyle w:val="12"/>
        <w:jc w:val="both"/>
        <w:rPr>
          <w:rFonts w:hint="eastAsia" w:ascii="方正小标宋_GBK" w:hAnsi="方正小标宋_GBK" w:eastAsia="方正小标宋_GBK" w:cs="方正小标宋_GBK"/>
          <w:sz w:val="70"/>
          <w:szCs w:val="70"/>
          <w:lang w:eastAsia="zh-CN"/>
        </w:rPr>
      </w:pPr>
    </w:p>
    <w:p w14:paraId="5B0341DE">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35D8E2D6">
      <w:pPr>
        <w:ind w:firstLine="640" w:firstLineChars="200"/>
        <w:jc w:val="left"/>
        <w:rPr>
          <w:rFonts w:hint="eastAsia" w:ascii="宋体" w:hAnsi="宋体" w:eastAsia="宋体" w:cs="SimHei"/>
          <w:b/>
          <w:color w:val="000000"/>
          <w:kern w:val="0"/>
          <w:sz w:val="32"/>
          <w:szCs w:val="32"/>
          <w:lang w:val="en-US" w:eastAsia="zh-CN"/>
        </w:rPr>
      </w:pPr>
    </w:p>
    <w:p w14:paraId="7A1C1917">
      <w:pPr>
        <w:ind w:firstLine="640" w:firstLineChars="200"/>
        <w:jc w:val="left"/>
        <w:rPr>
          <w:rFonts w:hint="eastAsia" w:ascii="宋体" w:hAnsi="宋体" w:eastAsia="宋体" w:cs="SimHei"/>
          <w:b/>
          <w:color w:val="000000"/>
          <w:kern w:val="0"/>
          <w:sz w:val="32"/>
          <w:szCs w:val="32"/>
          <w:lang w:val="en-US" w:eastAsia="zh-CN"/>
        </w:rPr>
      </w:pPr>
      <w:r>
        <w:rPr>
          <w:rFonts w:hint="eastAsia" w:ascii="宋体" w:hAnsi="宋体" w:eastAsia="宋体" w:cs="SimHei"/>
          <w:b/>
          <w:color w:val="000000"/>
          <w:kern w:val="0"/>
          <w:sz w:val="32"/>
          <w:szCs w:val="32"/>
          <w:lang w:val="en-US" w:eastAsia="zh-CN"/>
        </w:rPr>
        <w:t>1、</w:t>
      </w:r>
      <w:r>
        <w:rPr>
          <w:rFonts w:hint="eastAsia" w:ascii="宋体" w:hAnsi="宋体" w:eastAsia="宋体" w:cs="SimHei"/>
          <w:b/>
          <w:color w:val="000000"/>
          <w:kern w:val="0"/>
          <w:sz w:val="32"/>
          <w:szCs w:val="32"/>
          <w:highlight w:val="none"/>
          <w:lang w:val="en-US" w:eastAsia="zh-CN"/>
        </w:rPr>
        <w:t>2025年</w:t>
      </w:r>
      <w:r>
        <w:rPr>
          <w:rFonts w:hint="eastAsia" w:ascii="宋体" w:hAnsi="宋体" w:eastAsia="宋体" w:cs="SimHei"/>
          <w:b/>
          <w:color w:val="000000"/>
          <w:kern w:val="0"/>
          <w:sz w:val="32"/>
          <w:szCs w:val="32"/>
          <w:lang w:val="en-US" w:eastAsia="zh-CN"/>
        </w:rPr>
        <w:t>部门决算公开表格</w:t>
      </w:r>
    </w:p>
    <w:p w14:paraId="188B10FD">
      <w:pPr>
        <w:ind w:firstLine="640" w:firstLineChars="200"/>
        <w:jc w:val="left"/>
        <w:rPr>
          <w:rFonts w:ascii="宋体" w:hAnsi="宋体" w:eastAsia="宋体" w:cs="SimHei"/>
          <w:color w:val="000000"/>
          <w:kern w:val="0"/>
          <w:sz w:val="32"/>
          <w:szCs w:val="32"/>
        </w:rPr>
      </w:pPr>
      <w:r>
        <w:rPr>
          <w:rFonts w:hint="eastAsia" w:ascii="宋体" w:hAnsi="宋体" w:eastAsia="宋体" w:cs="SimHei"/>
          <w:b/>
          <w:color w:val="000000"/>
          <w:kern w:val="0"/>
          <w:sz w:val="32"/>
          <w:szCs w:val="32"/>
          <w:lang w:val="en-US" w:eastAsia="zh-CN"/>
        </w:rPr>
        <w:t>2、</w:t>
      </w:r>
      <w:r>
        <w:rPr>
          <w:rFonts w:hint="eastAsia" w:ascii="宋体" w:hAnsi="宋体" w:eastAsia="宋体" w:cs="SimHei"/>
          <w:b/>
          <w:color w:val="000000"/>
          <w:kern w:val="0"/>
          <w:sz w:val="32"/>
          <w:szCs w:val="32"/>
          <w:highlight w:val="none"/>
          <w:lang w:eastAsia="zh-CN"/>
        </w:rPr>
        <w:t>2025年</w:t>
      </w:r>
      <w:r>
        <w:rPr>
          <w:rFonts w:hint="eastAsia" w:ascii="宋体" w:hAnsi="宋体" w:eastAsia="宋体" w:cs="SimHei"/>
          <w:b/>
          <w:color w:val="000000"/>
          <w:kern w:val="0"/>
          <w:sz w:val="32"/>
          <w:szCs w:val="32"/>
        </w:rPr>
        <w:t>度部门整体支出绩效评价报告</w:t>
      </w:r>
    </w:p>
    <w:p w14:paraId="25A4E4F2"/>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SimHei">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宋体"/>
    <w:panose1 w:val="02010609030101010101"/>
    <w:charset w:val="86"/>
    <w:family w:val="modern"/>
    <w:pitch w:val="default"/>
    <w:sig w:usb0="00000000" w:usb1="00000000" w:usb2="00000000" w:usb3="00000000" w:csb0="00040000" w:csb1="00000000"/>
  </w:font>
  <w:font w:name="仿宋">
    <w:altName w:val="宋体"/>
    <w:panose1 w:val="02010609060101010101"/>
    <w:charset w:val="00"/>
    <w:family w:val="auto"/>
    <w:pitch w:val="default"/>
    <w:sig w:usb0="00000000" w:usb1="00000000" w:usb2="00000000" w:usb3="00000000" w:csb0="00040001" w:csb1="00000000"/>
  </w:font>
  <w:font w:name="楷体_GB2312">
    <w:altName w:val="宋体"/>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E3CBC331"/>
    <w:multiLevelType w:val="singleLevel"/>
    <w:tmpl w:val="E3CBC331"/>
    <w:lvl w:ilvl="0" w:tentative="0">
      <w:start w:val="3"/>
      <w:numFmt w:val="decimal"/>
      <w:lvlText w:val="%1."/>
      <w:lvlJc w:val="left"/>
      <w:pPr>
        <w:tabs>
          <w:tab w:val="left" w:pos="312"/>
        </w:tabs>
      </w:pPr>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C857E7"/>
    <w:rsid w:val="08C24A73"/>
    <w:rsid w:val="11944E2C"/>
    <w:rsid w:val="12583BA5"/>
    <w:rsid w:val="13BA5B9C"/>
    <w:rsid w:val="1D97DEFF"/>
    <w:rsid w:val="1DFF72E5"/>
    <w:rsid w:val="1EFC6F07"/>
    <w:rsid w:val="1F0527A6"/>
    <w:rsid w:val="22AC03C2"/>
    <w:rsid w:val="25BBBDAB"/>
    <w:rsid w:val="283B15FE"/>
    <w:rsid w:val="2FDF85B8"/>
    <w:rsid w:val="2FFF15C5"/>
    <w:rsid w:val="2FFFEE04"/>
    <w:rsid w:val="31C95635"/>
    <w:rsid w:val="34DF85B0"/>
    <w:rsid w:val="36E79BA3"/>
    <w:rsid w:val="3B8F36BC"/>
    <w:rsid w:val="43EB5BA5"/>
    <w:rsid w:val="491FF225"/>
    <w:rsid w:val="4EC310A1"/>
    <w:rsid w:val="4FFD214C"/>
    <w:rsid w:val="5352765A"/>
    <w:rsid w:val="5777D4F5"/>
    <w:rsid w:val="57EBA9D6"/>
    <w:rsid w:val="57F22B6F"/>
    <w:rsid w:val="59DD8326"/>
    <w:rsid w:val="5DEF592A"/>
    <w:rsid w:val="5FC6BB1E"/>
    <w:rsid w:val="5FF720F1"/>
    <w:rsid w:val="622964C1"/>
    <w:rsid w:val="67FF5C0B"/>
    <w:rsid w:val="6BAA4A2F"/>
    <w:rsid w:val="6DDEC5C0"/>
    <w:rsid w:val="6EFC0924"/>
    <w:rsid w:val="6F9E8580"/>
    <w:rsid w:val="6FB74722"/>
    <w:rsid w:val="6FEF8B7E"/>
    <w:rsid w:val="717FE77F"/>
    <w:rsid w:val="71A6591B"/>
    <w:rsid w:val="737D59BA"/>
    <w:rsid w:val="737F32B1"/>
    <w:rsid w:val="73BD3FCA"/>
    <w:rsid w:val="75F6C24D"/>
    <w:rsid w:val="769E9537"/>
    <w:rsid w:val="776BDA01"/>
    <w:rsid w:val="77C37683"/>
    <w:rsid w:val="79FF515B"/>
    <w:rsid w:val="7DFBFF20"/>
    <w:rsid w:val="7E9E1962"/>
    <w:rsid w:val="7E9F11B4"/>
    <w:rsid w:val="7F37EC1E"/>
    <w:rsid w:val="7F7C0DDA"/>
    <w:rsid w:val="7F7DCD9D"/>
    <w:rsid w:val="7F970A6F"/>
    <w:rsid w:val="7FC1FFF3"/>
    <w:rsid w:val="7FC69637"/>
    <w:rsid w:val="7FDF8620"/>
    <w:rsid w:val="7FFB242F"/>
    <w:rsid w:val="7FFD4D12"/>
    <w:rsid w:val="7FFDB408"/>
    <w:rsid w:val="7FFE4EEB"/>
    <w:rsid w:val="95FB2B98"/>
    <w:rsid w:val="9A639BC2"/>
    <w:rsid w:val="9FCF5F1C"/>
    <w:rsid w:val="9FF7D786"/>
    <w:rsid w:val="9FFE4A60"/>
    <w:rsid w:val="ABBFB23D"/>
    <w:rsid w:val="B6BE5A03"/>
    <w:rsid w:val="B8C93228"/>
    <w:rsid w:val="C3B4DA5A"/>
    <w:rsid w:val="C4FF458C"/>
    <w:rsid w:val="C7BBD038"/>
    <w:rsid w:val="CBFF70E0"/>
    <w:rsid w:val="CFF50B82"/>
    <w:rsid w:val="CFFFAD89"/>
    <w:rsid w:val="D4FF5A01"/>
    <w:rsid w:val="DFDF13C5"/>
    <w:rsid w:val="DFFE359E"/>
    <w:rsid w:val="DFFE4FFD"/>
    <w:rsid w:val="DFFF5403"/>
    <w:rsid w:val="EBC3E00A"/>
    <w:rsid w:val="EDFBE100"/>
    <w:rsid w:val="EEABED75"/>
    <w:rsid w:val="EF7E8003"/>
    <w:rsid w:val="F56FDF51"/>
    <w:rsid w:val="F5F3EE78"/>
    <w:rsid w:val="F6B69F17"/>
    <w:rsid w:val="F6DBE919"/>
    <w:rsid w:val="F6E5BB3A"/>
    <w:rsid w:val="F6FFA959"/>
    <w:rsid w:val="F77F1D61"/>
    <w:rsid w:val="F7C36722"/>
    <w:rsid w:val="F7FED3A9"/>
    <w:rsid w:val="F8C9DB26"/>
    <w:rsid w:val="F97E8EAE"/>
    <w:rsid w:val="FB36E1A6"/>
    <w:rsid w:val="FB3BE134"/>
    <w:rsid w:val="FCFF4275"/>
    <w:rsid w:val="FD7FEEEA"/>
    <w:rsid w:val="FDFFB577"/>
    <w:rsid w:val="FEE72BE2"/>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SimHei" w:eastAsia="SimHei" w:cs="SimHei"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23</Pages>
  <Words>1347</Words>
  <Characters>7679</Characters>
  <Lines>63</Lines>
  <Paragraphs>18</Paragraphs>
  <TotalTime>2</TotalTime>
  <ScaleCrop>false</ScaleCrop>
  <LinksUpToDate>false</LinksUpToDate>
  <CharactersWithSpaces>9008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2020-07-13T02:32:00Z</dcterms:created>
  <dc:creator>李航 null</dc:creator>
  <cp:lastModifiedBy>WannniKing</cp:lastModifiedBy>
  <cp:lastPrinted>2024-08-13T10:20:00Z</cp:lastPrinted>
  <dcterms:modified xsi:type="dcterms:W3CDTF">2026-09-30T10:30:49Z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EA36C7D1D795E42A2D89B06ABA43193D_43</vt:lpwstr>
  </property>
</Properties>
</file>