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utoSpaceDE w:val="0"/>
        <w:autoSpaceDN w:val="0"/>
        <w:adjustRightInd w:val="0"/>
        <w:spacing w:beforeLines="0" w:after="0" w:afterLines="0" w:line="240" w:lineRule="auto"/>
        <w:jc w:val="center"/>
        <w:rPr>
          <w:rFonts w:hint="default" w:ascii="Times New Roman" w:hAnsi="Times New Roman" w:eastAsia="黑体"/>
          <w:color w:val="000000"/>
          <w:sz w:val="84"/>
          <w:szCs w:val="84"/>
          <w:highlight w:val="white"/>
          <w:lang w:val="zh-CN"/>
        </w:rPr>
      </w:pPr>
      <w:r>
        <w:rPr>
          <w:rFonts w:hint="eastAsia" w:ascii="黑体" w:eastAsia="黑体" w:cs="黑体"/>
          <w:color w:val="000000"/>
          <w:sz w:val="84"/>
          <w:szCs w:val="84"/>
          <w:highlight w:val="white"/>
          <w:lang w:val="zh-CN"/>
        </w:rPr>
        <w:t>2025年度</w:t>
      </w:r>
    </w:p>
    <w:p>
      <w:pPr>
        <w:autoSpaceDE w:val="0"/>
        <w:autoSpaceDN w:val="0"/>
        <w:adjustRightInd w:val="0"/>
        <w:spacing w:beforeLines="0" w:after="0" w:afterLines="0" w:line="240" w:lineRule="auto"/>
        <w:jc w:val="center"/>
        <w:rPr>
          <w:rFonts w:hint="default" w:ascii="Times New Roman" w:hAnsi="Times New Roman" w:eastAsia="黑体"/>
          <w:color w:val="000000"/>
          <w:kern w:val="0"/>
          <w:sz w:val="84"/>
          <w:szCs w:val="84"/>
          <w:highlight w:val="white"/>
        </w:rPr>
      </w:pPr>
      <w:r>
        <w:rPr>
          <w:rFonts w:hint="eastAsia" w:ascii="黑体" w:hAnsi="Times New Roman" w:eastAsia="黑体" w:cs="黑体"/>
          <w:sz w:val="84"/>
          <w:szCs w:val="84"/>
          <w:highlight w:val="white"/>
          <w:lang w:val="zh-CN"/>
        </w:rPr>
        <w:t>中共岳阳市委网络安全和信息化委员会办公室</w:t>
      </w:r>
      <w:r>
        <w:rPr>
          <w:rFonts w:hint="eastAsia" w:ascii="黑体" w:hAnsi="Times New Roman" w:eastAsia="黑体" w:cs="黑体"/>
          <w:color w:val="000000"/>
          <w:kern w:val="0"/>
          <w:sz w:val="84"/>
          <w:szCs w:val="84"/>
          <w:highlight w:val="white"/>
        </w:rPr>
        <w:t>部门决算</w:t>
      </w:r>
    </w:p>
    <w:p>
      <w:pPr>
        <w:autoSpaceDE w:val="0"/>
        <w:autoSpaceDN w:val="0"/>
        <w:adjustRightInd w:val="0"/>
        <w:spacing w:beforeLines="0" w:after="0" w:afterLines="0" w:line="520" w:lineRule="exact"/>
        <w:jc w:val="center"/>
        <w:rPr>
          <w:rFonts w:hint="default" w:ascii="宋体" w:hAnsi="Times New Roman" w:eastAsia="宋体" w:cs="宋体"/>
          <w:b/>
          <w:color w:val="000000"/>
          <w:kern w:val="0"/>
          <w:sz w:val="44"/>
          <w:szCs w:val="44"/>
          <w:highlight w:val="white"/>
        </w:rPr>
      </w:pPr>
      <w:r>
        <w:rPr>
          <w:rFonts w:hint="eastAsia" w:ascii="宋体" w:hAnsi="Times New Roman" w:eastAsia="宋体" w:cs="宋体"/>
          <w:b/>
          <w:color w:val="000000"/>
          <w:kern w:val="0"/>
          <w:sz w:val="44"/>
          <w:szCs w:val="44"/>
          <w:highlight w:val="white"/>
        </w:rPr>
        <w:t>目 录</w:t>
      </w:r>
    </w:p>
    <w:p>
      <w:pPr>
        <w:autoSpaceDE w:val="0"/>
        <w:autoSpaceDN w:val="0"/>
        <w:adjustRightInd w:val="0"/>
        <w:spacing w:beforeLines="0" w:after="0" w:afterLines="0" w:line="520" w:lineRule="exact"/>
        <w:rPr>
          <w:rFonts w:hint="default" w:ascii="Times New Roman" w:hAnsi="Times New Roman" w:eastAsia="黑体"/>
          <w:b/>
          <w:color w:val="000000"/>
          <w:kern w:val="0"/>
          <w:sz w:val="28"/>
          <w:szCs w:val="28"/>
          <w:highlight w:val="white"/>
        </w:rPr>
      </w:pPr>
      <w:r>
        <w:rPr>
          <w:rFonts w:hint="eastAsia" w:ascii="黑体" w:hAnsi="Times New Roman" w:eastAsia="黑体" w:cs="黑体"/>
          <w:b/>
          <w:color w:val="000000"/>
          <w:kern w:val="0"/>
          <w:sz w:val="28"/>
          <w:szCs w:val="28"/>
          <w:highlight w:val="white"/>
        </w:rPr>
        <w:t>第一部分</w:t>
      </w:r>
      <w:r>
        <w:rPr>
          <w:rFonts w:hint="eastAsia" w:ascii="黑体" w:hAnsi="Times New Roman" w:eastAsia="黑体" w:cs="黑体"/>
          <w:b/>
          <w:sz w:val="28"/>
          <w:szCs w:val="28"/>
          <w:highlight w:val="white"/>
          <w:lang w:val="zh-CN"/>
        </w:rPr>
        <w:t>中共岳阳市委网络安全和信息化委员会办公室</w:t>
      </w:r>
      <w:r>
        <w:rPr>
          <w:rFonts w:hint="eastAsia" w:ascii="黑体" w:hAnsi="Times New Roman" w:eastAsia="黑体" w:cs="黑体"/>
          <w:b/>
          <w:color w:val="000000"/>
          <w:kern w:val="0"/>
          <w:sz w:val="28"/>
          <w:szCs w:val="28"/>
          <w:highlight w:val="white"/>
        </w:rPr>
        <w:t>概况</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一、部门职责</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二、</w:t>
      </w:r>
      <w:r>
        <w:rPr>
          <w:rFonts w:hint="eastAsia" w:ascii="仿宋" w:hAnsi="Times New Roman" w:eastAsia="仿宋" w:cs="仿宋"/>
          <w:color w:val="000000"/>
          <w:sz w:val="28"/>
          <w:szCs w:val="28"/>
          <w:highlight w:val="white"/>
        </w:rPr>
        <w:t>机构设置</w:t>
      </w:r>
      <w:r>
        <w:rPr>
          <w:rFonts w:hint="eastAsia" w:ascii="仿宋" w:hAnsi="Times New Roman" w:eastAsia="仿宋" w:cs="仿宋"/>
          <w:color w:val="000000"/>
          <w:sz w:val="28"/>
          <w:szCs w:val="28"/>
          <w:highlight w:val="white"/>
          <w:lang w:val="zh-CN"/>
        </w:rPr>
        <w:t>及</w:t>
      </w:r>
      <w:r>
        <w:rPr>
          <w:rFonts w:hint="eastAsia" w:ascii="仿宋" w:hAnsi="Times New Roman" w:eastAsia="仿宋" w:cs="仿宋"/>
          <w:color w:val="000000"/>
          <w:sz w:val="28"/>
          <w:szCs w:val="28"/>
          <w:highlight w:val="white"/>
        </w:rPr>
        <w:t>决算单位构成</w:t>
      </w:r>
    </w:p>
    <w:p>
      <w:pPr>
        <w:autoSpaceDE w:val="0"/>
        <w:autoSpaceDN w:val="0"/>
        <w:adjustRightInd w:val="0"/>
        <w:spacing w:beforeLines="0" w:after="0" w:afterLines="0" w:line="520" w:lineRule="exact"/>
        <w:rPr>
          <w:rFonts w:hint="default" w:ascii="Times New Roman" w:hAnsi="Times New Roman" w:eastAsia="黑体"/>
          <w:b/>
          <w:color w:val="000000"/>
          <w:kern w:val="0"/>
          <w:sz w:val="28"/>
          <w:szCs w:val="28"/>
          <w:highlight w:val="white"/>
        </w:rPr>
      </w:pPr>
      <w:r>
        <w:rPr>
          <w:rFonts w:hint="eastAsia" w:ascii="黑体" w:hAnsi="Times New Roman" w:eastAsia="黑体" w:cs="黑体"/>
          <w:b/>
          <w:color w:val="000000"/>
          <w:kern w:val="0"/>
          <w:sz w:val="28"/>
          <w:szCs w:val="28"/>
          <w:highlight w:val="white"/>
        </w:rPr>
        <w:t>第二部分部门决算表</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一、收入支出决算总表</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二、收入决算表</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三、支出决算表</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四、财政拨款收入支出决算总表</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五、一般公共预算财政拨款支出决算表</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六、一般公共预算财政拨款基本支出决算明细表</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七、政府性基金预算财政拨款收入支出决算表</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八、国有资本经营预算财政拨款支出决算表</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九、财政拨款</w:t>
      </w:r>
      <w:r>
        <w:rPr>
          <w:rFonts w:hint="default" w:ascii="Times New Roman" w:hAnsi="Times New Roman" w:eastAsia="仿宋" w:cs="仿宋"/>
          <w:color w:val="000000"/>
          <w:kern w:val="0"/>
          <w:sz w:val="28"/>
          <w:szCs w:val="28"/>
          <w:highlight w:val="white"/>
        </w:rPr>
        <w:t>“</w:t>
      </w:r>
      <w:r>
        <w:rPr>
          <w:rFonts w:hint="eastAsia" w:ascii="仿宋" w:hAnsi="Times New Roman" w:eastAsia="仿宋" w:cs="仿宋"/>
          <w:color w:val="000000"/>
          <w:kern w:val="0"/>
          <w:sz w:val="28"/>
          <w:szCs w:val="28"/>
          <w:highlight w:val="white"/>
        </w:rPr>
        <w:t>三公</w:t>
      </w:r>
      <w:r>
        <w:rPr>
          <w:rFonts w:hint="default" w:ascii="Times New Roman" w:hAnsi="Times New Roman" w:eastAsia="仿宋" w:cs="仿宋"/>
          <w:color w:val="000000"/>
          <w:kern w:val="0"/>
          <w:sz w:val="28"/>
          <w:szCs w:val="28"/>
          <w:highlight w:val="white"/>
        </w:rPr>
        <w:t>”</w:t>
      </w:r>
      <w:r>
        <w:rPr>
          <w:rFonts w:hint="eastAsia" w:ascii="仿宋" w:hAnsi="Times New Roman" w:eastAsia="仿宋" w:cs="仿宋"/>
          <w:color w:val="000000"/>
          <w:kern w:val="0"/>
          <w:sz w:val="28"/>
          <w:szCs w:val="28"/>
          <w:highlight w:val="white"/>
        </w:rPr>
        <w:t>经费支出决算表</w:t>
      </w:r>
    </w:p>
    <w:p>
      <w:pPr>
        <w:autoSpaceDE w:val="0"/>
        <w:autoSpaceDN w:val="0"/>
        <w:adjustRightInd w:val="0"/>
        <w:spacing w:beforeLines="0" w:after="0" w:afterLines="0" w:line="520" w:lineRule="exact"/>
        <w:rPr>
          <w:rFonts w:hint="default" w:ascii="Times New Roman" w:hAnsi="Times New Roman" w:eastAsia="黑体"/>
          <w:b/>
          <w:color w:val="000000"/>
          <w:kern w:val="0"/>
          <w:sz w:val="28"/>
          <w:szCs w:val="28"/>
          <w:highlight w:val="white"/>
        </w:rPr>
      </w:pPr>
      <w:r>
        <w:rPr>
          <w:rFonts w:hint="eastAsia" w:ascii="黑体" w:hAnsi="Times New Roman" w:eastAsia="黑体" w:cs="黑体"/>
          <w:b/>
          <w:color w:val="000000"/>
          <w:kern w:val="0"/>
          <w:sz w:val="28"/>
          <w:szCs w:val="28"/>
          <w:highlight w:val="white"/>
        </w:rPr>
        <w:t>第三部分部门决算情况说明</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一、收入支出决算总体情况说明</w:t>
      </w:r>
    </w:p>
    <w:p>
      <w:pPr>
        <w:autoSpaceDE w:val="0"/>
        <w:autoSpaceDN w:val="0"/>
        <w:adjustRightInd w:val="0"/>
        <w:spacing w:beforeLines="0" w:after="0" w:afterLines="0" w:line="520" w:lineRule="exact"/>
        <w:ind w:firstLine="700"/>
        <w:rPr>
          <w:rFonts w:hint="default" w:ascii="仿宋" w:hAnsi="Times New Roman" w:eastAsia="仿宋" w:cs="仿宋"/>
          <w:sz w:val="28"/>
          <w:szCs w:val="28"/>
          <w:highlight w:val="white"/>
        </w:rPr>
      </w:pPr>
      <w:r>
        <w:rPr>
          <w:rFonts w:hint="eastAsia" w:ascii="仿宋" w:hAnsi="Times New Roman" w:eastAsia="仿宋" w:cs="仿宋"/>
          <w:sz w:val="28"/>
          <w:szCs w:val="28"/>
          <w:highlight w:val="white"/>
        </w:rPr>
        <w:t>二、收入决算情况说明</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三、支出决算情况说明</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四、财政拨款收入支出决算总体情况说明</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五、一般公共预算财政拨款支出决算情况说明</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六、一般公共预算财政拨款基本支出决算情况说明</w:t>
      </w:r>
    </w:p>
    <w:p>
      <w:pPr>
        <w:autoSpaceDE w:val="0"/>
        <w:autoSpaceDN w:val="0"/>
        <w:adjustRightInd w:val="0"/>
        <w:spacing w:beforeLines="0" w:after="0" w:afterLines="0" w:line="50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七、政府性基金预算收入支出决算情况</w:t>
      </w:r>
    </w:p>
    <w:p>
      <w:pPr>
        <w:autoSpaceDE w:val="0"/>
        <w:autoSpaceDN w:val="0"/>
        <w:adjustRightInd w:val="0"/>
        <w:spacing w:beforeLines="0" w:after="0" w:afterLines="0" w:line="50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八、</w:t>
      </w:r>
      <w:r>
        <w:rPr>
          <w:rFonts w:hint="eastAsia" w:ascii="仿宋" w:hAnsi="Times New Roman" w:eastAsia="仿宋" w:cs="仿宋"/>
          <w:sz w:val="28"/>
          <w:szCs w:val="28"/>
        </w:rPr>
        <w:t>国有资本经营预算财政拨款支出决算情况</w:t>
      </w:r>
    </w:p>
    <w:p>
      <w:pPr>
        <w:autoSpaceDE w:val="0"/>
        <w:autoSpaceDN w:val="0"/>
        <w:adjustRightInd w:val="0"/>
        <w:spacing w:beforeLines="0" w:after="0" w:afterLines="0" w:line="52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rPr>
        <w:t>九、</w:t>
      </w:r>
      <w:r>
        <w:rPr>
          <w:rFonts w:hint="eastAsia" w:ascii="仿宋" w:hAnsi="Times New Roman" w:eastAsia="仿宋" w:cs="仿宋"/>
          <w:color w:val="000000"/>
          <w:kern w:val="0"/>
          <w:sz w:val="28"/>
          <w:szCs w:val="28"/>
          <w:highlight w:val="white"/>
        </w:rPr>
        <w:t>财政拨款</w:t>
      </w:r>
      <w:r>
        <w:rPr>
          <w:rFonts w:hint="default" w:ascii="Times New Roman" w:hAnsi="Times New Roman" w:eastAsia="仿宋" w:cs="仿宋"/>
          <w:color w:val="000000"/>
          <w:kern w:val="0"/>
          <w:sz w:val="28"/>
          <w:szCs w:val="28"/>
          <w:highlight w:val="white"/>
        </w:rPr>
        <w:t>“</w:t>
      </w:r>
      <w:r>
        <w:rPr>
          <w:rFonts w:hint="eastAsia" w:ascii="仿宋" w:hAnsi="Times New Roman" w:eastAsia="仿宋" w:cs="仿宋"/>
          <w:color w:val="000000"/>
          <w:kern w:val="0"/>
          <w:sz w:val="28"/>
          <w:szCs w:val="28"/>
          <w:highlight w:val="white"/>
        </w:rPr>
        <w:t>三公</w:t>
      </w:r>
      <w:r>
        <w:rPr>
          <w:rFonts w:hint="default" w:ascii="Times New Roman" w:hAnsi="Times New Roman" w:eastAsia="仿宋" w:cs="仿宋"/>
          <w:color w:val="000000"/>
          <w:kern w:val="0"/>
          <w:sz w:val="28"/>
          <w:szCs w:val="28"/>
          <w:highlight w:val="white"/>
        </w:rPr>
        <w:t>”</w:t>
      </w:r>
      <w:r>
        <w:rPr>
          <w:rFonts w:hint="eastAsia" w:ascii="仿宋" w:hAnsi="Times New Roman" w:eastAsia="仿宋" w:cs="仿宋"/>
          <w:color w:val="000000"/>
          <w:kern w:val="0"/>
          <w:sz w:val="28"/>
          <w:szCs w:val="28"/>
          <w:highlight w:val="white"/>
        </w:rPr>
        <w:t>经费支出决算情况说明</w:t>
      </w:r>
    </w:p>
    <w:p>
      <w:pPr>
        <w:autoSpaceDE w:val="0"/>
        <w:autoSpaceDN w:val="0"/>
        <w:adjustRightInd w:val="0"/>
        <w:spacing w:beforeLines="0" w:after="0" w:afterLines="0" w:line="50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十、关于机关运行经费支出说明</w:t>
      </w:r>
    </w:p>
    <w:p>
      <w:pPr>
        <w:autoSpaceDE w:val="0"/>
        <w:autoSpaceDN w:val="0"/>
        <w:adjustRightInd w:val="0"/>
        <w:spacing w:beforeLines="0" w:after="0" w:afterLines="0" w:line="50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十一、一般性支出情况说明</w:t>
      </w:r>
    </w:p>
    <w:p>
      <w:pPr>
        <w:autoSpaceDE w:val="0"/>
        <w:autoSpaceDN w:val="0"/>
        <w:adjustRightInd w:val="0"/>
        <w:spacing w:beforeLines="0" w:after="0" w:afterLines="0" w:line="50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十二、关于政府采购支出说明</w:t>
      </w:r>
    </w:p>
    <w:p>
      <w:pPr>
        <w:autoSpaceDE w:val="0"/>
        <w:autoSpaceDN w:val="0"/>
        <w:adjustRightInd w:val="0"/>
        <w:spacing w:beforeLines="0" w:after="0" w:afterLines="0" w:line="500" w:lineRule="exact"/>
        <w:ind w:firstLine="700"/>
        <w:rPr>
          <w:rFonts w:hint="default" w:ascii="仿宋" w:hAnsi="Times New Roman" w:eastAsia="仿宋" w:cs="仿宋"/>
          <w:color w:val="000000"/>
          <w:kern w:val="0"/>
          <w:sz w:val="28"/>
          <w:szCs w:val="28"/>
          <w:highlight w:val="white"/>
        </w:rPr>
      </w:pPr>
      <w:r>
        <w:rPr>
          <w:rFonts w:hint="eastAsia" w:ascii="仿宋" w:hAnsi="Times New Roman" w:eastAsia="仿宋" w:cs="仿宋"/>
          <w:color w:val="000000"/>
          <w:kern w:val="0"/>
          <w:sz w:val="28"/>
          <w:szCs w:val="28"/>
          <w:highlight w:val="white"/>
        </w:rPr>
        <w:t>十三、关于国有资产占用情况说明</w:t>
      </w:r>
    </w:p>
    <w:p>
      <w:pPr>
        <w:autoSpaceDE w:val="0"/>
        <w:autoSpaceDN w:val="0"/>
        <w:adjustRightInd w:val="0"/>
        <w:spacing w:beforeLines="0" w:after="0" w:afterLines="0" w:line="500" w:lineRule="exact"/>
        <w:ind w:firstLine="700"/>
        <w:rPr>
          <w:rFonts w:hint="default" w:ascii="仿宋" w:hAnsi="Times New Roman" w:eastAsia="仿宋" w:cs="仿宋"/>
          <w:color w:val="000000"/>
          <w:sz w:val="28"/>
          <w:szCs w:val="28"/>
          <w:highlight w:val="white"/>
        </w:rPr>
      </w:pPr>
      <w:r>
        <w:rPr>
          <w:rFonts w:hint="eastAsia" w:ascii="仿宋" w:hAnsi="Times New Roman" w:eastAsia="仿宋" w:cs="仿宋"/>
          <w:color w:val="000000"/>
          <w:kern w:val="0"/>
          <w:sz w:val="28"/>
          <w:szCs w:val="28"/>
          <w:highlight w:val="white"/>
        </w:rPr>
        <w:t>十四、关于2025年度预算绩效情况的说明</w:t>
      </w:r>
    </w:p>
    <w:p>
      <w:pPr>
        <w:autoSpaceDE w:val="0"/>
        <w:autoSpaceDN w:val="0"/>
        <w:adjustRightInd w:val="0"/>
        <w:spacing w:beforeLines="0" w:after="0" w:afterLines="0" w:line="520" w:lineRule="exact"/>
        <w:rPr>
          <w:rFonts w:hint="default" w:ascii="Times New Roman" w:hAnsi="Times New Roman" w:eastAsia="黑体"/>
          <w:b/>
          <w:color w:val="000000"/>
          <w:kern w:val="0"/>
          <w:sz w:val="28"/>
          <w:szCs w:val="28"/>
          <w:highlight w:val="white"/>
        </w:rPr>
      </w:pPr>
      <w:r>
        <w:rPr>
          <w:rFonts w:hint="eastAsia" w:ascii="黑体" w:hAnsi="Times New Roman" w:eastAsia="黑体" w:cs="黑体"/>
          <w:b/>
          <w:color w:val="000000"/>
          <w:kern w:val="0"/>
          <w:sz w:val="28"/>
          <w:szCs w:val="28"/>
          <w:highlight w:val="white"/>
        </w:rPr>
        <w:t>第四部分名词解释</w:t>
      </w:r>
    </w:p>
    <w:p>
      <w:pPr>
        <w:autoSpaceDE w:val="0"/>
        <w:autoSpaceDN w:val="0"/>
        <w:adjustRightInd w:val="0"/>
        <w:spacing w:beforeLines="0" w:after="0" w:afterLines="0" w:line="520" w:lineRule="exact"/>
        <w:rPr>
          <w:rFonts w:hint="default" w:ascii="Times New Roman" w:hAnsi="Times New Roman" w:eastAsia="黑体"/>
          <w:sz w:val="44"/>
          <w:szCs w:val="44"/>
          <w:highlight w:val="white"/>
          <w:lang w:val="zh-CN"/>
        </w:rPr>
      </w:pPr>
      <w:r>
        <w:rPr>
          <w:rFonts w:hint="eastAsia" w:ascii="黑体" w:hAnsi="Times New Roman" w:eastAsia="黑体" w:cs="黑体"/>
          <w:b/>
          <w:color w:val="000000"/>
          <w:kern w:val="0"/>
          <w:sz w:val="28"/>
          <w:szCs w:val="28"/>
          <w:highlight w:val="white"/>
        </w:rPr>
        <w:t>第五部分附件</w:t>
      </w:r>
    </w:p>
    <w:p>
      <w:pPr>
        <w:keepNext/>
        <w:keepLines/>
        <w:autoSpaceDE w:val="0"/>
        <w:autoSpaceDN w:val="0"/>
        <w:adjustRightInd w:val="0"/>
        <w:spacing w:beforeLines="0" w:after="0" w:afterLines="0" w:line="240" w:lineRule="auto"/>
        <w:ind w:firstLine="640"/>
        <w:jc w:val="both"/>
        <w:rPr>
          <w:rFonts w:hint="default" w:ascii="Times New Roman" w:hAnsi="Times New Roman" w:eastAsia="黑体"/>
          <w:sz w:val="32"/>
          <w:szCs w:val="32"/>
          <w:highlight w:val="white"/>
        </w:rPr>
      </w:pPr>
      <w:r>
        <w:rPr>
          <w:rFonts w:hint="eastAsia" w:ascii="黑体" w:hAnsi="Times New Roman" w:eastAsia="黑体" w:cs="黑体"/>
          <w:sz w:val="32"/>
          <w:szCs w:val="32"/>
          <w:highlight w:val="white"/>
        </w:rPr>
        <w:t>第一部分</w:t>
      </w:r>
    </w:p>
    <w:p>
      <w:pPr>
        <w:keepNext/>
        <w:keepLines/>
        <w:autoSpaceDE w:val="0"/>
        <w:autoSpaceDN w:val="0"/>
        <w:adjustRightInd w:val="0"/>
        <w:spacing w:beforeLines="0" w:after="0" w:afterLines="0" w:line="560" w:lineRule="exact"/>
        <w:ind w:firstLine="640"/>
        <w:jc w:val="both"/>
        <w:rPr>
          <w:rFonts w:hint="default" w:ascii="Times New Roman" w:hAnsi="Times New Roman" w:eastAsia="黑体"/>
          <w:sz w:val="32"/>
          <w:szCs w:val="32"/>
          <w:highlight w:val="white"/>
        </w:rPr>
      </w:pPr>
      <w:r>
        <w:rPr>
          <w:rFonts w:hint="eastAsia" w:ascii="黑体" w:hAnsi="Times New Roman" w:eastAsia="黑体" w:cs="黑体"/>
          <w:sz w:val="32"/>
          <w:szCs w:val="32"/>
          <w:highlight w:val="white"/>
          <w:lang w:val="zh-CN"/>
        </w:rPr>
        <w:t>中共岳阳市委网络安全和信息化委员会办公室</w:t>
      </w:r>
      <w:r>
        <w:rPr>
          <w:rFonts w:hint="eastAsia" w:ascii="黑体" w:hAnsi="Times New Roman" w:eastAsia="黑体" w:cs="黑体"/>
          <w:sz w:val="32"/>
          <w:szCs w:val="32"/>
          <w:highlight w:val="white"/>
        </w:rPr>
        <w:t>概况</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highlight w:val="white"/>
        </w:rPr>
      </w:pPr>
      <w:r>
        <w:rPr>
          <w:rFonts w:hint="eastAsia" w:ascii="仿宋" w:hAnsi="Times New Roman" w:eastAsia="仿宋" w:cs="仿宋"/>
          <w:sz w:val="32"/>
          <w:szCs w:val="32"/>
          <w:highlight w:val="white"/>
        </w:rPr>
        <w:t>一、</w:t>
      </w:r>
      <w:r>
        <w:rPr>
          <w:rFonts w:hint="eastAsia" w:ascii="仿宋" w:hAnsi="Times New Roman" w:eastAsia="仿宋" w:cs="仿宋"/>
          <w:sz w:val="32"/>
          <w:szCs w:val="32"/>
          <w:highlight w:val="white"/>
          <w:lang w:val="zh-CN"/>
        </w:rPr>
        <w:t>部门职责</w:t>
      </w:r>
    </w:p>
    <w:p>
      <w:pPr>
        <w:keepNext/>
        <w:keepLines/>
        <w:shd w:val="clear" w:color="auto" w:fill="FFFFFF"/>
        <w:autoSpaceDE w:val="0"/>
        <w:autoSpaceDN w:val="0"/>
        <w:adjustRightInd w:val="0"/>
        <w:spacing w:beforeLines="0" w:after="0" w:afterLines="0" w:line="560" w:lineRule="exact"/>
        <w:ind w:firstLine="640"/>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此项内容涉密，依法不予公开。</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sz w:val="32"/>
          <w:szCs w:val="32"/>
          <w:highlight w:val="white"/>
        </w:rPr>
      </w:pPr>
      <w:r>
        <w:rPr>
          <w:rFonts w:hint="eastAsia" w:ascii="仿宋" w:hAnsi="Times New Roman" w:eastAsia="仿宋" w:cs="仿宋"/>
          <w:color w:val="000000"/>
          <w:sz w:val="32"/>
          <w:szCs w:val="32"/>
          <w:highlight w:val="white"/>
        </w:rPr>
        <w:t>二、机构设置</w:t>
      </w:r>
      <w:r>
        <w:rPr>
          <w:rFonts w:hint="eastAsia" w:ascii="仿宋" w:hAnsi="Times New Roman" w:eastAsia="仿宋" w:cs="仿宋"/>
          <w:color w:val="000000"/>
          <w:sz w:val="32"/>
          <w:szCs w:val="32"/>
          <w:highlight w:val="white"/>
          <w:lang w:val="zh-CN"/>
        </w:rPr>
        <w:t>及</w:t>
      </w:r>
      <w:r>
        <w:rPr>
          <w:rFonts w:hint="eastAsia" w:ascii="仿宋" w:hAnsi="Times New Roman" w:eastAsia="仿宋" w:cs="仿宋"/>
          <w:color w:val="000000"/>
          <w:sz w:val="32"/>
          <w:szCs w:val="32"/>
          <w:highlight w:val="white"/>
        </w:rPr>
        <w:t>决算单位构成</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sz w:val="32"/>
          <w:szCs w:val="32"/>
          <w:highlight w:val="white"/>
          <w:lang w:val="zh-CN"/>
        </w:rPr>
      </w:pPr>
      <w:r>
        <w:rPr>
          <w:rFonts w:hint="eastAsia" w:ascii="仿宋" w:hAnsi="Times New Roman" w:eastAsia="仿宋" w:cs="仿宋"/>
          <w:color w:val="000000"/>
          <w:sz w:val="32"/>
          <w:szCs w:val="32"/>
          <w:highlight w:val="white"/>
        </w:rPr>
        <w:t>(一)内设机构设置</w:t>
      </w:r>
      <w:r>
        <w:rPr>
          <w:rFonts w:hint="eastAsia" w:ascii="仿宋" w:hAnsi="Times New Roman" w:eastAsia="仿宋" w:cs="仿宋"/>
          <w:color w:val="000000"/>
          <w:sz w:val="32"/>
          <w:szCs w:val="32"/>
          <w:highlight w:val="white"/>
          <w:lang w:val="zh-CN"/>
        </w:rPr>
        <w:t>。</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sz w:val="32"/>
          <w:szCs w:val="32"/>
          <w:highlight w:val="white"/>
        </w:rPr>
      </w:pPr>
      <w:r>
        <w:rPr>
          <w:rFonts w:hint="eastAsia" w:ascii="仿宋" w:hAnsi="Times New Roman" w:eastAsia="仿宋" w:cs="仿宋"/>
          <w:color w:val="000000"/>
          <w:sz w:val="32"/>
          <w:szCs w:val="32"/>
          <w:highlight w:val="white"/>
        </w:rPr>
        <w:t>此项内容涉密，依法不予公开。</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sz w:val="32"/>
          <w:szCs w:val="32"/>
          <w:highlight w:val="white"/>
        </w:rPr>
      </w:pPr>
      <w:r>
        <w:rPr>
          <w:rFonts w:hint="eastAsia" w:ascii="仿宋" w:hAnsi="Times New Roman" w:eastAsia="仿宋" w:cs="仿宋"/>
          <w:color w:val="000000"/>
          <w:sz w:val="32"/>
          <w:szCs w:val="32"/>
          <w:highlight w:val="white"/>
        </w:rPr>
        <w:t>（二）决算单位构成。</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sz w:val="32"/>
          <w:szCs w:val="32"/>
          <w:highlight w:val="white"/>
        </w:rPr>
      </w:pPr>
      <w:r>
        <w:rPr>
          <w:rFonts w:hint="eastAsia" w:ascii="仿宋" w:hAnsi="Times New Roman" w:eastAsia="仿宋" w:cs="仿宋"/>
          <w:color w:val="000000"/>
          <w:sz w:val="32"/>
          <w:szCs w:val="32"/>
          <w:highlight w:val="white"/>
          <w:lang w:val="zh-CN"/>
        </w:rPr>
        <w:t>中共岳阳市委网络安全和信息化委员会办公室单位2025年部门决算汇总公开单位构成包括：</w:t>
      </w:r>
      <w:r>
        <w:rPr>
          <w:rFonts w:hint="eastAsia" w:ascii="仿宋" w:hAnsi="Times New Roman" w:eastAsia="仿宋" w:cs="仿宋"/>
          <w:color w:val="000000"/>
          <w:sz w:val="32"/>
          <w:szCs w:val="32"/>
          <w:highlight w:val="white"/>
        </w:rPr>
        <w:t>局机关本级决算。</w:t>
      </w:r>
    </w:p>
    <w:p>
      <w:pPr>
        <w:keepNext/>
        <w:keepLines/>
        <w:autoSpaceDE w:val="0"/>
        <w:autoSpaceDN w:val="0"/>
        <w:adjustRightInd w:val="0"/>
        <w:spacing w:beforeLines="0" w:after="0" w:afterLines="0" w:line="560" w:lineRule="exact"/>
        <w:ind w:firstLine="640"/>
        <w:jc w:val="both"/>
        <w:rPr>
          <w:rFonts w:hint="default" w:ascii="Times New Roman" w:hAnsi="Times New Roman" w:eastAsia="黑体"/>
          <w:sz w:val="32"/>
          <w:szCs w:val="32"/>
          <w:highlight w:val="white"/>
        </w:rPr>
      </w:pPr>
      <w:r>
        <w:rPr>
          <w:rFonts w:hint="eastAsia" w:ascii="黑体" w:hAnsi="Times New Roman" w:eastAsia="黑体" w:cs="黑体"/>
          <w:sz w:val="32"/>
          <w:szCs w:val="32"/>
          <w:highlight w:val="white"/>
        </w:rPr>
        <w:t>第二部分 部门决算表（见附表）</w:t>
      </w:r>
    </w:p>
    <w:p>
      <w:pPr>
        <w:keepNext/>
        <w:keepLines/>
        <w:autoSpaceDE w:val="0"/>
        <w:autoSpaceDN w:val="0"/>
        <w:adjustRightInd w:val="0"/>
        <w:spacing w:beforeLines="0" w:after="0" w:afterLines="0" w:line="560" w:lineRule="exact"/>
        <w:ind w:firstLine="640"/>
        <w:jc w:val="both"/>
        <w:rPr>
          <w:rFonts w:hint="default" w:ascii="黑体" w:hAnsi="Times New Roman" w:eastAsia="黑体" w:cs="黑体"/>
          <w:sz w:val="32"/>
          <w:szCs w:val="32"/>
          <w:highlight w:val="white"/>
        </w:rPr>
      </w:pPr>
      <w:r>
        <w:rPr>
          <w:rFonts w:hint="eastAsia" w:ascii="黑体" w:hAnsi="Times New Roman" w:eastAsia="黑体" w:cs="黑体"/>
          <w:sz w:val="32"/>
          <w:szCs w:val="32"/>
          <w:highlight w:val="white"/>
        </w:rPr>
        <w:t xml:space="preserve">第三部分 </w:t>
      </w:r>
      <w:r>
        <w:rPr>
          <w:rFonts w:hint="eastAsia" w:ascii="黑体" w:hAnsi="Times New Roman" w:eastAsia="黑体" w:cs="黑体"/>
          <w:sz w:val="32"/>
          <w:szCs w:val="32"/>
          <w:highlight w:val="white"/>
          <w:lang w:val="zh-CN"/>
        </w:rPr>
        <w:t>中共岳阳市委网络安全和信息化委员会办公室</w:t>
      </w:r>
      <w:r>
        <w:rPr>
          <w:rFonts w:hint="eastAsia" w:ascii="黑体" w:hAnsi="Times New Roman" w:eastAsia="黑体" w:cs="黑体"/>
          <w:sz w:val="32"/>
          <w:szCs w:val="32"/>
          <w:highlight w:val="white"/>
        </w:rPr>
        <w:t>2025年度部门决算情况说明</w:t>
      </w:r>
    </w:p>
    <w:p>
      <w:pPr>
        <w:autoSpaceDE w:val="0"/>
        <w:autoSpaceDN w:val="0"/>
        <w:adjustRightInd w:val="0"/>
        <w:spacing w:beforeLines="0" w:after="0" w:afterLines="0" w:line="560" w:lineRule="exact"/>
        <w:ind w:firstLine="640"/>
        <w:jc w:val="both"/>
        <w:rPr>
          <w:rFonts w:hint="default" w:ascii="仿宋" w:hAnsi="Times New Roman" w:eastAsia="仿宋" w:cs="仿宋"/>
          <w:sz w:val="32"/>
          <w:szCs w:val="32"/>
          <w:highlight w:val="white"/>
          <w:lang w:val="zh-CN"/>
        </w:rPr>
      </w:pPr>
      <w:r>
        <w:rPr>
          <w:rFonts w:hint="eastAsia" w:ascii="仿宋" w:hAnsi="Times New Roman" w:eastAsia="仿宋" w:cs="仿宋"/>
          <w:sz w:val="32"/>
          <w:szCs w:val="32"/>
          <w:highlight w:val="white"/>
          <w:lang w:val="zh-CN"/>
        </w:rPr>
        <w:t>（说明：1、由于部门决算编制时数据明细至</w:t>
      </w:r>
      <w:r>
        <w:rPr>
          <w:rFonts w:hint="default" w:ascii="Times New Roman" w:hAnsi="Times New Roman" w:eastAsia="仿宋" w:cs="仿宋"/>
          <w:sz w:val="32"/>
          <w:szCs w:val="32"/>
          <w:highlight w:val="white"/>
          <w:lang w:val="zh-CN"/>
        </w:rPr>
        <w:t>“</w:t>
      </w:r>
      <w:r>
        <w:rPr>
          <w:rFonts w:hint="eastAsia" w:ascii="仿宋" w:hAnsi="Times New Roman" w:eastAsia="仿宋" w:cs="仿宋"/>
          <w:sz w:val="32"/>
          <w:szCs w:val="32"/>
          <w:highlight w:val="white"/>
          <w:lang w:val="zh-CN"/>
        </w:rPr>
        <w:t>金额单位：元</w:t>
      </w:r>
      <w:r>
        <w:rPr>
          <w:rFonts w:hint="default" w:ascii="Times New Roman" w:hAnsi="Times New Roman" w:eastAsia="仿宋" w:cs="仿宋"/>
          <w:sz w:val="32"/>
          <w:szCs w:val="32"/>
          <w:highlight w:val="white"/>
          <w:lang w:val="zh-CN"/>
        </w:rPr>
        <w:t>”</w:t>
      </w:r>
      <w:r>
        <w:rPr>
          <w:rFonts w:hint="eastAsia" w:ascii="仿宋" w:hAnsi="Times New Roman" w:eastAsia="仿宋" w:cs="仿宋"/>
          <w:sz w:val="32"/>
          <w:szCs w:val="32"/>
          <w:highlight w:val="white"/>
          <w:lang w:val="zh-CN"/>
        </w:rPr>
        <w:t>，而本套部门决算文字说明和公开表格数据取数转换为</w:t>
      </w:r>
      <w:r>
        <w:rPr>
          <w:rFonts w:hint="default" w:ascii="Times New Roman" w:hAnsi="Times New Roman" w:eastAsia="仿宋" w:cs="仿宋"/>
          <w:sz w:val="32"/>
          <w:szCs w:val="32"/>
          <w:highlight w:val="white"/>
          <w:lang w:val="zh-CN"/>
        </w:rPr>
        <w:t>“</w:t>
      </w:r>
      <w:r>
        <w:rPr>
          <w:rFonts w:hint="eastAsia" w:ascii="仿宋" w:hAnsi="Times New Roman" w:eastAsia="仿宋" w:cs="仿宋"/>
          <w:sz w:val="32"/>
          <w:szCs w:val="32"/>
          <w:highlight w:val="white"/>
          <w:lang w:val="zh-CN"/>
        </w:rPr>
        <w:t>金额单位：万元</w:t>
      </w:r>
      <w:r>
        <w:rPr>
          <w:rFonts w:hint="default" w:ascii="Times New Roman" w:hAnsi="Times New Roman" w:eastAsia="仿宋" w:cs="仿宋"/>
          <w:sz w:val="32"/>
          <w:szCs w:val="32"/>
          <w:highlight w:val="white"/>
          <w:lang w:val="zh-CN"/>
        </w:rPr>
        <w:t>”</w:t>
      </w:r>
      <w:r>
        <w:rPr>
          <w:rFonts w:hint="eastAsia" w:ascii="仿宋" w:hAnsi="Times New Roman" w:eastAsia="仿宋" w:cs="仿宋"/>
          <w:sz w:val="32"/>
          <w:szCs w:val="32"/>
          <w:highlight w:val="white"/>
          <w:lang w:val="zh-CN"/>
        </w:rPr>
        <w:t>，可能导致以下文字说明中的各项数据取数以及公开表格中的各项数据取数之间存在0.01的尾数差异。2、以下文字说明中，部分科目由于预算数为</w:t>
      </w:r>
      <w:r>
        <w:rPr>
          <w:rFonts w:hint="default" w:ascii="仿宋" w:hAnsi="Times New Roman" w:eastAsia="仿宋" w:cs="仿宋"/>
          <w:sz w:val="32"/>
          <w:szCs w:val="32"/>
          <w:highlight w:val="white"/>
          <w:lang w:val="zh-CN"/>
        </w:rPr>
        <w:t>0</w:t>
      </w:r>
      <w:r>
        <w:rPr>
          <w:rFonts w:hint="eastAsia" w:ascii="仿宋" w:hAnsi="Times New Roman" w:eastAsia="仿宋" w:cs="仿宋"/>
          <w:sz w:val="32"/>
          <w:szCs w:val="32"/>
          <w:highlight w:val="white"/>
          <w:lang w:val="zh-CN"/>
        </w:rPr>
        <w:t>，无法计算完成年初预算的百分比，故未描述</w:t>
      </w:r>
      <w:r>
        <w:rPr>
          <w:rFonts w:hint="default" w:ascii="Times New Roman" w:hAnsi="Times New Roman" w:eastAsia="仿宋" w:cs="仿宋"/>
          <w:sz w:val="32"/>
          <w:szCs w:val="32"/>
          <w:highlight w:val="white"/>
          <w:lang w:val="zh-CN"/>
        </w:rPr>
        <w:t>“</w:t>
      </w:r>
      <w:r>
        <w:rPr>
          <w:rFonts w:hint="eastAsia" w:ascii="仿宋" w:hAnsi="Times New Roman" w:eastAsia="仿宋" w:cs="仿宋"/>
          <w:sz w:val="32"/>
          <w:szCs w:val="32"/>
          <w:highlight w:val="white"/>
          <w:lang w:val="zh-CN"/>
        </w:rPr>
        <w:t>完成年初预算的XX%</w:t>
      </w:r>
      <w:r>
        <w:rPr>
          <w:rFonts w:hint="default" w:ascii="Times New Roman" w:hAnsi="Times New Roman" w:eastAsia="仿宋" w:cs="仿宋"/>
          <w:sz w:val="32"/>
          <w:szCs w:val="32"/>
          <w:highlight w:val="white"/>
          <w:lang w:val="zh-CN"/>
        </w:rPr>
        <w:t>”</w:t>
      </w:r>
      <w:r>
        <w:rPr>
          <w:rFonts w:hint="eastAsia" w:ascii="仿宋" w:hAnsi="Times New Roman" w:eastAsia="仿宋" w:cs="仿宋"/>
          <w:sz w:val="32"/>
          <w:szCs w:val="32"/>
          <w:highlight w:val="white"/>
          <w:lang w:val="zh-CN"/>
        </w:rPr>
        <w:t>。）</w:t>
      </w:r>
    </w:p>
    <w:p>
      <w:pPr>
        <w:keepNext/>
        <w:keepLines/>
        <w:autoSpaceDE w:val="0"/>
        <w:autoSpaceDN w:val="0"/>
        <w:adjustRightInd w:val="0"/>
        <w:spacing w:beforeLines="0" w:after="0" w:afterLines="0" w:line="560" w:lineRule="exact"/>
        <w:ind w:firstLine="640"/>
        <w:jc w:val="both"/>
        <w:rPr>
          <w:rFonts w:hint="default" w:ascii="黑体" w:hAnsi="Times New Roman" w:eastAsia="黑体" w:cs="黑体"/>
          <w:sz w:val="32"/>
          <w:szCs w:val="32"/>
          <w:highlight w:val="white"/>
          <w:lang w:val="zh-CN"/>
        </w:rPr>
      </w:pPr>
      <w:r>
        <w:rPr>
          <w:rFonts w:hint="eastAsia" w:ascii="黑体" w:hAnsi="Times New Roman" w:eastAsia="黑体" w:cs="黑体"/>
          <w:sz w:val="32"/>
          <w:szCs w:val="32"/>
          <w:highlight w:val="white"/>
          <w:lang w:val="zh-CN"/>
        </w:rPr>
        <w:t>一、收入支出决算总体情况说明</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auto"/>
          <w:sz w:val="32"/>
          <w:szCs w:val="32"/>
          <w:highlight w:val="white"/>
          <w:lang w:val="zh-CN"/>
        </w:rPr>
      </w:pPr>
      <w:r>
        <w:rPr>
          <w:rFonts w:hint="eastAsia" w:ascii="仿宋" w:hAnsi="Times New Roman" w:eastAsia="仿宋" w:cs="仿宋"/>
          <w:sz w:val="32"/>
          <w:szCs w:val="32"/>
          <w:highlight w:val="white"/>
          <w:lang w:val="zh-CN"/>
        </w:rPr>
        <w:t>2025年度收、支总计均为728.21万元，与2024年相比，收、支总计各增加94.97万元，增长15%。</w:t>
      </w:r>
      <w:r>
        <w:rPr>
          <w:rFonts w:hint="eastAsia" w:ascii="仿宋" w:hAnsi="Times New Roman" w:eastAsia="仿宋" w:cs="仿宋"/>
          <w:color w:val="auto"/>
          <w:sz w:val="32"/>
          <w:szCs w:val="32"/>
          <w:highlight w:val="white"/>
          <w:lang w:val="zh-CN"/>
        </w:rPr>
        <w:t>主要原因是项目支出增加。</w:t>
      </w:r>
    </w:p>
    <w:p>
      <w:pPr>
        <w:keepNext/>
        <w:keepLines/>
        <w:autoSpaceDE w:val="0"/>
        <w:autoSpaceDN w:val="0"/>
        <w:adjustRightInd w:val="0"/>
        <w:spacing w:beforeLines="0" w:after="0" w:afterLines="0" w:line="560" w:lineRule="exact"/>
        <w:ind w:firstLine="640"/>
        <w:jc w:val="both"/>
        <w:rPr>
          <w:rFonts w:hint="default" w:ascii="黑体" w:hAnsi="Times New Roman" w:eastAsia="黑体" w:cs="黑体"/>
          <w:sz w:val="32"/>
          <w:szCs w:val="32"/>
          <w:highlight w:val="white"/>
        </w:rPr>
      </w:pPr>
      <w:r>
        <w:rPr>
          <w:rFonts w:hint="eastAsia" w:ascii="黑体" w:hAnsi="Times New Roman" w:eastAsia="黑体" w:cs="黑体"/>
          <w:sz w:val="32"/>
          <w:szCs w:val="32"/>
          <w:highlight w:val="white"/>
        </w:rPr>
        <w:t>二、收入决算情况说明</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highlight w:val="white"/>
        </w:rPr>
      </w:pPr>
      <w:r>
        <w:rPr>
          <w:rFonts w:hint="eastAsia" w:ascii="仿宋" w:hAnsi="Times New Roman" w:eastAsia="仿宋" w:cs="仿宋"/>
          <w:sz w:val="32"/>
          <w:szCs w:val="32"/>
          <w:highlight w:val="white"/>
        </w:rPr>
        <w:t>2025年度收入合计727.82万元，其中：财政拨款收入724.82万元，占99.59%；上级补助收入</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万元，占0%；事业收入</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万元，占0%；经营收入</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万元，占0%；附属单位上缴收入</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万元，占0%；其他收入3万元，占0.41%。</w:t>
      </w:r>
    </w:p>
    <w:p>
      <w:pPr>
        <w:keepNext/>
        <w:keepLines/>
        <w:autoSpaceDE w:val="0"/>
        <w:autoSpaceDN w:val="0"/>
        <w:adjustRightInd w:val="0"/>
        <w:spacing w:beforeLines="0" w:after="0" w:afterLines="0" w:line="560" w:lineRule="exact"/>
        <w:ind w:firstLine="640"/>
        <w:jc w:val="both"/>
        <w:rPr>
          <w:rFonts w:hint="default" w:ascii="黑体" w:hAnsi="Times New Roman" w:eastAsia="黑体" w:cs="黑体"/>
          <w:sz w:val="32"/>
          <w:szCs w:val="32"/>
          <w:highlight w:val="white"/>
        </w:rPr>
      </w:pPr>
      <w:r>
        <w:rPr>
          <w:rFonts w:hint="eastAsia" w:ascii="黑体" w:hAnsi="Times New Roman" w:eastAsia="黑体" w:cs="黑体"/>
          <w:sz w:val="32"/>
          <w:szCs w:val="32"/>
          <w:highlight w:val="white"/>
        </w:rPr>
        <w:t>三、支出决算情况说明</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highlight w:val="white"/>
        </w:rPr>
      </w:pPr>
      <w:r>
        <w:rPr>
          <w:rFonts w:hint="eastAsia" w:ascii="仿宋" w:hAnsi="Times New Roman" w:eastAsia="仿宋" w:cs="仿宋"/>
          <w:sz w:val="32"/>
          <w:szCs w:val="32"/>
          <w:highlight w:val="white"/>
        </w:rPr>
        <w:t>2025年度支出合计728.2万元，其中：基本支出466.08万元，占64%；项目支出262.12万元，占36%；上缴上级支出</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万元，占0%；经营支出</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万元，占0%；对附属单位补助支出</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万元，占0%。</w:t>
      </w:r>
    </w:p>
    <w:p>
      <w:pPr>
        <w:keepNext/>
        <w:keepLines/>
        <w:autoSpaceDE w:val="0"/>
        <w:autoSpaceDN w:val="0"/>
        <w:adjustRightInd w:val="0"/>
        <w:spacing w:beforeLines="0" w:after="0" w:afterLines="0" w:line="560" w:lineRule="exact"/>
        <w:ind w:firstLine="640"/>
        <w:jc w:val="both"/>
        <w:rPr>
          <w:rFonts w:hint="eastAsia" w:ascii="黑体" w:hAnsi="Times New Roman" w:eastAsia="黑体" w:cs="黑体"/>
          <w:sz w:val="32"/>
          <w:szCs w:val="32"/>
          <w:highlight w:val="white"/>
        </w:rPr>
      </w:pPr>
      <w:r>
        <w:rPr>
          <w:rFonts w:hint="eastAsia" w:ascii="黑体" w:hAnsi="Times New Roman" w:eastAsia="黑体" w:cs="黑体"/>
          <w:sz w:val="32"/>
          <w:szCs w:val="32"/>
          <w:highlight w:val="white"/>
        </w:rPr>
        <w:t xml:space="preserve">四、财政拨款收入支出决算总体情况说明 </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auto"/>
          <w:sz w:val="32"/>
          <w:szCs w:val="32"/>
          <w:highlight w:val="white"/>
          <w:lang w:val="zh-CN"/>
        </w:rPr>
      </w:pPr>
      <w:r>
        <w:rPr>
          <w:rFonts w:hint="eastAsia" w:ascii="仿宋" w:hAnsi="Times New Roman" w:eastAsia="仿宋" w:cs="仿宋"/>
          <w:sz w:val="32"/>
          <w:szCs w:val="32"/>
          <w:highlight w:val="white"/>
        </w:rPr>
        <w:t>2025年度财政拨款收、支总计均为724.82万元，</w:t>
      </w:r>
      <w:r>
        <w:rPr>
          <w:rFonts w:hint="eastAsia" w:ascii="仿宋" w:hAnsi="Times New Roman" w:eastAsia="仿宋" w:cs="仿宋"/>
          <w:sz w:val="32"/>
          <w:szCs w:val="32"/>
          <w:highlight w:val="white"/>
          <w:lang w:val="zh-CN"/>
        </w:rPr>
        <w:t>与2024年相比，</w:t>
      </w:r>
      <w:r>
        <w:rPr>
          <w:rFonts w:hint="eastAsia" w:ascii="仿宋" w:hAnsi="Times New Roman" w:eastAsia="仿宋" w:cs="仿宋"/>
          <w:sz w:val="32"/>
          <w:szCs w:val="32"/>
          <w:highlight w:val="white"/>
        </w:rPr>
        <w:t>财政拨款收、支总计各增加98.93万元，增长15.81%。</w:t>
      </w:r>
      <w:r>
        <w:rPr>
          <w:rFonts w:hint="eastAsia" w:ascii="仿宋" w:hAnsi="Times New Roman" w:eastAsia="仿宋" w:cs="仿宋"/>
          <w:color w:val="auto"/>
          <w:sz w:val="32"/>
          <w:szCs w:val="32"/>
          <w:highlight w:val="white"/>
          <w:lang w:val="zh-CN"/>
        </w:rPr>
        <w:t>主要原因是项目支出增加。</w:t>
      </w:r>
    </w:p>
    <w:p>
      <w:pPr>
        <w:keepNext/>
        <w:keepLines/>
        <w:autoSpaceDE w:val="0"/>
        <w:autoSpaceDN w:val="0"/>
        <w:adjustRightInd w:val="0"/>
        <w:spacing w:beforeLines="0" w:after="0" w:afterLines="0" w:line="560" w:lineRule="exact"/>
        <w:ind w:firstLine="640"/>
        <w:jc w:val="both"/>
        <w:rPr>
          <w:rFonts w:hint="default" w:ascii="黑体" w:hAnsi="Times New Roman" w:eastAsia="黑体" w:cs="黑体"/>
          <w:sz w:val="32"/>
          <w:szCs w:val="32"/>
          <w:highlight w:val="white"/>
        </w:rPr>
      </w:pPr>
      <w:r>
        <w:rPr>
          <w:rFonts w:hint="eastAsia" w:ascii="黑体" w:hAnsi="Times New Roman" w:eastAsia="黑体" w:cs="黑体"/>
          <w:sz w:val="32"/>
          <w:szCs w:val="32"/>
          <w:highlight w:val="white"/>
        </w:rPr>
        <w:t>五、一般公共预算财政拨款支出决算情况说明</w:t>
      </w:r>
    </w:p>
    <w:p>
      <w:pPr>
        <w:keepNext/>
        <w:keepLines/>
        <w:autoSpaceDE w:val="0"/>
        <w:autoSpaceDN w:val="0"/>
        <w:adjustRightInd w:val="0"/>
        <w:spacing w:beforeLines="0" w:after="0" w:afterLines="0" w:line="560" w:lineRule="exact"/>
        <w:ind w:firstLine="643"/>
        <w:jc w:val="both"/>
        <w:rPr>
          <w:rFonts w:hint="default" w:ascii="楷体" w:hAnsi="Times New Roman" w:eastAsia="楷体" w:cs="楷体"/>
          <w:b/>
          <w:sz w:val="32"/>
          <w:szCs w:val="32"/>
          <w:highlight w:val="white"/>
        </w:rPr>
      </w:pPr>
      <w:r>
        <w:rPr>
          <w:rFonts w:hint="eastAsia" w:ascii="楷体" w:hAnsi="Times New Roman" w:eastAsia="楷体" w:cs="楷体"/>
          <w:b/>
          <w:sz w:val="32"/>
          <w:szCs w:val="32"/>
          <w:highlight w:val="white"/>
        </w:rPr>
        <w:t>（一）</w:t>
      </w:r>
      <w:r>
        <w:rPr>
          <w:rFonts w:hint="eastAsia" w:ascii="楷体" w:hAnsi="Times New Roman" w:eastAsia="楷体" w:cs="楷体"/>
          <w:b/>
          <w:sz w:val="32"/>
          <w:szCs w:val="32"/>
          <w:highlight w:val="white"/>
          <w:lang w:val="zh-CN"/>
        </w:rPr>
        <w:t>财政</w:t>
      </w:r>
      <w:r>
        <w:rPr>
          <w:rFonts w:hint="eastAsia" w:ascii="楷体" w:hAnsi="Times New Roman" w:eastAsia="楷体" w:cs="楷体"/>
          <w:b/>
          <w:sz w:val="32"/>
          <w:szCs w:val="32"/>
          <w:highlight w:val="white"/>
        </w:rPr>
        <w:t>拨款支出决算总体情况</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FF0000"/>
          <w:sz w:val="32"/>
          <w:szCs w:val="32"/>
          <w:highlight w:val="white"/>
        </w:rPr>
      </w:pPr>
      <w:r>
        <w:rPr>
          <w:rFonts w:hint="eastAsia" w:ascii="仿宋" w:hAnsi="Times New Roman" w:eastAsia="仿宋" w:cs="仿宋"/>
          <w:sz w:val="32"/>
          <w:szCs w:val="32"/>
          <w:highlight w:val="white"/>
        </w:rPr>
        <w:t>2025年度财政拨款支出724.82万元，占本年支出合计的99.54%。与2024年度相比，财政拨款支出增加99.06万元，增长15.83%,</w:t>
      </w:r>
      <w:r>
        <w:rPr>
          <w:rFonts w:hint="eastAsia" w:ascii="仿宋" w:hAnsi="Times New Roman" w:eastAsia="仿宋" w:cs="仿宋"/>
          <w:color w:val="auto"/>
          <w:sz w:val="32"/>
          <w:szCs w:val="32"/>
          <w:highlight w:val="white"/>
          <w:lang w:val="zh-CN"/>
        </w:rPr>
        <w:t>主要原因是项目支出增加。</w:t>
      </w:r>
    </w:p>
    <w:p>
      <w:pPr>
        <w:keepNext/>
        <w:keepLines/>
        <w:autoSpaceDE w:val="0"/>
        <w:autoSpaceDN w:val="0"/>
        <w:adjustRightInd w:val="0"/>
        <w:spacing w:beforeLines="0" w:after="0" w:afterLines="0" w:line="560" w:lineRule="exact"/>
        <w:ind w:firstLine="643"/>
        <w:jc w:val="both"/>
        <w:rPr>
          <w:rFonts w:hint="default" w:ascii="楷体" w:hAnsi="Times New Roman" w:eastAsia="楷体" w:cs="楷体"/>
          <w:b/>
          <w:sz w:val="32"/>
          <w:szCs w:val="32"/>
          <w:highlight w:val="white"/>
        </w:rPr>
      </w:pPr>
      <w:r>
        <w:rPr>
          <w:rFonts w:hint="eastAsia" w:ascii="楷体" w:hAnsi="Times New Roman" w:eastAsia="楷体" w:cs="楷体"/>
          <w:b/>
          <w:sz w:val="32"/>
          <w:szCs w:val="32"/>
          <w:highlight w:val="white"/>
        </w:rPr>
        <w:t>（二）财政拨款支出决算结构情况</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21"/>
          <w:szCs w:val="21"/>
          <w:highlight w:val="white"/>
          <w:lang w:val="zh-CN"/>
        </w:rPr>
      </w:pPr>
      <w:r>
        <w:rPr>
          <w:rFonts w:hint="eastAsia" w:ascii="仿宋" w:hAnsi="Times New Roman" w:eastAsia="仿宋" w:cs="仿宋"/>
          <w:color w:val="000000"/>
          <w:kern w:val="0"/>
          <w:sz w:val="32"/>
          <w:szCs w:val="32"/>
          <w:highlight w:val="white"/>
        </w:rPr>
        <w:t>2025年度财政拨款支出724.82万元，主要用于以下方面：一般公共服务（类）支出604.34万元，占83.38%；文化旅游体育与传媒（类）支出14.9万元，占2.06%；社会保障和就业（类）支出66.15万元，占9.13%；卫生健康（类）支出13.25万元，占1.83%；住房保障（类）支出26.17万元，占3.61%；</w:t>
      </w:r>
    </w:p>
    <w:p>
      <w:pPr>
        <w:keepNext/>
        <w:keepLines/>
        <w:autoSpaceDE w:val="0"/>
        <w:autoSpaceDN w:val="0"/>
        <w:adjustRightInd w:val="0"/>
        <w:spacing w:beforeLines="0" w:after="0" w:afterLines="0" w:line="560" w:lineRule="exact"/>
        <w:ind w:firstLine="643"/>
        <w:jc w:val="both"/>
        <w:rPr>
          <w:rFonts w:hint="default" w:ascii="楷体" w:hAnsi="Times New Roman" w:eastAsia="楷体" w:cs="楷体"/>
          <w:b/>
          <w:sz w:val="32"/>
          <w:szCs w:val="32"/>
          <w:highlight w:val="white"/>
        </w:rPr>
      </w:pPr>
      <w:r>
        <w:rPr>
          <w:rFonts w:hint="eastAsia" w:ascii="楷体" w:hAnsi="Times New Roman" w:eastAsia="楷体" w:cs="楷体"/>
          <w:b/>
          <w:sz w:val="32"/>
          <w:szCs w:val="32"/>
          <w:highlight w:val="white"/>
        </w:rPr>
        <w:t>（三）财政拨款支出决算具体情况</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sz w:val="32"/>
          <w:szCs w:val="32"/>
          <w:highlight w:val="white"/>
          <w:lang w:val="zh-CN"/>
        </w:rPr>
      </w:pPr>
      <w:r>
        <w:rPr>
          <w:rFonts w:hint="eastAsia" w:ascii="仿宋" w:hAnsi="Times New Roman" w:eastAsia="仿宋" w:cs="仿宋"/>
          <w:color w:val="000000"/>
          <w:sz w:val="32"/>
          <w:szCs w:val="32"/>
          <w:highlight w:val="white"/>
          <w:lang w:val="zh-CN"/>
        </w:rPr>
        <w:t>2025年度财政拨款支出年初预算为465.51万元，支出决算为724.82万元，完成年初预算的155.7%。其中：</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lang w:val="zh-CN"/>
        </w:rPr>
      </w:pPr>
      <w:r>
        <w:rPr>
          <w:rFonts w:hint="eastAsia" w:ascii="仿宋" w:hAnsi="Times New Roman" w:eastAsia="仿宋" w:cs="仿宋"/>
          <w:sz w:val="32"/>
          <w:szCs w:val="32"/>
          <w:lang w:val="zh-CN"/>
        </w:rPr>
        <w:t>一般公共服务支出（类）政府办公厅（室）及相关机构事务（款）行政运行（项）。年初预算为</w:t>
      </w:r>
      <w:r>
        <w:rPr>
          <w:rFonts w:hint="default" w:ascii="仿宋" w:hAnsi="Times New Roman" w:eastAsia="仿宋" w:cs="仿宋"/>
          <w:sz w:val="32"/>
          <w:szCs w:val="32"/>
          <w:lang w:val="zh-CN"/>
        </w:rPr>
        <w:t>0</w:t>
      </w:r>
      <w:r>
        <w:rPr>
          <w:rFonts w:hint="eastAsia" w:ascii="仿宋" w:hAnsi="Times New Roman" w:eastAsia="仿宋" w:cs="仿宋"/>
          <w:sz w:val="32"/>
          <w:szCs w:val="32"/>
          <w:lang w:val="zh-CN"/>
        </w:rPr>
        <w:t>万元，支出决算为5.13万元，因预算数为</w:t>
      </w:r>
      <w:r>
        <w:rPr>
          <w:rFonts w:hint="default" w:ascii="仿宋" w:hAnsi="Times New Roman" w:eastAsia="仿宋" w:cs="仿宋"/>
          <w:sz w:val="32"/>
          <w:szCs w:val="32"/>
          <w:lang w:val="zh-CN"/>
        </w:rPr>
        <w:t>0</w:t>
      </w:r>
      <w:r>
        <w:rPr>
          <w:rFonts w:hint="eastAsia" w:ascii="仿宋" w:hAnsi="Times New Roman" w:eastAsia="仿宋" w:cs="仿宋"/>
          <w:sz w:val="32"/>
          <w:szCs w:val="32"/>
          <w:lang w:val="zh-CN"/>
        </w:rPr>
        <w:t>，无法计算百分比，主要原因是年中追加预算。</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lang w:val="zh-CN"/>
        </w:rPr>
      </w:pPr>
      <w:r>
        <w:rPr>
          <w:rFonts w:hint="eastAsia" w:ascii="仿宋" w:hAnsi="Times New Roman" w:eastAsia="仿宋" w:cs="仿宋"/>
          <w:sz w:val="32"/>
          <w:szCs w:val="32"/>
          <w:lang w:val="zh-CN"/>
        </w:rPr>
        <w:t>一般公共服务支出（类）政府办公厅（室）及相关机构事务（款）其他政府办公厅（室）及相关机构事务支出（项）。年初预算为</w:t>
      </w:r>
      <w:r>
        <w:rPr>
          <w:rFonts w:hint="default" w:ascii="仿宋" w:hAnsi="Times New Roman" w:eastAsia="仿宋" w:cs="仿宋"/>
          <w:sz w:val="32"/>
          <w:szCs w:val="32"/>
          <w:lang w:val="zh-CN"/>
        </w:rPr>
        <w:t>0</w:t>
      </w:r>
      <w:r>
        <w:rPr>
          <w:rFonts w:hint="eastAsia" w:ascii="仿宋" w:hAnsi="Times New Roman" w:eastAsia="仿宋" w:cs="仿宋"/>
          <w:sz w:val="32"/>
          <w:szCs w:val="32"/>
          <w:lang w:val="zh-CN"/>
        </w:rPr>
        <w:t>万元，支出决算为178.9万元，因预算数为</w:t>
      </w:r>
      <w:r>
        <w:rPr>
          <w:rFonts w:hint="default" w:ascii="仿宋" w:hAnsi="Times New Roman" w:eastAsia="仿宋" w:cs="仿宋"/>
          <w:sz w:val="32"/>
          <w:szCs w:val="32"/>
          <w:lang w:val="zh-CN"/>
        </w:rPr>
        <w:t>0</w:t>
      </w:r>
      <w:r>
        <w:rPr>
          <w:rFonts w:hint="eastAsia" w:ascii="仿宋" w:hAnsi="Times New Roman" w:eastAsia="仿宋" w:cs="仿宋"/>
          <w:sz w:val="32"/>
          <w:szCs w:val="32"/>
          <w:lang w:val="zh-CN"/>
        </w:rPr>
        <w:t>，无法计算百分比，主要原因是年中追加预算。</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lang w:val="zh-CN"/>
        </w:rPr>
      </w:pPr>
      <w:r>
        <w:rPr>
          <w:rFonts w:hint="eastAsia" w:ascii="仿宋" w:hAnsi="Times New Roman" w:eastAsia="仿宋" w:cs="仿宋"/>
          <w:sz w:val="32"/>
          <w:szCs w:val="32"/>
          <w:lang w:val="zh-CN"/>
        </w:rPr>
        <w:t>一般公共服务支出（类）党委办公厅（室）及相关机构事务（款）行政运行（项）。年初预算为</w:t>
      </w:r>
      <w:r>
        <w:rPr>
          <w:rFonts w:hint="default" w:ascii="仿宋" w:hAnsi="Times New Roman" w:eastAsia="仿宋" w:cs="仿宋"/>
          <w:sz w:val="32"/>
          <w:szCs w:val="32"/>
          <w:lang w:val="zh-CN"/>
        </w:rPr>
        <w:t>0</w:t>
      </w:r>
      <w:r>
        <w:rPr>
          <w:rFonts w:hint="eastAsia" w:ascii="仿宋" w:hAnsi="Times New Roman" w:eastAsia="仿宋" w:cs="仿宋"/>
          <w:sz w:val="32"/>
          <w:szCs w:val="32"/>
          <w:lang w:val="zh-CN"/>
        </w:rPr>
        <w:t>万元，支出决算为16.45万元，因预算数为</w:t>
      </w:r>
      <w:r>
        <w:rPr>
          <w:rFonts w:hint="default" w:ascii="仿宋" w:hAnsi="Times New Roman" w:eastAsia="仿宋" w:cs="仿宋"/>
          <w:sz w:val="32"/>
          <w:szCs w:val="32"/>
          <w:lang w:val="zh-CN"/>
        </w:rPr>
        <w:t>0</w:t>
      </w:r>
      <w:r>
        <w:rPr>
          <w:rFonts w:hint="eastAsia" w:ascii="仿宋" w:hAnsi="Times New Roman" w:eastAsia="仿宋" w:cs="仿宋"/>
          <w:sz w:val="32"/>
          <w:szCs w:val="32"/>
          <w:lang w:val="zh-CN"/>
        </w:rPr>
        <w:t>，无法计算百分比，主要原因是年中追加预算。</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lang w:val="zh-CN"/>
        </w:rPr>
      </w:pPr>
      <w:r>
        <w:rPr>
          <w:rFonts w:hint="eastAsia" w:ascii="仿宋" w:hAnsi="Times New Roman" w:eastAsia="仿宋" w:cs="仿宋"/>
          <w:sz w:val="32"/>
          <w:szCs w:val="32"/>
          <w:lang w:val="zh-CN"/>
        </w:rPr>
        <w:t>一般公共服务支出（类）党委办公厅（室）及相关机构事务（款）其他党委办公厅（室）及相关机构事务支出（项）。年初预算为</w:t>
      </w:r>
      <w:r>
        <w:rPr>
          <w:rFonts w:hint="default" w:ascii="仿宋" w:hAnsi="Times New Roman" w:eastAsia="仿宋" w:cs="仿宋"/>
          <w:sz w:val="32"/>
          <w:szCs w:val="32"/>
          <w:lang w:val="zh-CN"/>
        </w:rPr>
        <w:t>0</w:t>
      </w:r>
      <w:r>
        <w:rPr>
          <w:rFonts w:hint="eastAsia" w:ascii="仿宋" w:hAnsi="Times New Roman" w:eastAsia="仿宋" w:cs="仿宋"/>
          <w:sz w:val="32"/>
          <w:szCs w:val="32"/>
          <w:lang w:val="zh-CN"/>
        </w:rPr>
        <w:t>万元，支出决算为21.33万元，因预算数为</w:t>
      </w:r>
      <w:r>
        <w:rPr>
          <w:rFonts w:hint="default" w:ascii="仿宋" w:hAnsi="Times New Roman" w:eastAsia="仿宋" w:cs="仿宋"/>
          <w:sz w:val="32"/>
          <w:szCs w:val="32"/>
          <w:lang w:val="zh-CN"/>
        </w:rPr>
        <w:t>0</w:t>
      </w:r>
      <w:r>
        <w:rPr>
          <w:rFonts w:hint="eastAsia" w:ascii="仿宋" w:hAnsi="Times New Roman" w:eastAsia="仿宋" w:cs="仿宋"/>
          <w:sz w:val="32"/>
          <w:szCs w:val="32"/>
          <w:lang w:val="zh-CN"/>
        </w:rPr>
        <w:t>，无法计算百分比，主要原因是年中追加预算。</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lang w:val="zh-CN"/>
        </w:rPr>
      </w:pPr>
      <w:r>
        <w:rPr>
          <w:rFonts w:hint="eastAsia" w:ascii="仿宋" w:hAnsi="Times New Roman" w:eastAsia="仿宋" w:cs="仿宋"/>
          <w:sz w:val="32"/>
          <w:szCs w:val="32"/>
          <w:lang w:val="zh-CN"/>
        </w:rPr>
        <w:t>一般公共服务支出（类）网信事务（款）行政运行（项）。年初预算为313.5万元，支出决算为317.6万元，完成年初预算的101.31%。决算数大于预算数的主要原因是年中调整预算。</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lang w:val="zh-CN"/>
        </w:rPr>
      </w:pPr>
      <w:r>
        <w:rPr>
          <w:rFonts w:hint="eastAsia" w:ascii="仿宋" w:hAnsi="Times New Roman" w:eastAsia="仿宋" w:cs="仿宋"/>
          <w:sz w:val="32"/>
          <w:szCs w:val="32"/>
          <w:lang w:val="zh-CN"/>
        </w:rPr>
        <w:t>一般公共服务支出（类）网信事务（款）其他网信事务支出（项）。年初预算为62.7万元，支出决算为64.93万元，完成年初预算的103.56%。决算数大于预算数的主要原因是年中调整预算。</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lang w:val="zh-CN"/>
        </w:rPr>
      </w:pPr>
      <w:r>
        <w:rPr>
          <w:rFonts w:hint="eastAsia" w:ascii="仿宋" w:hAnsi="Times New Roman" w:eastAsia="仿宋" w:cs="仿宋"/>
          <w:sz w:val="32"/>
          <w:szCs w:val="32"/>
          <w:lang w:val="zh-CN"/>
        </w:rPr>
        <w:t>文化旅游体育与传媒支出（类）文化和旅游（款）其他文化和旅游支出（项）。年初预算为</w:t>
      </w:r>
      <w:r>
        <w:rPr>
          <w:rFonts w:hint="default" w:ascii="仿宋" w:hAnsi="Times New Roman" w:eastAsia="仿宋" w:cs="仿宋"/>
          <w:sz w:val="32"/>
          <w:szCs w:val="32"/>
          <w:lang w:val="zh-CN"/>
        </w:rPr>
        <w:t>0</w:t>
      </w:r>
      <w:r>
        <w:rPr>
          <w:rFonts w:hint="eastAsia" w:ascii="仿宋" w:hAnsi="Times New Roman" w:eastAsia="仿宋" w:cs="仿宋"/>
          <w:sz w:val="32"/>
          <w:szCs w:val="32"/>
          <w:lang w:val="zh-CN"/>
        </w:rPr>
        <w:t>万元，支出决算为14.9万元，因预算数为</w:t>
      </w:r>
      <w:r>
        <w:rPr>
          <w:rFonts w:hint="default" w:ascii="仿宋" w:hAnsi="Times New Roman" w:eastAsia="仿宋" w:cs="仿宋"/>
          <w:sz w:val="32"/>
          <w:szCs w:val="32"/>
          <w:lang w:val="zh-CN"/>
        </w:rPr>
        <w:t>0</w:t>
      </w:r>
      <w:r>
        <w:rPr>
          <w:rFonts w:hint="eastAsia" w:ascii="仿宋" w:hAnsi="Times New Roman" w:eastAsia="仿宋" w:cs="仿宋"/>
          <w:sz w:val="32"/>
          <w:szCs w:val="32"/>
          <w:lang w:val="zh-CN"/>
        </w:rPr>
        <w:t>，无法计算百分比，主要原因是年中追加预算。</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lang w:val="zh-CN"/>
        </w:rPr>
      </w:pPr>
      <w:r>
        <w:rPr>
          <w:rFonts w:hint="eastAsia" w:ascii="仿宋" w:hAnsi="Times New Roman" w:eastAsia="仿宋" w:cs="仿宋"/>
          <w:sz w:val="32"/>
          <w:szCs w:val="32"/>
          <w:lang w:val="zh-CN"/>
        </w:rPr>
        <w:t>社会保障和就业支出（类）行政事业单位养老支出（款）机关事业单位基本养老保险缴费支出（项）。年初预算为36.59万元，支出决算为27.27万元，完成年初预算的74.53%。决算数小于预算数的主要原因是我单位严格按预算执行决算。</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lang w:val="zh-CN"/>
        </w:rPr>
      </w:pPr>
      <w:r>
        <w:rPr>
          <w:rFonts w:hint="eastAsia" w:ascii="仿宋" w:hAnsi="Times New Roman" w:eastAsia="仿宋" w:cs="仿宋"/>
          <w:sz w:val="32"/>
          <w:szCs w:val="32"/>
          <w:lang w:val="zh-CN"/>
        </w:rPr>
        <w:t>社会保障和就业支出（类）抚恤（款）其他优抚支出（项）。年初预算为</w:t>
      </w:r>
      <w:r>
        <w:rPr>
          <w:rFonts w:hint="default" w:ascii="仿宋" w:hAnsi="Times New Roman" w:eastAsia="仿宋" w:cs="仿宋"/>
          <w:sz w:val="32"/>
          <w:szCs w:val="32"/>
          <w:lang w:val="zh-CN"/>
        </w:rPr>
        <w:t>0</w:t>
      </w:r>
      <w:r>
        <w:rPr>
          <w:rFonts w:hint="eastAsia" w:ascii="仿宋" w:hAnsi="Times New Roman" w:eastAsia="仿宋" w:cs="仿宋"/>
          <w:sz w:val="32"/>
          <w:szCs w:val="32"/>
          <w:lang w:val="zh-CN"/>
        </w:rPr>
        <w:t>万元，支出决算为29.53万元，因预算数为</w:t>
      </w:r>
      <w:r>
        <w:rPr>
          <w:rFonts w:hint="default" w:ascii="仿宋" w:hAnsi="Times New Roman" w:eastAsia="仿宋" w:cs="仿宋"/>
          <w:sz w:val="32"/>
          <w:szCs w:val="32"/>
          <w:lang w:val="zh-CN"/>
        </w:rPr>
        <w:t>0</w:t>
      </w:r>
      <w:r>
        <w:rPr>
          <w:rFonts w:hint="eastAsia" w:ascii="仿宋" w:hAnsi="Times New Roman" w:eastAsia="仿宋" w:cs="仿宋"/>
          <w:sz w:val="32"/>
          <w:szCs w:val="32"/>
          <w:lang w:val="zh-CN"/>
        </w:rPr>
        <w:t>，无法计算百分比，主要原因是年中追加预算。</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lang w:val="zh-CN"/>
        </w:rPr>
      </w:pPr>
      <w:r>
        <w:rPr>
          <w:rFonts w:hint="eastAsia" w:ascii="仿宋" w:hAnsi="Times New Roman" w:eastAsia="仿宋" w:cs="仿宋"/>
          <w:sz w:val="32"/>
          <w:szCs w:val="32"/>
          <w:lang w:val="zh-CN"/>
        </w:rPr>
        <w:t>社会保障和就业支出（类）残疾人事业（款）其他残疾人事业支出（项）。年初预算为2.47万元，支出决算为2.47万元，完成年初预算的100%。决算数与预算数一致，主要原因是我单位严格按预算执行决算。</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lang w:val="zh-CN"/>
        </w:rPr>
      </w:pPr>
      <w:r>
        <w:rPr>
          <w:rFonts w:hint="eastAsia" w:ascii="仿宋" w:hAnsi="Times New Roman" w:eastAsia="仿宋" w:cs="仿宋"/>
          <w:sz w:val="32"/>
          <w:szCs w:val="32"/>
          <w:lang w:val="zh-CN"/>
        </w:rPr>
        <w:t>社会保障和就业支出（类）其他社会保障和就业支出（款）其他社会保障和就业支出（项）。年初预算为6.88万元，支出决算为6.88万元，完成年初预算的100%。决算数与预算数一致，主要原因是我单位严格按预算执行决算。</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lang w:val="zh-CN"/>
        </w:rPr>
      </w:pPr>
      <w:r>
        <w:rPr>
          <w:rFonts w:hint="eastAsia" w:ascii="仿宋" w:hAnsi="Times New Roman" w:eastAsia="仿宋" w:cs="仿宋"/>
          <w:sz w:val="32"/>
          <w:szCs w:val="32"/>
          <w:lang w:val="zh-CN"/>
        </w:rPr>
        <w:t>卫生健康支出（类）行政事业单位医疗（款）行政单位医疗（项）。年初预算为13.88万元，支出决算为13.25万元，完成年初预算的95.46%。决算数小于预算数的主要原因是我单位严格按预算执行决算。</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lang w:val="zh-CN"/>
        </w:rPr>
      </w:pPr>
      <w:r>
        <w:rPr>
          <w:rFonts w:hint="eastAsia" w:ascii="仿宋" w:hAnsi="Times New Roman" w:eastAsia="仿宋" w:cs="仿宋"/>
          <w:sz w:val="32"/>
          <w:szCs w:val="32"/>
          <w:lang w:val="zh-CN"/>
        </w:rPr>
        <w:t>卫生健康支出（类）行政事业单位医疗（款）公务员医疗补助（项）。年初预算为3.07万元，支出决算为</w:t>
      </w:r>
      <w:r>
        <w:rPr>
          <w:rFonts w:hint="default" w:ascii="仿宋" w:hAnsi="Times New Roman" w:eastAsia="仿宋" w:cs="仿宋"/>
          <w:sz w:val="32"/>
          <w:szCs w:val="32"/>
          <w:lang w:val="zh-CN"/>
        </w:rPr>
        <w:t>0</w:t>
      </w:r>
      <w:r>
        <w:rPr>
          <w:rFonts w:hint="eastAsia" w:ascii="仿宋" w:hAnsi="Times New Roman" w:eastAsia="仿宋" w:cs="仿宋"/>
          <w:sz w:val="32"/>
          <w:szCs w:val="32"/>
          <w:lang w:val="zh-CN"/>
        </w:rPr>
        <w:t>万元，因决算数为</w:t>
      </w:r>
      <w:r>
        <w:rPr>
          <w:rFonts w:hint="default" w:ascii="仿宋" w:hAnsi="Times New Roman" w:eastAsia="仿宋" w:cs="仿宋"/>
          <w:sz w:val="32"/>
          <w:szCs w:val="32"/>
          <w:lang w:val="zh-CN"/>
        </w:rPr>
        <w:t>0</w:t>
      </w:r>
      <w:r>
        <w:rPr>
          <w:rFonts w:hint="eastAsia" w:ascii="仿宋" w:hAnsi="Times New Roman" w:eastAsia="仿宋" w:cs="仿宋"/>
          <w:sz w:val="32"/>
          <w:szCs w:val="32"/>
          <w:lang w:val="zh-CN"/>
        </w:rPr>
        <w:t>，无法计算百分比，预算数大于决算数的主要原因是为财政代扣费用。</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lang w:val="zh-CN"/>
        </w:rPr>
      </w:pPr>
      <w:r>
        <w:rPr>
          <w:rFonts w:hint="eastAsia" w:ascii="仿宋" w:hAnsi="Times New Roman" w:eastAsia="仿宋" w:cs="仿宋"/>
          <w:sz w:val="32"/>
          <w:szCs w:val="32"/>
          <w:lang w:val="zh-CN"/>
        </w:rPr>
        <w:t>住房保障支出（类）住房改革支出（款）住房公积金（项）。年初预算为26.42万元，支出决算为26.17万元，完成年初预算的99.05%。决算数小于预算数的主要原因是我单位严格按预算执行决算。</w:t>
      </w:r>
    </w:p>
    <w:p>
      <w:pPr>
        <w:keepNext/>
        <w:keepLines/>
        <w:autoSpaceDE w:val="0"/>
        <w:autoSpaceDN w:val="0"/>
        <w:adjustRightInd w:val="0"/>
        <w:spacing w:beforeLines="0" w:after="0" w:afterLines="0" w:line="560" w:lineRule="exact"/>
        <w:ind w:firstLine="640"/>
        <w:jc w:val="both"/>
        <w:rPr>
          <w:rFonts w:hint="default" w:ascii="Times New Roman" w:hAnsi="Times New Roman" w:eastAsia="黑体"/>
          <w:kern w:val="0"/>
          <w:sz w:val="32"/>
          <w:szCs w:val="32"/>
          <w:highlight w:val="white"/>
        </w:rPr>
      </w:pPr>
      <w:r>
        <w:rPr>
          <w:rFonts w:hint="eastAsia" w:ascii="黑体" w:hAnsi="Times New Roman" w:eastAsia="黑体" w:cs="黑体"/>
          <w:kern w:val="0"/>
          <w:sz w:val="32"/>
          <w:szCs w:val="32"/>
          <w:highlight w:val="white"/>
        </w:rPr>
        <w:t>六、一般公共预算财政拨款基本支出决算情况说明</w:t>
      </w:r>
    </w:p>
    <w:p>
      <w:pPr>
        <w:keepNext/>
        <w:keepLines/>
        <w:autoSpaceDE w:val="0"/>
        <w:autoSpaceDN w:val="0"/>
        <w:adjustRightInd w:val="0"/>
        <w:spacing w:beforeLines="0" w:after="0" w:afterLines="0" w:line="560" w:lineRule="exact"/>
        <w:ind w:firstLine="640"/>
        <w:rPr>
          <w:rFonts w:hint="eastAsia" w:ascii="仿宋" w:hAnsi="Times New Roman" w:eastAsia="仿宋" w:cs="仿宋"/>
          <w:kern w:val="0"/>
          <w:sz w:val="32"/>
          <w:szCs w:val="32"/>
          <w:highlight w:val="white"/>
        </w:rPr>
      </w:pPr>
      <w:r>
        <w:rPr>
          <w:rFonts w:hint="eastAsia" w:ascii="仿宋" w:hAnsi="Times New Roman" w:eastAsia="仿宋" w:cs="仿宋"/>
          <w:sz w:val="32"/>
          <w:szCs w:val="32"/>
          <w:highlight w:val="white"/>
          <w:lang w:val="zh-CN"/>
        </w:rPr>
        <w:t>2025年度</w:t>
      </w:r>
      <w:r>
        <w:rPr>
          <w:rFonts w:hint="eastAsia" w:ascii="仿宋" w:hAnsi="Times New Roman" w:eastAsia="仿宋" w:cs="仿宋"/>
          <w:kern w:val="0"/>
          <w:sz w:val="32"/>
          <w:szCs w:val="32"/>
          <w:highlight w:val="white"/>
        </w:rPr>
        <w:t>财政拨款基本支出466.08万元，其中:</w:t>
      </w:r>
    </w:p>
    <w:p>
      <w:pPr>
        <w:keepNext/>
        <w:keepLines/>
        <w:autoSpaceDE w:val="0"/>
        <w:autoSpaceDN w:val="0"/>
        <w:adjustRightInd w:val="0"/>
        <w:spacing w:beforeLines="0" w:after="0" w:afterLines="0" w:line="560" w:lineRule="exact"/>
        <w:ind w:firstLine="643"/>
        <w:rPr>
          <w:rFonts w:hint="default" w:ascii="仿宋" w:hAnsi="Times New Roman" w:eastAsia="仿宋" w:cs="仿宋"/>
          <w:kern w:val="0"/>
          <w:sz w:val="32"/>
          <w:szCs w:val="32"/>
          <w:highlight w:val="white"/>
          <w:lang w:val="zh-CN"/>
        </w:rPr>
      </w:pPr>
      <w:r>
        <w:rPr>
          <w:rFonts w:hint="eastAsia" w:ascii="仿宋" w:hAnsi="Times New Roman" w:eastAsia="仿宋" w:cs="仿宋"/>
          <w:b/>
          <w:kern w:val="0"/>
          <w:sz w:val="32"/>
          <w:szCs w:val="32"/>
          <w:highlight w:val="white"/>
        </w:rPr>
        <w:t>人员经费</w:t>
      </w:r>
      <w:r>
        <w:rPr>
          <w:rFonts w:hint="eastAsia" w:ascii="仿宋" w:hAnsi="Times New Roman" w:eastAsia="仿宋" w:cs="仿宋"/>
          <w:kern w:val="0"/>
          <w:sz w:val="32"/>
          <w:szCs w:val="32"/>
          <w:highlight w:val="white"/>
        </w:rPr>
        <w:t>400.23万元，</w:t>
      </w:r>
      <w:r>
        <w:rPr>
          <w:rFonts w:hint="eastAsia" w:ascii="仿宋" w:hAnsi="Times New Roman" w:eastAsia="仿宋" w:cs="仿宋"/>
          <w:sz w:val="32"/>
          <w:szCs w:val="32"/>
          <w:highlight w:val="white"/>
          <w:lang w:val="zh-CN"/>
        </w:rPr>
        <w:t>占基本支出的</w:t>
      </w:r>
      <w:r>
        <w:rPr>
          <w:rFonts w:hint="eastAsia" w:ascii="仿宋" w:hAnsi="Times New Roman" w:eastAsia="仿宋" w:cs="仿宋"/>
          <w:kern w:val="0"/>
          <w:sz w:val="32"/>
          <w:szCs w:val="32"/>
          <w:highlight w:val="white"/>
        </w:rPr>
        <w:t>85.87%，主要包括基本工资、津贴补贴、</w:t>
      </w:r>
      <w:r>
        <w:rPr>
          <w:rFonts w:hint="eastAsia" w:ascii="仿宋" w:hAnsi="Times New Roman" w:eastAsia="仿宋" w:cs="仿宋"/>
          <w:kern w:val="0"/>
          <w:sz w:val="32"/>
          <w:szCs w:val="32"/>
          <w:highlight w:val="white"/>
          <w:lang w:val="zh-CN"/>
        </w:rPr>
        <w:t>奖金、伙食补助费、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pPr>
        <w:keepNext/>
        <w:keepLines/>
        <w:autoSpaceDE w:val="0"/>
        <w:autoSpaceDN w:val="0"/>
        <w:adjustRightInd w:val="0"/>
        <w:spacing w:beforeLines="0" w:after="0" w:afterLines="0" w:line="560" w:lineRule="exact"/>
        <w:ind w:firstLine="643"/>
        <w:rPr>
          <w:rFonts w:hint="default" w:ascii="仿宋" w:hAnsi="Times New Roman" w:eastAsia="仿宋" w:cs="仿宋"/>
          <w:sz w:val="32"/>
          <w:szCs w:val="32"/>
        </w:rPr>
      </w:pPr>
      <w:r>
        <w:rPr>
          <w:rFonts w:hint="eastAsia" w:ascii="仿宋" w:hAnsi="Times New Roman" w:eastAsia="仿宋" w:cs="仿宋"/>
          <w:b/>
          <w:kern w:val="0"/>
          <w:sz w:val="32"/>
          <w:szCs w:val="32"/>
          <w:highlight w:val="white"/>
        </w:rPr>
        <w:t>公用经费</w:t>
      </w:r>
      <w:r>
        <w:rPr>
          <w:rFonts w:hint="eastAsia" w:ascii="仿宋" w:hAnsi="Times New Roman" w:eastAsia="仿宋" w:cs="仿宋"/>
          <w:kern w:val="0"/>
          <w:sz w:val="32"/>
          <w:szCs w:val="32"/>
          <w:highlight w:val="white"/>
        </w:rPr>
        <w:t>65.86万元，</w:t>
      </w:r>
      <w:r>
        <w:rPr>
          <w:rFonts w:hint="eastAsia" w:ascii="仿宋" w:hAnsi="Times New Roman" w:eastAsia="仿宋" w:cs="仿宋"/>
          <w:sz w:val="32"/>
          <w:szCs w:val="32"/>
          <w:highlight w:val="white"/>
          <w:lang w:val="zh-CN"/>
        </w:rPr>
        <w:t>占基本支出的</w:t>
      </w:r>
      <w:r>
        <w:rPr>
          <w:rFonts w:hint="eastAsia" w:ascii="仿宋" w:hAnsi="Times New Roman" w:eastAsia="仿宋" w:cs="仿宋"/>
          <w:kern w:val="0"/>
          <w:sz w:val="32"/>
          <w:szCs w:val="32"/>
          <w:highlight w:val="white"/>
        </w:rPr>
        <w:t>14.13%，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pPr>
        <w:keepNext/>
        <w:keepLines/>
        <w:autoSpaceDE w:val="0"/>
        <w:autoSpaceDN w:val="0"/>
        <w:adjustRightInd w:val="0"/>
        <w:spacing w:beforeLines="0" w:after="0" w:afterLines="0" w:line="560" w:lineRule="exact"/>
        <w:ind w:firstLine="640"/>
        <w:jc w:val="both"/>
        <w:rPr>
          <w:rFonts w:hint="default" w:ascii="黑体" w:hAnsi="Times New Roman" w:eastAsia="黑体" w:cs="黑体"/>
          <w:sz w:val="32"/>
          <w:szCs w:val="32"/>
          <w:highlight w:val="white"/>
          <w:lang w:val="zh-CN"/>
        </w:rPr>
      </w:pPr>
      <w:r>
        <w:rPr>
          <w:rFonts w:hint="eastAsia" w:ascii="黑体" w:hAnsi="Times New Roman" w:eastAsia="黑体" w:cs="黑体"/>
          <w:sz w:val="32"/>
          <w:szCs w:val="32"/>
          <w:highlight w:val="white"/>
          <w:lang w:val="zh-CN"/>
        </w:rPr>
        <w:t>七、政府性基金预算收入支出决算情况</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b/>
          <w:sz w:val="32"/>
          <w:szCs w:val="32"/>
          <w:highlight w:val="white"/>
          <w:lang w:val="zh-CN"/>
        </w:rPr>
      </w:pPr>
      <w:r>
        <w:rPr>
          <w:rFonts w:hint="eastAsia" w:ascii="仿宋" w:hAnsi="Times New Roman" w:eastAsia="仿宋" w:cs="仿宋"/>
          <w:sz w:val="32"/>
          <w:szCs w:val="32"/>
          <w:highlight w:val="white"/>
          <w:lang w:val="zh-CN"/>
        </w:rPr>
        <w:t>2025年度政府性基金预算财政拨款收入</w:t>
      </w:r>
      <w:r>
        <w:rPr>
          <w:rFonts w:hint="default" w:ascii="仿宋" w:hAnsi="Times New Roman" w:eastAsia="仿宋" w:cs="仿宋"/>
          <w:sz w:val="32"/>
          <w:szCs w:val="32"/>
          <w:highlight w:val="white"/>
          <w:lang w:val="zh-CN"/>
        </w:rPr>
        <w:t>0</w:t>
      </w:r>
      <w:r>
        <w:rPr>
          <w:rFonts w:hint="eastAsia" w:ascii="仿宋" w:hAnsi="Times New Roman" w:eastAsia="仿宋" w:cs="仿宋"/>
          <w:sz w:val="32"/>
          <w:szCs w:val="32"/>
          <w:highlight w:val="white"/>
          <w:lang w:val="zh-CN"/>
        </w:rPr>
        <w:t>万元；年初结转和结余</w:t>
      </w:r>
      <w:r>
        <w:rPr>
          <w:rFonts w:hint="default" w:ascii="仿宋" w:hAnsi="Times New Roman" w:eastAsia="仿宋" w:cs="仿宋"/>
          <w:sz w:val="32"/>
          <w:szCs w:val="32"/>
          <w:highlight w:val="white"/>
          <w:lang w:val="zh-CN"/>
        </w:rPr>
        <w:t>0</w:t>
      </w:r>
      <w:r>
        <w:rPr>
          <w:rFonts w:hint="eastAsia" w:ascii="仿宋" w:hAnsi="Times New Roman" w:eastAsia="仿宋" w:cs="仿宋"/>
          <w:sz w:val="32"/>
          <w:szCs w:val="32"/>
          <w:highlight w:val="white"/>
          <w:lang w:val="zh-CN"/>
        </w:rPr>
        <w:t>万元；支出</w:t>
      </w:r>
      <w:r>
        <w:rPr>
          <w:rFonts w:hint="default" w:ascii="仿宋" w:hAnsi="Times New Roman" w:eastAsia="仿宋" w:cs="仿宋"/>
          <w:sz w:val="32"/>
          <w:szCs w:val="32"/>
          <w:highlight w:val="white"/>
          <w:lang w:val="zh-CN"/>
        </w:rPr>
        <w:t>0</w:t>
      </w:r>
      <w:r>
        <w:rPr>
          <w:rFonts w:hint="eastAsia" w:ascii="仿宋" w:hAnsi="Times New Roman" w:eastAsia="仿宋" w:cs="仿宋"/>
          <w:sz w:val="32"/>
          <w:szCs w:val="32"/>
          <w:highlight w:val="white"/>
          <w:lang w:val="zh-CN"/>
        </w:rPr>
        <w:t>万元，其中基本支出</w:t>
      </w:r>
      <w:r>
        <w:rPr>
          <w:rFonts w:hint="default" w:ascii="仿宋" w:hAnsi="Times New Roman" w:eastAsia="仿宋" w:cs="仿宋"/>
          <w:sz w:val="32"/>
          <w:szCs w:val="32"/>
          <w:highlight w:val="white"/>
          <w:lang w:val="zh-CN"/>
        </w:rPr>
        <w:t>0</w:t>
      </w:r>
      <w:r>
        <w:rPr>
          <w:rFonts w:hint="eastAsia" w:ascii="仿宋" w:hAnsi="Times New Roman" w:eastAsia="仿宋" w:cs="仿宋"/>
          <w:sz w:val="32"/>
          <w:szCs w:val="32"/>
          <w:highlight w:val="white"/>
          <w:lang w:val="zh-CN"/>
        </w:rPr>
        <w:t>万元，项目支出</w:t>
      </w:r>
      <w:r>
        <w:rPr>
          <w:rFonts w:hint="default" w:ascii="仿宋" w:hAnsi="Times New Roman" w:eastAsia="仿宋" w:cs="仿宋"/>
          <w:sz w:val="32"/>
          <w:szCs w:val="32"/>
          <w:highlight w:val="white"/>
          <w:lang w:val="zh-CN"/>
        </w:rPr>
        <w:t>0</w:t>
      </w:r>
      <w:r>
        <w:rPr>
          <w:rFonts w:hint="eastAsia" w:ascii="仿宋" w:hAnsi="Times New Roman" w:eastAsia="仿宋" w:cs="仿宋"/>
          <w:sz w:val="32"/>
          <w:szCs w:val="32"/>
          <w:highlight w:val="white"/>
          <w:lang w:val="zh-CN"/>
        </w:rPr>
        <w:t>万元；年末结转和结余</w:t>
      </w:r>
      <w:r>
        <w:rPr>
          <w:rFonts w:hint="default" w:ascii="仿宋" w:hAnsi="Times New Roman" w:eastAsia="仿宋" w:cs="仿宋"/>
          <w:sz w:val="32"/>
          <w:szCs w:val="32"/>
          <w:highlight w:val="white"/>
          <w:lang w:val="zh-CN"/>
        </w:rPr>
        <w:t>0</w:t>
      </w:r>
      <w:r>
        <w:rPr>
          <w:rFonts w:hint="eastAsia" w:ascii="仿宋" w:hAnsi="Times New Roman" w:eastAsia="仿宋" w:cs="仿宋"/>
          <w:sz w:val="32"/>
          <w:szCs w:val="32"/>
          <w:highlight w:val="white"/>
          <w:lang w:val="zh-CN"/>
        </w:rPr>
        <w:t>万元。</w:t>
      </w:r>
    </w:p>
    <w:p>
      <w:pPr>
        <w:keepNext/>
        <w:keepLines/>
        <w:autoSpaceDE w:val="0"/>
        <w:autoSpaceDN w:val="0"/>
        <w:adjustRightInd w:val="0"/>
        <w:spacing w:beforeLines="0" w:after="0" w:afterLines="0" w:line="560" w:lineRule="exact"/>
        <w:ind w:firstLine="640"/>
        <w:jc w:val="both"/>
        <w:rPr>
          <w:rFonts w:hint="default" w:ascii="黑体" w:hAnsi="Times New Roman" w:eastAsia="黑体" w:cs="黑体"/>
          <w:sz w:val="32"/>
          <w:szCs w:val="32"/>
          <w:highlight w:val="white"/>
          <w:lang w:val="zh-CN"/>
        </w:rPr>
      </w:pPr>
      <w:r>
        <w:rPr>
          <w:rFonts w:hint="eastAsia" w:ascii="黑体" w:hAnsi="Times New Roman" w:eastAsia="黑体" w:cs="黑体"/>
          <w:sz w:val="32"/>
          <w:szCs w:val="32"/>
          <w:highlight w:val="white"/>
          <w:lang w:val="zh-CN"/>
        </w:rPr>
        <w:t>八、国有资本经营预算财政拨款支出决算情况</w:t>
      </w:r>
    </w:p>
    <w:p>
      <w:pPr>
        <w:keepNext/>
        <w:keepLines/>
        <w:autoSpaceDE w:val="0"/>
        <w:autoSpaceDN w:val="0"/>
        <w:adjustRightInd w:val="0"/>
        <w:spacing w:beforeLines="0" w:after="0" w:afterLines="0" w:line="560" w:lineRule="exact"/>
        <w:ind w:firstLine="640"/>
        <w:jc w:val="both"/>
        <w:rPr>
          <w:rFonts w:hint="default" w:ascii="黑体" w:hAnsi="Times New Roman" w:eastAsia="黑体" w:cs="黑体"/>
          <w:sz w:val="32"/>
          <w:szCs w:val="32"/>
          <w:highlight w:val="white"/>
          <w:lang w:val="zh-CN"/>
        </w:rPr>
      </w:pPr>
      <w:r>
        <w:rPr>
          <w:rFonts w:hint="eastAsia" w:ascii="仿宋" w:hAnsi="Times New Roman" w:eastAsia="仿宋" w:cs="仿宋"/>
          <w:sz w:val="32"/>
          <w:szCs w:val="32"/>
          <w:highlight w:val="white"/>
          <w:lang w:val="zh-CN"/>
        </w:rPr>
        <w:t>2025年度国有资本经营预算财政拨款收入</w:t>
      </w:r>
      <w:r>
        <w:rPr>
          <w:rFonts w:hint="default" w:ascii="仿宋" w:hAnsi="Times New Roman" w:eastAsia="仿宋" w:cs="仿宋"/>
          <w:sz w:val="32"/>
          <w:szCs w:val="32"/>
          <w:highlight w:val="white"/>
          <w:lang w:val="zh-CN"/>
        </w:rPr>
        <w:t>0</w:t>
      </w:r>
      <w:r>
        <w:rPr>
          <w:rFonts w:hint="eastAsia" w:ascii="仿宋" w:hAnsi="Times New Roman" w:eastAsia="仿宋" w:cs="仿宋"/>
          <w:sz w:val="32"/>
          <w:szCs w:val="32"/>
          <w:highlight w:val="white"/>
          <w:lang w:val="zh-CN"/>
        </w:rPr>
        <w:t>万元；年初结转和结余</w:t>
      </w:r>
      <w:r>
        <w:rPr>
          <w:rFonts w:hint="default" w:ascii="仿宋" w:hAnsi="Times New Roman" w:eastAsia="仿宋" w:cs="仿宋"/>
          <w:sz w:val="32"/>
          <w:szCs w:val="32"/>
          <w:highlight w:val="white"/>
          <w:lang w:val="zh-CN"/>
        </w:rPr>
        <w:t>0</w:t>
      </w:r>
      <w:r>
        <w:rPr>
          <w:rFonts w:hint="eastAsia" w:ascii="仿宋" w:hAnsi="Times New Roman" w:eastAsia="仿宋" w:cs="仿宋"/>
          <w:sz w:val="32"/>
          <w:szCs w:val="32"/>
          <w:highlight w:val="white"/>
          <w:lang w:val="zh-CN"/>
        </w:rPr>
        <w:t>万；支出</w:t>
      </w:r>
      <w:r>
        <w:rPr>
          <w:rFonts w:hint="default" w:ascii="仿宋" w:hAnsi="Times New Roman" w:eastAsia="仿宋" w:cs="仿宋"/>
          <w:sz w:val="32"/>
          <w:szCs w:val="32"/>
          <w:highlight w:val="white"/>
          <w:lang w:val="zh-CN"/>
        </w:rPr>
        <w:t>0</w:t>
      </w:r>
      <w:r>
        <w:rPr>
          <w:rFonts w:hint="eastAsia" w:ascii="仿宋" w:hAnsi="Times New Roman" w:eastAsia="仿宋" w:cs="仿宋"/>
          <w:sz w:val="32"/>
          <w:szCs w:val="32"/>
          <w:highlight w:val="white"/>
          <w:lang w:val="zh-CN"/>
        </w:rPr>
        <w:t>万元，其中：基本支出</w:t>
      </w:r>
      <w:r>
        <w:rPr>
          <w:rFonts w:hint="default" w:ascii="仿宋" w:hAnsi="Times New Roman" w:eastAsia="仿宋" w:cs="仿宋"/>
          <w:sz w:val="32"/>
          <w:szCs w:val="32"/>
          <w:highlight w:val="white"/>
          <w:lang w:val="zh-CN"/>
        </w:rPr>
        <w:t>0</w:t>
      </w:r>
      <w:r>
        <w:rPr>
          <w:rFonts w:hint="eastAsia" w:ascii="仿宋" w:hAnsi="Times New Roman" w:eastAsia="仿宋" w:cs="仿宋"/>
          <w:sz w:val="32"/>
          <w:szCs w:val="32"/>
          <w:highlight w:val="white"/>
          <w:lang w:val="zh-CN"/>
        </w:rPr>
        <w:t>万元，项目支出</w:t>
      </w:r>
      <w:r>
        <w:rPr>
          <w:rFonts w:hint="default" w:ascii="仿宋" w:hAnsi="Times New Roman" w:eastAsia="仿宋" w:cs="仿宋"/>
          <w:sz w:val="32"/>
          <w:szCs w:val="32"/>
          <w:highlight w:val="white"/>
          <w:lang w:val="zh-CN"/>
        </w:rPr>
        <w:t>0</w:t>
      </w:r>
      <w:r>
        <w:rPr>
          <w:rFonts w:hint="eastAsia" w:ascii="仿宋" w:hAnsi="Times New Roman" w:eastAsia="仿宋" w:cs="仿宋"/>
          <w:sz w:val="32"/>
          <w:szCs w:val="32"/>
          <w:highlight w:val="white"/>
          <w:lang w:val="zh-CN"/>
        </w:rPr>
        <w:t>万元；年末结转和结余</w:t>
      </w:r>
      <w:r>
        <w:rPr>
          <w:rFonts w:hint="default" w:ascii="仿宋" w:hAnsi="Times New Roman" w:eastAsia="仿宋" w:cs="仿宋"/>
          <w:sz w:val="32"/>
          <w:szCs w:val="32"/>
          <w:highlight w:val="white"/>
          <w:lang w:val="zh-CN"/>
        </w:rPr>
        <w:t>0</w:t>
      </w:r>
      <w:r>
        <w:rPr>
          <w:rFonts w:hint="eastAsia" w:ascii="仿宋" w:hAnsi="Times New Roman" w:eastAsia="仿宋" w:cs="仿宋"/>
          <w:sz w:val="32"/>
          <w:szCs w:val="32"/>
          <w:highlight w:val="white"/>
          <w:lang w:val="zh-CN"/>
        </w:rPr>
        <w:t>万元。</w:t>
      </w:r>
    </w:p>
    <w:p>
      <w:pPr>
        <w:keepNext/>
        <w:keepLines/>
        <w:autoSpaceDE w:val="0"/>
        <w:autoSpaceDN w:val="0"/>
        <w:adjustRightInd w:val="0"/>
        <w:spacing w:beforeLines="0" w:after="0" w:afterLines="0" w:line="560" w:lineRule="exact"/>
        <w:ind w:firstLine="640"/>
        <w:rPr>
          <w:rFonts w:hint="default" w:ascii="Times New Roman" w:hAnsi="Times New Roman" w:eastAsia="黑体"/>
          <w:sz w:val="32"/>
          <w:szCs w:val="32"/>
          <w:highlight w:val="white"/>
          <w:lang w:val="zh-CN"/>
        </w:rPr>
      </w:pPr>
      <w:r>
        <w:rPr>
          <w:rFonts w:hint="eastAsia" w:ascii="黑体" w:hAnsi="Times New Roman" w:eastAsia="黑体" w:cs="黑体"/>
          <w:sz w:val="32"/>
          <w:szCs w:val="32"/>
          <w:highlight w:val="white"/>
          <w:lang w:val="zh-CN"/>
        </w:rPr>
        <w:t>九、财政拨款</w:t>
      </w:r>
      <w:r>
        <w:rPr>
          <w:rFonts w:hint="default" w:ascii="Calibri" w:hAnsi="Calibri" w:eastAsia="黑体" w:cs="Calibri"/>
          <w:sz w:val="32"/>
          <w:szCs w:val="32"/>
          <w:highlight w:val="white"/>
          <w:lang w:val="zh-CN"/>
        </w:rPr>
        <w:t>“</w:t>
      </w:r>
      <w:r>
        <w:rPr>
          <w:rFonts w:hint="eastAsia" w:ascii="黑体" w:hAnsi="Calibri" w:eastAsia="黑体" w:cs="黑体"/>
          <w:sz w:val="32"/>
          <w:szCs w:val="32"/>
          <w:highlight w:val="white"/>
          <w:lang w:val="zh-CN"/>
        </w:rPr>
        <w:t>三公</w:t>
      </w:r>
      <w:r>
        <w:rPr>
          <w:rFonts w:hint="default" w:ascii="Calibri" w:hAnsi="Calibri" w:eastAsia="黑体" w:cs="Calibri"/>
          <w:sz w:val="32"/>
          <w:szCs w:val="32"/>
          <w:highlight w:val="white"/>
          <w:lang w:val="zh-CN"/>
        </w:rPr>
        <w:t>”</w:t>
      </w:r>
      <w:r>
        <w:rPr>
          <w:rFonts w:hint="eastAsia" w:ascii="黑体" w:hAnsi="Calibri" w:eastAsia="黑体" w:cs="黑体"/>
          <w:sz w:val="32"/>
          <w:szCs w:val="32"/>
          <w:highlight w:val="white"/>
          <w:lang w:val="zh-CN"/>
        </w:rPr>
        <w:t>经费支出决算情况说明</w:t>
      </w:r>
    </w:p>
    <w:p>
      <w:pPr>
        <w:keepNext/>
        <w:keepLines/>
        <w:autoSpaceDE w:val="0"/>
        <w:autoSpaceDN w:val="0"/>
        <w:adjustRightInd w:val="0"/>
        <w:spacing w:beforeLines="0" w:after="0" w:afterLines="0" w:line="560" w:lineRule="exact"/>
        <w:ind w:firstLine="643"/>
        <w:jc w:val="both"/>
        <w:rPr>
          <w:rFonts w:hint="default" w:ascii="楷体" w:hAnsi="Times New Roman" w:eastAsia="楷体" w:cs="楷体"/>
          <w:b/>
          <w:sz w:val="32"/>
          <w:szCs w:val="32"/>
          <w:highlight w:val="white"/>
          <w:lang w:val="zh-CN"/>
        </w:rPr>
      </w:pPr>
      <w:r>
        <w:rPr>
          <w:rFonts w:hint="eastAsia" w:ascii="楷体" w:hAnsi="Times New Roman" w:eastAsia="楷体" w:cs="楷体"/>
          <w:b/>
          <w:sz w:val="32"/>
          <w:szCs w:val="32"/>
          <w:highlight w:val="white"/>
          <w:lang w:val="zh-CN"/>
        </w:rPr>
        <w:t>（一）</w:t>
      </w:r>
      <w:r>
        <w:rPr>
          <w:rFonts w:hint="default" w:ascii="Times New Roman" w:hAnsi="Times New Roman" w:eastAsia="楷体" w:cs="楷体"/>
          <w:b/>
          <w:sz w:val="32"/>
          <w:szCs w:val="32"/>
          <w:highlight w:val="white"/>
          <w:lang w:val="zh-CN"/>
        </w:rPr>
        <w:t>“</w:t>
      </w:r>
      <w:r>
        <w:rPr>
          <w:rFonts w:hint="eastAsia" w:ascii="楷体" w:hAnsi="Times New Roman" w:eastAsia="楷体" w:cs="楷体"/>
          <w:b/>
          <w:sz w:val="32"/>
          <w:szCs w:val="32"/>
          <w:highlight w:val="white"/>
          <w:lang w:val="zh-CN"/>
        </w:rPr>
        <w:t>三公</w:t>
      </w:r>
      <w:r>
        <w:rPr>
          <w:rFonts w:hint="default" w:ascii="Times New Roman" w:hAnsi="Times New Roman" w:eastAsia="楷体" w:cs="楷体"/>
          <w:b/>
          <w:sz w:val="32"/>
          <w:szCs w:val="32"/>
          <w:highlight w:val="white"/>
          <w:lang w:val="zh-CN"/>
        </w:rPr>
        <w:t>”</w:t>
      </w:r>
      <w:r>
        <w:rPr>
          <w:rFonts w:hint="eastAsia" w:ascii="楷体" w:hAnsi="Times New Roman" w:eastAsia="楷体" w:cs="楷体"/>
          <w:b/>
          <w:sz w:val="32"/>
          <w:szCs w:val="32"/>
          <w:highlight w:val="white"/>
          <w:lang w:val="zh-CN"/>
        </w:rPr>
        <w:t>经费财政拨款支出决算总体情况说明。</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highlight w:val="white"/>
        </w:rPr>
      </w:pPr>
      <w:r>
        <w:rPr>
          <w:rFonts w:hint="eastAsia" w:ascii="仿宋" w:hAnsi="Times New Roman" w:eastAsia="仿宋" w:cs="仿宋"/>
          <w:sz w:val="32"/>
          <w:szCs w:val="32"/>
          <w:highlight w:val="white"/>
        </w:rPr>
        <w:t>2025年度</w:t>
      </w:r>
      <w:r>
        <w:rPr>
          <w:rFonts w:hint="default" w:ascii="Times New Roman" w:hAnsi="Times New Roman" w:eastAsia="仿宋" w:cs="仿宋"/>
          <w:sz w:val="32"/>
          <w:szCs w:val="32"/>
          <w:highlight w:val="white"/>
        </w:rPr>
        <w:t>“</w:t>
      </w:r>
      <w:r>
        <w:rPr>
          <w:rFonts w:hint="eastAsia" w:ascii="仿宋" w:hAnsi="Times New Roman" w:eastAsia="仿宋" w:cs="仿宋"/>
          <w:sz w:val="32"/>
          <w:szCs w:val="32"/>
          <w:highlight w:val="white"/>
        </w:rPr>
        <w:t>三公</w:t>
      </w:r>
      <w:r>
        <w:rPr>
          <w:rFonts w:hint="default" w:ascii="Times New Roman" w:hAnsi="Times New Roman" w:eastAsia="仿宋" w:cs="仿宋"/>
          <w:sz w:val="32"/>
          <w:szCs w:val="32"/>
          <w:highlight w:val="white"/>
        </w:rPr>
        <w:t>”</w:t>
      </w:r>
      <w:r>
        <w:rPr>
          <w:rFonts w:hint="eastAsia" w:ascii="仿宋" w:hAnsi="Times New Roman" w:eastAsia="仿宋" w:cs="仿宋"/>
          <w:sz w:val="32"/>
          <w:szCs w:val="32"/>
          <w:highlight w:val="white"/>
        </w:rPr>
        <w:t>经费财政拨款支出预算为2.63万元，支出决算为2.63万元</w:t>
      </w:r>
      <w:r>
        <w:rPr>
          <w:rFonts w:hint="default" w:ascii="仿宋" w:hAnsi="Times New Roman" w:eastAsia="仿宋" w:cs="仿宋"/>
          <w:sz w:val="32"/>
          <w:szCs w:val="32"/>
          <w:highlight w:val="white"/>
        </w:rPr>
        <w:t>,</w:t>
      </w:r>
      <w:r>
        <w:rPr>
          <w:rFonts w:hint="eastAsia" w:ascii="仿宋" w:hAnsi="Times New Roman" w:eastAsia="仿宋" w:cs="仿宋"/>
          <w:sz w:val="32"/>
          <w:szCs w:val="32"/>
          <w:highlight w:val="white"/>
          <w:lang w:val="zh-CN"/>
        </w:rPr>
        <w:t>完成预算的100%，其中：</w:t>
      </w:r>
    </w:p>
    <w:p>
      <w:pPr>
        <w:keepNext/>
        <w:keepLines/>
        <w:autoSpaceDE w:val="0"/>
        <w:autoSpaceDN w:val="0"/>
        <w:adjustRightInd w:val="0"/>
        <w:spacing w:beforeLines="0" w:after="0" w:afterLines="0" w:line="560" w:lineRule="exact"/>
        <w:ind w:firstLine="640"/>
        <w:jc w:val="both"/>
        <w:rPr>
          <w:rFonts w:hint="eastAsia" w:ascii="仿宋" w:hAnsi="Times New Roman" w:eastAsia="仿宋" w:cs="仿宋"/>
          <w:sz w:val="32"/>
          <w:szCs w:val="32"/>
          <w:highlight w:val="white"/>
          <w:lang w:val="zh-CN"/>
        </w:rPr>
      </w:pPr>
      <w:r>
        <w:rPr>
          <w:rFonts w:hint="eastAsia" w:ascii="仿宋" w:hAnsi="Times New Roman" w:eastAsia="仿宋" w:cs="仿宋"/>
          <w:sz w:val="32"/>
          <w:szCs w:val="32"/>
          <w:highlight w:val="white"/>
        </w:rPr>
        <w:t>因公出国（境）费支出预算为</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万元，支出决算为</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万元，决算数等于预算数，主要原因是我单位严格按预算执行决算；与上年一致，无增减变动，主要原因是按有关政策厉行节约，严控</w:t>
      </w:r>
      <w:r>
        <w:rPr>
          <w:rFonts w:hint="default" w:ascii="Times New Roman" w:hAnsi="Times New Roman" w:eastAsia="仿宋" w:cs="仿宋"/>
          <w:sz w:val="32"/>
          <w:szCs w:val="32"/>
          <w:highlight w:val="white"/>
        </w:rPr>
        <w:t>“</w:t>
      </w:r>
      <w:r>
        <w:rPr>
          <w:rFonts w:hint="eastAsia" w:ascii="仿宋" w:hAnsi="Times New Roman" w:eastAsia="仿宋" w:cs="仿宋"/>
          <w:sz w:val="32"/>
          <w:szCs w:val="32"/>
          <w:highlight w:val="white"/>
        </w:rPr>
        <w:t>三公经费</w:t>
      </w:r>
      <w:r>
        <w:rPr>
          <w:rFonts w:hint="default" w:ascii="Times New Roman" w:hAnsi="Times New Roman" w:eastAsia="仿宋" w:cs="仿宋"/>
          <w:sz w:val="32"/>
          <w:szCs w:val="32"/>
          <w:highlight w:val="white"/>
        </w:rPr>
        <w:t>”</w:t>
      </w:r>
      <w:r>
        <w:rPr>
          <w:rFonts w:hint="eastAsia" w:ascii="仿宋" w:hAnsi="Times New Roman" w:eastAsia="仿宋" w:cs="仿宋"/>
          <w:sz w:val="32"/>
          <w:szCs w:val="32"/>
          <w:highlight w:val="white"/>
        </w:rPr>
        <w:t>支出。</w:t>
      </w:r>
      <w:r>
        <w:rPr>
          <w:rFonts w:hint="eastAsia" w:ascii="仿宋" w:hAnsi="Times New Roman" w:eastAsia="仿宋" w:cs="仿宋"/>
          <w:sz w:val="32"/>
          <w:szCs w:val="32"/>
          <w:highlight w:val="white"/>
          <w:lang w:val="zh-CN"/>
        </w:rPr>
        <w:t xml:space="preserve">   </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highlight w:val="white"/>
          <w:lang w:val="zh-CN"/>
        </w:rPr>
      </w:pPr>
      <w:r>
        <w:rPr>
          <w:rFonts w:hint="eastAsia" w:ascii="仿宋" w:hAnsi="Times New Roman" w:eastAsia="仿宋" w:cs="仿宋"/>
          <w:color w:val="000000"/>
          <w:sz w:val="32"/>
          <w:szCs w:val="32"/>
          <w:highlight w:val="white"/>
          <w:lang w:val="zh-CN"/>
        </w:rPr>
        <w:t>公务接待费支出预算为0.18万元，支出决算为0.18万元</w:t>
      </w:r>
      <w:r>
        <w:rPr>
          <w:rFonts w:hint="default" w:ascii="仿宋" w:hAnsi="Times New Roman" w:eastAsia="仿宋" w:cs="仿宋"/>
          <w:color w:val="000000"/>
          <w:sz w:val="32"/>
          <w:szCs w:val="32"/>
          <w:highlight w:val="white"/>
          <w:lang w:val="zh-CN"/>
        </w:rPr>
        <w:t>,</w:t>
      </w:r>
      <w:r>
        <w:rPr>
          <w:rFonts w:hint="eastAsia" w:ascii="仿宋" w:hAnsi="Times New Roman" w:eastAsia="仿宋" w:cs="仿宋"/>
          <w:color w:val="000000"/>
          <w:sz w:val="32"/>
          <w:szCs w:val="32"/>
          <w:highlight w:val="white"/>
          <w:lang w:val="zh-CN"/>
        </w:rPr>
        <w:t>与决算持平；完成预算的100%,决算数与预算数一致，我单位严格按预算执行决算。</w:t>
      </w:r>
      <w:r>
        <w:rPr>
          <w:rFonts w:hint="eastAsia" w:ascii="仿宋" w:hAnsi="Times New Roman" w:eastAsia="仿宋" w:cs="仿宋"/>
          <w:color w:val="000000"/>
          <w:sz w:val="32"/>
          <w:szCs w:val="32"/>
          <w:highlight w:val="white"/>
        </w:rPr>
        <w:t>与上年相比减少0.82万元，下降82%,减少主要原因是认真贯彻落实中央</w:t>
      </w:r>
      <w:r>
        <w:rPr>
          <w:rFonts w:hint="default" w:ascii="Times New Roman" w:hAnsi="Times New Roman" w:eastAsia="仿宋" w:cs="仿宋"/>
          <w:color w:val="000000"/>
          <w:sz w:val="32"/>
          <w:szCs w:val="32"/>
          <w:highlight w:val="white"/>
        </w:rPr>
        <w:t>“</w:t>
      </w:r>
      <w:r>
        <w:rPr>
          <w:rFonts w:hint="eastAsia" w:ascii="仿宋" w:hAnsi="Times New Roman" w:eastAsia="仿宋" w:cs="仿宋"/>
          <w:color w:val="000000"/>
          <w:sz w:val="32"/>
          <w:szCs w:val="32"/>
          <w:highlight w:val="white"/>
        </w:rPr>
        <w:t>八项规定</w:t>
      </w:r>
      <w:r>
        <w:rPr>
          <w:rFonts w:hint="default" w:ascii="Times New Roman" w:hAnsi="Times New Roman" w:eastAsia="仿宋" w:cs="仿宋"/>
          <w:color w:val="000000"/>
          <w:sz w:val="32"/>
          <w:szCs w:val="32"/>
          <w:highlight w:val="white"/>
        </w:rPr>
        <w:t>”</w:t>
      </w:r>
      <w:r>
        <w:rPr>
          <w:rFonts w:hint="eastAsia" w:ascii="仿宋" w:hAnsi="Times New Roman" w:eastAsia="仿宋" w:cs="仿宋"/>
          <w:color w:val="000000"/>
          <w:sz w:val="32"/>
          <w:szCs w:val="32"/>
          <w:highlight w:val="white"/>
        </w:rPr>
        <w:t>精神和厉行节约要求，从严控制</w:t>
      </w:r>
      <w:r>
        <w:rPr>
          <w:rFonts w:hint="default" w:ascii="Times New Roman" w:hAnsi="Times New Roman" w:eastAsia="仿宋" w:cs="仿宋"/>
          <w:color w:val="000000"/>
          <w:sz w:val="32"/>
          <w:szCs w:val="32"/>
          <w:highlight w:val="white"/>
        </w:rPr>
        <w:t>“</w:t>
      </w:r>
      <w:r>
        <w:rPr>
          <w:rFonts w:hint="eastAsia" w:ascii="仿宋" w:hAnsi="Times New Roman" w:eastAsia="仿宋" w:cs="仿宋"/>
          <w:color w:val="000000"/>
          <w:sz w:val="32"/>
          <w:szCs w:val="32"/>
          <w:highlight w:val="white"/>
        </w:rPr>
        <w:t>三公</w:t>
      </w:r>
      <w:r>
        <w:rPr>
          <w:rFonts w:hint="default" w:ascii="Times New Roman" w:hAnsi="Times New Roman" w:eastAsia="仿宋" w:cs="仿宋"/>
          <w:color w:val="000000"/>
          <w:sz w:val="32"/>
          <w:szCs w:val="32"/>
          <w:highlight w:val="white"/>
        </w:rPr>
        <w:t>”</w:t>
      </w:r>
      <w:r>
        <w:rPr>
          <w:rFonts w:hint="eastAsia" w:ascii="仿宋" w:hAnsi="Times New Roman" w:eastAsia="仿宋" w:cs="仿宋"/>
          <w:color w:val="000000"/>
          <w:sz w:val="32"/>
          <w:szCs w:val="32"/>
          <w:highlight w:val="white"/>
        </w:rPr>
        <w:t>经费开支，全年实际支出比预算有所节约。</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21"/>
          <w:szCs w:val="21"/>
        </w:rPr>
      </w:pPr>
      <w:r>
        <w:rPr>
          <w:rFonts w:hint="eastAsia" w:ascii="仿宋" w:hAnsi="Times New Roman" w:eastAsia="仿宋" w:cs="仿宋"/>
          <w:color w:val="000000"/>
          <w:sz w:val="32"/>
          <w:szCs w:val="32"/>
          <w:highlight w:val="white"/>
        </w:rPr>
        <w:t>公务用车购置费支出预算为</w:t>
      </w:r>
      <w:r>
        <w:rPr>
          <w:rFonts w:hint="default" w:ascii="仿宋" w:hAnsi="Times New Roman" w:eastAsia="仿宋" w:cs="仿宋"/>
          <w:color w:val="000000"/>
          <w:sz w:val="32"/>
          <w:szCs w:val="32"/>
          <w:highlight w:val="white"/>
        </w:rPr>
        <w:t>0</w:t>
      </w:r>
      <w:r>
        <w:rPr>
          <w:rFonts w:hint="eastAsia" w:ascii="仿宋" w:hAnsi="Times New Roman" w:eastAsia="仿宋" w:cs="仿宋"/>
          <w:color w:val="000000"/>
          <w:sz w:val="32"/>
          <w:szCs w:val="32"/>
          <w:highlight w:val="white"/>
        </w:rPr>
        <w:t>万元，支出决算为</w:t>
      </w:r>
      <w:r>
        <w:rPr>
          <w:rFonts w:hint="default" w:ascii="仿宋" w:hAnsi="Times New Roman" w:eastAsia="仿宋" w:cs="仿宋"/>
          <w:color w:val="000000"/>
          <w:sz w:val="32"/>
          <w:szCs w:val="32"/>
          <w:highlight w:val="white"/>
        </w:rPr>
        <w:t>0</w:t>
      </w:r>
      <w:r>
        <w:rPr>
          <w:rFonts w:hint="eastAsia" w:ascii="仿宋" w:hAnsi="Times New Roman" w:eastAsia="仿宋" w:cs="仿宋"/>
          <w:color w:val="000000"/>
          <w:sz w:val="32"/>
          <w:szCs w:val="32"/>
          <w:highlight w:val="white"/>
        </w:rPr>
        <w:t>万元，决算数等于预算数，主要原因是我单位严格按预算执行决算；与上年一致，无增减变动，主要原因是按有关政策厉行节约，严控</w:t>
      </w:r>
      <w:r>
        <w:rPr>
          <w:rFonts w:hint="default" w:ascii="Times New Roman" w:hAnsi="Times New Roman" w:eastAsia="仿宋" w:cs="仿宋"/>
          <w:color w:val="000000"/>
          <w:sz w:val="32"/>
          <w:szCs w:val="32"/>
          <w:highlight w:val="white"/>
        </w:rPr>
        <w:t>“</w:t>
      </w:r>
      <w:r>
        <w:rPr>
          <w:rFonts w:hint="eastAsia" w:ascii="仿宋" w:hAnsi="Times New Roman" w:eastAsia="仿宋" w:cs="仿宋"/>
          <w:color w:val="000000"/>
          <w:sz w:val="32"/>
          <w:szCs w:val="32"/>
          <w:highlight w:val="white"/>
        </w:rPr>
        <w:t>三公经费</w:t>
      </w:r>
      <w:r>
        <w:rPr>
          <w:rFonts w:hint="default" w:ascii="Times New Roman" w:hAnsi="Times New Roman" w:eastAsia="仿宋" w:cs="仿宋"/>
          <w:color w:val="000000"/>
          <w:sz w:val="32"/>
          <w:szCs w:val="32"/>
          <w:highlight w:val="white"/>
        </w:rPr>
        <w:t>”</w:t>
      </w:r>
      <w:r>
        <w:rPr>
          <w:rFonts w:hint="eastAsia" w:ascii="仿宋" w:hAnsi="Times New Roman" w:eastAsia="仿宋" w:cs="仿宋"/>
          <w:color w:val="000000"/>
          <w:sz w:val="32"/>
          <w:szCs w:val="32"/>
          <w:highlight w:val="white"/>
        </w:rPr>
        <w:t>支出。</w:t>
      </w:r>
      <w:r>
        <w:rPr>
          <w:rFonts w:hint="eastAsia" w:ascii="仿宋" w:hAnsi="Times New Roman" w:eastAsia="仿宋" w:cs="仿宋"/>
          <w:color w:val="000000"/>
          <w:sz w:val="32"/>
          <w:szCs w:val="32"/>
          <w:highlight w:val="white"/>
          <w:lang w:val="zh-CN"/>
        </w:rPr>
        <w:t xml:space="preserve">   </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FF0000"/>
          <w:sz w:val="32"/>
          <w:szCs w:val="32"/>
          <w:highlight w:val="white"/>
        </w:rPr>
      </w:pPr>
      <w:r>
        <w:rPr>
          <w:rFonts w:hint="eastAsia" w:ascii="仿宋" w:hAnsi="Times New Roman" w:eastAsia="仿宋" w:cs="仿宋"/>
          <w:color w:val="000000"/>
          <w:sz w:val="32"/>
          <w:szCs w:val="32"/>
          <w:highlight w:val="white"/>
        </w:rPr>
        <w:t>公务用车运行维护费支出预算为2.45万元，支出决算为2.45万元</w:t>
      </w:r>
      <w:r>
        <w:rPr>
          <w:rFonts w:hint="default" w:ascii="仿宋" w:hAnsi="Times New Roman" w:eastAsia="仿宋" w:cs="仿宋"/>
          <w:color w:val="000000"/>
          <w:sz w:val="32"/>
          <w:szCs w:val="32"/>
          <w:highlight w:val="white"/>
        </w:rPr>
        <w:t>,</w:t>
      </w:r>
      <w:r>
        <w:rPr>
          <w:rFonts w:hint="eastAsia" w:ascii="仿宋" w:hAnsi="Times New Roman" w:eastAsia="仿宋" w:cs="仿宋"/>
          <w:color w:val="000000"/>
          <w:sz w:val="32"/>
          <w:szCs w:val="32"/>
          <w:highlight w:val="white"/>
        </w:rPr>
        <w:t>与决算持平；</w:t>
      </w:r>
      <w:r>
        <w:rPr>
          <w:rFonts w:hint="eastAsia" w:ascii="仿宋" w:hAnsi="Times New Roman" w:eastAsia="仿宋" w:cs="仿宋"/>
          <w:color w:val="000000"/>
          <w:sz w:val="32"/>
          <w:szCs w:val="32"/>
          <w:highlight w:val="white"/>
          <w:lang w:val="zh-CN"/>
        </w:rPr>
        <w:t>完成预算的100%,决算数与预算数一致，我单位严格按预算执行决算。</w:t>
      </w:r>
      <w:r>
        <w:rPr>
          <w:rFonts w:hint="eastAsia" w:ascii="仿宋" w:hAnsi="Times New Roman" w:eastAsia="仿宋" w:cs="仿宋"/>
          <w:color w:val="000000"/>
          <w:sz w:val="32"/>
          <w:szCs w:val="32"/>
          <w:highlight w:val="white"/>
        </w:rPr>
        <w:t>与上年相比减少0.55万元，下降18.33%,减少主要原因是认真贯彻落实中央</w:t>
      </w:r>
      <w:r>
        <w:rPr>
          <w:rFonts w:hint="default" w:ascii="Times New Roman" w:hAnsi="Times New Roman" w:eastAsia="仿宋" w:cs="仿宋"/>
          <w:color w:val="000000"/>
          <w:sz w:val="32"/>
          <w:szCs w:val="32"/>
          <w:highlight w:val="white"/>
        </w:rPr>
        <w:t>“</w:t>
      </w:r>
      <w:r>
        <w:rPr>
          <w:rFonts w:hint="eastAsia" w:ascii="仿宋" w:hAnsi="Times New Roman" w:eastAsia="仿宋" w:cs="仿宋"/>
          <w:color w:val="000000"/>
          <w:sz w:val="32"/>
          <w:szCs w:val="32"/>
          <w:highlight w:val="white"/>
        </w:rPr>
        <w:t>八项规定</w:t>
      </w:r>
      <w:r>
        <w:rPr>
          <w:rFonts w:hint="default" w:ascii="Times New Roman" w:hAnsi="Times New Roman" w:eastAsia="仿宋" w:cs="仿宋"/>
          <w:color w:val="000000"/>
          <w:sz w:val="32"/>
          <w:szCs w:val="32"/>
          <w:highlight w:val="white"/>
        </w:rPr>
        <w:t>”</w:t>
      </w:r>
      <w:r>
        <w:rPr>
          <w:rFonts w:hint="eastAsia" w:ascii="仿宋" w:hAnsi="Times New Roman" w:eastAsia="仿宋" w:cs="仿宋"/>
          <w:color w:val="000000"/>
          <w:sz w:val="32"/>
          <w:szCs w:val="32"/>
          <w:highlight w:val="white"/>
        </w:rPr>
        <w:t>精神和厉行节约要求，从严控制</w:t>
      </w:r>
      <w:r>
        <w:rPr>
          <w:rFonts w:hint="default" w:ascii="Times New Roman" w:hAnsi="Times New Roman" w:eastAsia="仿宋" w:cs="仿宋"/>
          <w:color w:val="000000"/>
          <w:sz w:val="32"/>
          <w:szCs w:val="32"/>
          <w:highlight w:val="white"/>
        </w:rPr>
        <w:t>“</w:t>
      </w:r>
      <w:r>
        <w:rPr>
          <w:rFonts w:hint="eastAsia" w:ascii="仿宋" w:hAnsi="Times New Roman" w:eastAsia="仿宋" w:cs="仿宋"/>
          <w:color w:val="000000"/>
          <w:sz w:val="32"/>
          <w:szCs w:val="32"/>
          <w:highlight w:val="white"/>
        </w:rPr>
        <w:t>三公</w:t>
      </w:r>
      <w:r>
        <w:rPr>
          <w:rFonts w:hint="default" w:ascii="Times New Roman" w:hAnsi="Times New Roman" w:eastAsia="仿宋" w:cs="仿宋"/>
          <w:color w:val="000000"/>
          <w:sz w:val="32"/>
          <w:szCs w:val="32"/>
          <w:highlight w:val="white"/>
        </w:rPr>
        <w:t>”</w:t>
      </w:r>
      <w:r>
        <w:rPr>
          <w:rFonts w:hint="eastAsia" w:ascii="仿宋" w:hAnsi="Times New Roman" w:eastAsia="仿宋" w:cs="仿宋"/>
          <w:color w:val="000000"/>
          <w:sz w:val="32"/>
          <w:szCs w:val="32"/>
          <w:highlight w:val="white"/>
        </w:rPr>
        <w:t>经费开支，全年实际支出比预算有所节约。</w:t>
      </w:r>
    </w:p>
    <w:p>
      <w:pPr>
        <w:keepNext/>
        <w:keepLines/>
        <w:autoSpaceDE w:val="0"/>
        <w:autoSpaceDN w:val="0"/>
        <w:adjustRightInd w:val="0"/>
        <w:spacing w:beforeLines="0" w:after="0" w:afterLines="0" w:line="560" w:lineRule="exact"/>
        <w:ind w:firstLine="643"/>
        <w:jc w:val="both"/>
        <w:rPr>
          <w:rFonts w:hint="default" w:ascii="楷体" w:hAnsi="Times New Roman" w:eastAsia="楷体" w:cs="楷体"/>
          <w:b/>
          <w:sz w:val="32"/>
          <w:szCs w:val="32"/>
          <w:highlight w:val="white"/>
          <w:lang w:val="zh-CN"/>
        </w:rPr>
      </w:pPr>
      <w:r>
        <w:rPr>
          <w:rFonts w:hint="eastAsia" w:ascii="楷体" w:hAnsi="Times New Roman" w:eastAsia="楷体" w:cs="楷体"/>
          <w:b/>
          <w:sz w:val="32"/>
          <w:szCs w:val="32"/>
          <w:highlight w:val="white"/>
          <w:lang w:val="zh-CN"/>
        </w:rPr>
        <w:t>（二）</w:t>
      </w:r>
      <w:r>
        <w:rPr>
          <w:rFonts w:hint="default" w:ascii="Times New Roman" w:hAnsi="Times New Roman" w:eastAsia="楷体" w:cs="楷体"/>
          <w:b/>
          <w:sz w:val="32"/>
          <w:szCs w:val="32"/>
          <w:highlight w:val="white"/>
          <w:lang w:val="zh-CN"/>
        </w:rPr>
        <w:t>“</w:t>
      </w:r>
      <w:r>
        <w:rPr>
          <w:rFonts w:hint="eastAsia" w:ascii="楷体" w:hAnsi="Times New Roman" w:eastAsia="楷体" w:cs="楷体"/>
          <w:b/>
          <w:sz w:val="32"/>
          <w:szCs w:val="32"/>
          <w:highlight w:val="white"/>
          <w:lang w:val="zh-CN"/>
        </w:rPr>
        <w:t>三公</w:t>
      </w:r>
      <w:r>
        <w:rPr>
          <w:rFonts w:hint="default" w:ascii="Times New Roman" w:hAnsi="Times New Roman" w:eastAsia="楷体" w:cs="楷体"/>
          <w:b/>
          <w:sz w:val="32"/>
          <w:szCs w:val="32"/>
          <w:highlight w:val="white"/>
          <w:lang w:val="zh-CN"/>
        </w:rPr>
        <w:t>”</w:t>
      </w:r>
      <w:r>
        <w:rPr>
          <w:rFonts w:hint="eastAsia" w:ascii="楷体" w:hAnsi="Times New Roman" w:eastAsia="楷体" w:cs="楷体"/>
          <w:b/>
          <w:sz w:val="32"/>
          <w:szCs w:val="32"/>
          <w:highlight w:val="white"/>
          <w:lang w:val="zh-CN"/>
        </w:rPr>
        <w:t>经费财政拨款支出决算具体情况说明。</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kern w:val="0"/>
          <w:sz w:val="32"/>
          <w:szCs w:val="32"/>
          <w:lang w:val="zh-CN"/>
        </w:rPr>
      </w:pPr>
      <w:r>
        <w:rPr>
          <w:rFonts w:hint="eastAsia" w:ascii="仿宋" w:hAnsi="Times New Roman" w:eastAsia="仿宋" w:cs="仿宋"/>
          <w:kern w:val="0"/>
          <w:sz w:val="32"/>
          <w:szCs w:val="32"/>
          <w:lang w:val="zh-CN"/>
        </w:rPr>
        <w:t>2025年度</w:t>
      </w:r>
      <w:r>
        <w:rPr>
          <w:rFonts w:hint="default" w:ascii="Times New Roman" w:hAnsi="Times New Roman" w:eastAsia="仿宋" w:cs="仿宋"/>
          <w:kern w:val="0"/>
          <w:sz w:val="32"/>
          <w:szCs w:val="32"/>
          <w:lang w:val="zh-CN"/>
        </w:rPr>
        <w:t>“</w:t>
      </w:r>
      <w:r>
        <w:rPr>
          <w:rFonts w:hint="eastAsia" w:ascii="仿宋" w:hAnsi="Times New Roman" w:eastAsia="仿宋" w:cs="仿宋"/>
          <w:kern w:val="0"/>
          <w:sz w:val="32"/>
          <w:szCs w:val="32"/>
          <w:lang w:val="zh-CN"/>
        </w:rPr>
        <w:t>三公</w:t>
      </w:r>
      <w:r>
        <w:rPr>
          <w:rFonts w:hint="default" w:ascii="Times New Roman" w:hAnsi="Times New Roman" w:eastAsia="仿宋" w:cs="仿宋"/>
          <w:kern w:val="0"/>
          <w:sz w:val="32"/>
          <w:szCs w:val="32"/>
          <w:lang w:val="zh-CN"/>
        </w:rPr>
        <w:t>”</w:t>
      </w:r>
      <w:r>
        <w:rPr>
          <w:rFonts w:hint="eastAsia" w:ascii="仿宋" w:hAnsi="Times New Roman" w:eastAsia="仿宋" w:cs="仿宋"/>
          <w:kern w:val="0"/>
          <w:sz w:val="32"/>
          <w:szCs w:val="32"/>
          <w:lang w:val="zh-CN"/>
        </w:rPr>
        <w:t>经费财政拨款支出决算中，因公出国（境）费支出决算</w:t>
      </w:r>
      <w:r>
        <w:rPr>
          <w:rFonts w:hint="default" w:ascii="仿宋" w:hAnsi="Times New Roman" w:eastAsia="仿宋" w:cs="仿宋"/>
          <w:kern w:val="0"/>
          <w:sz w:val="32"/>
          <w:szCs w:val="32"/>
          <w:lang w:val="zh-CN"/>
        </w:rPr>
        <w:t>0</w:t>
      </w:r>
      <w:r>
        <w:rPr>
          <w:rFonts w:hint="eastAsia" w:ascii="仿宋" w:hAnsi="Times New Roman" w:eastAsia="仿宋" w:cs="仿宋"/>
          <w:kern w:val="0"/>
          <w:sz w:val="32"/>
          <w:szCs w:val="32"/>
          <w:lang w:val="zh-CN"/>
        </w:rPr>
        <w:t>万元，占0%；公务接待费支出决算0.18万元，占6.84%。公务用车购置费及运行维护费支出决算2.45万元，占93.16%；其中：</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kern w:val="0"/>
          <w:sz w:val="32"/>
          <w:szCs w:val="32"/>
          <w:lang w:val="zh-CN"/>
        </w:rPr>
      </w:pPr>
      <w:r>
        <w:rPr>
          <w:rFonts w:hint="eastAsia" w:ascii="仿宋" w:hAnsi="Times New Roman" w:eastAsia="仿宋" w:cs="仿宋"/>
          <w:kern w:val="0"/>
          <w:sz w:val="32"/>
          <w:szCs w:val="32"/>
          <w:lang w:val="zh-CN"/>
        </w:rPr>
        <w:t>1、因公出国（境）费支出决算</w:t>
      </w:r>
      <w:r>
        <w:rPr>
          <w:rFonts w:hint="default" w:ascii="仿宋" w:hAnsi="Times New Roman" w:eastAsia="仿宋" w:cs="仿宋"/>
          <w:kern w:val="0"/>
          <w:sz w:val="32"/>
          <w:szCs w:val="32"/>
          <w:lang w:val="zh-CN"/>
        </w:rPr>
        <w:t>0</w:t>
      </w:r>
      <w:r>
        <w:rPr>
          <w:rFonts w:hint="eastAsia" w:ascii="仿宋" w:hAnsi="Times New Roman" w:eastAsia="仿宋" w:cs="仿宋"/>
          <w:kern w:val="0"/>
          <w:sz w:val="32"/>
          <w:szCs w:val="32"/>
          <w:lang w:val="zh-CN"/>
        </w:rPr>
        <w:t>万元，全年安排因公出国（境）团组</w:t>
      </w:r>
      <w:r>
        <w:rPr>
          <w:rFonts w:hint="default" w:ascii="仿宋" w:hAnsi="Times New Roman" w:eastAsia="仿宋" w:cs="仿宋"/>
          <w:kern w:val="0"/>
          <w:sz w:val="32"/>
          <w:szCs w:val="32"/>
          <w:lang w:val="zh-CN"/>
        </w:rPr>
        <w:t>0</w:t>
      </w:r>
      <w:r>
        <w:rPr>
          <w:rFonts w:hint="eastAsia" w:ascii="仿宋" w:hAnsi="Times New Roman" w:eastAsia="仿宋" w:cs="仿宋"/>
          <w:kern w:val="0"/>
          <w:sz w:val="32"/>
          <w:szCs w:val="32"/>
          <w:lang w:val="zh-CN"/>
        </w:rPr>
        <w:t>个，累计</w:t>
      </w:r>
      <w:r>
        <w:rPr>
          <w:rFonts w:hint="default" w:ascii="仿宋" w:hAnsi="Times New Roman" w:eastAsia="仿宋" w:cs="仿宋"/>
          <w:kern w:val="0"/>
          <w:sz w:val="32"/>
          <w:szCs w:val="32"/>
          <w:lang w:val="zh-CN"/>
        </w:rPr>
        <w:t>0</w:t>
      </w:r>
      <w:r>
        <w:rPr>
          <w:rFonts w:hint="eastAsia" w:ascii="仿宋" w:hAnsi="Times New Roman" w:eastAsia="仿宋" w:cs="仿宋"/>
          <w:kern w:val="0"/>
          <w:sz w:val="32"/>
          <w:szCs w:val="32"/>
          <w:lang w:val="zh-CN"/>
        </w:rPr>
        <w:t>人次。</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kern w:val="0"/>
          <w:sz w:val="32"/>
          <w:szCs w:val="32"/>
          <w:lang w:val="zh-CN"/>
        </w:rPr>
      </w:pPr>
      <w:r>
        <w:rPr>
          <w:rFonts w:hint="eastAsia" w:ascii="仿宋" w:hAnsi="Times New Roman" w:eastAsia="仿宋" w:cs="仿宋"/>
          <w:kern w:val="0"/>
          <w:sz w:val="32"/>
          <w:szCs w:val="32"/>
          <w:lang w:val="zh-CN"/>
        </w:rPr>
        <w:t>2、公务接待费支出决算为0.18万元，其中：其他国内公务接待支出</w:t>
      </w:r>
      <w:r>
        <w:rPr>
          <w:rFonts w:hint="default" w:ascii="仿宋" w:hAnsi="Times New Roman" w:eastAsia="仿宋" w:cs="仿宋"/>
          <w:kern w:val="0"/>
          <w:sz w:val="32"/>
          <w:szCs w:val="32"/>
          <w:lang w:val="zh-CN"/>
        </w:rPr>
        <w:t>0</w:t>
      </w:r>
      <w:r>
        <w:rPr>
          <w:rFonts w:hint="eastAsia" w:ascii="仿宋" w:hAnsi="Times New Roman" w:eastAsia="仿宋" w:cs="仿宋"/>
          <w:kern w:val="0"/>
          <w:sz w:val="32"/>
          <w:szCs w:val="32"/>
          <w:lang w:val="zh-CN"/>
        </w:rPr>
        <w:t>.18万元</w:t>
      </w:r>
      <w:r>
        <w:rPr>
          <w:rFonts w:hint="default" w:ascii="仿宋" w:hAnsi="Times New Roman" w:eastAsia="仿宋" w:cs="仿宋"/>
          <w:kern w:val="0"/>
          <w:sz w:val="32"/>
          <w:szCs w:val="32"/>
          <w:lang w:val="zh-CN"/>
        </w:rPr>
        <w:t>,</w:t>
      </w:r>
      <w:r>
        <w:rPr>
          <w:rFonts w:hint="eastAsia" w:ascii="仿宋" w:hAnsi="Times New Roman" w:eastAsia="仿宋" w:cs="仿宋"/>
          <w:kern w:val="0"/>
          <w:sz w:val="32"/>
          <w:szCs w:val="32"/>
          <w:lang w:val="zh-CN"/>
        </w:rPr>
        <w:t>全年共接待来访团组2个、来宾13人次（不包括陪同人员）。主要用于与有关单位交流工作情况及接受相关部门检查指导工作发生的接待支出。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rPr>
      </w:pPr>
      <w:r>
        <w:rPr>
          <w:rFonts w:hint="eastAsia" w:ascii="仿宋" w:hAnsi="Times New Roman" w:eastAsia="仿宋" w:cs="仿宋"/>
          <w:kern w:val="0"/>
          <w:sz w:val="32"/>
          <w:szCs w:val="32"/>
          <w:lang w:val="zh-CN"/>
        </w:rPr>
        <w:t>3、公务用车购置及运行维护费支出决算为2.45万元，其中：公务用车购置支出</w:t>
      </w:r>
      <w:r>
        <w:rPr>
          <w:rFonts w:hint="default" w:ascii="仿宋" w:hAnsi="Times New Roman" w:eastAsia="仿宋" w:cs="仿宋"/>
          <w:kern w:val="0"/>
          <w:sz w:val="32"/>
          <w:szCs w:val="32"/>
          <w:lang w:val="zh-CN"/>
        </w:rPr>
        <w:t>0</w:t>
      </w:r>
      <w:r>
        <w:rPr>
          <w:rFonts w:hint="eastAsia" w:ascii="仿宋" w:hAnsi="Times New Roman" w:eastAsia="仿宋" w:cs="仿宋"/>
          <w:kern w:val="0"/>
          <w:sz w:val="32"/>
          <w:szCs w:val="32"/>
          <w:lang w:val="zh-CN"/>
        </w:rPr>
        <w:t>万元，更新公务用车</w:t>
      </w:r>
      <w:r>
        <w:rPr>
          <w:rFonts w:hint="default" w:ascii="仿宋" w:hAnsi="Times New Roman" w:eastAsia="仿宋" w:cs="仿宋"/>
          <w:kern w:val="0"/>
          <w:sz w:val="32"/>
          <w:szCs w:val="32"/>
          <w:lang w:val="zh-CN"/>
        </w:rPr>
        <w:t>0</w:t>
      </w:r>
      <w:r>
        <w:rPr>
          <w:rFonts w:hint="eastAsia" w:ascii="仿宋" w:hAnsi="Times New Roman" w:eastAsia="仿宋" w:cs="仿宋"/>
          <w:kern w:val="0"/>
          <w:sz w:val="32"/>
          <w:szCs w:val="32"/>
          <w:lang w:val="zh-CN"/>
        </w:rPr>
        <w:t>辆。公务用车运行费支出2.45万元。主要是按规定保留的公务用车的燃料费、维修费、过桥过路费、保险费、安全奖励费用等支出。截至2025年12月31日，我单位开支财政拨款的公务用车保有量为1辆。</w:t>
      </w:r>
    </w:p>
    <w:p>
      <w:pPr>
        <w:keepNext/>
        <w:keepLines/>
        <w:autoSpaceDE w:val="0"/>
        <w:autoSpaceDN w:val="0"/>
        <w:adjustRightInd w:val="0"/>
        <w:spacing w:beforeLines="0" w:after="0" w:afterLines="0" w:line="560" w:lineRule="exact"/>
        <w:ind w:firstLine="640"/>
        <w:jc w:val="both"/>
        <w:rPr>
          <w:rFonts w:hint="default" w:ascii="宋体" w:hAnsi="Times New Roman" w:eastAsia="宋体" w:cs="宋体"/>
          <w:sz w:val="32"/>
          <w:szCs w:val="32"/>
          <w:highlight w:val="white"/>
        </w:rPr>
      </w:pPr>
      <w:r>
        <w:rPr>
          <w:rFonts w:hint="eastAsia" w:ascii="黑体" w:hAnsi="Times New Roman" w:eastAsia="黑体" w:cs="黑体"/>
          <w:kern w:val="0"/>
          <w:sz w:val="32"/>
          <w:szCs w:val="32"/>
          <w:highlight w:val="white"/>
        </w:rPr>
        <w:t>十、关于</w:t>
      </w:r>
      <w:r>
        <w:rPr>
          <w:rFonts w:hint="eastAsia" w:ascii="黑体" w:hAnsi="Times New Roman" w:eastAsia="黑体" w:cs="黑体"/>
          <w:sz w:val="32"/>
          <w:szCs w:val="32"/>
          <w:highlight w:val="white"/>
        </w:rPr>
        <w:t>机关运行经费支出说明</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highlight w:val="white"/>
        </w:rPr>
      </w:pPr>
      <w:r>
        <w:rPr>
          <w:rFonts w:hint="eastAsia" w:ascii="仿宋" w:hAnsi="Times New Roman" w:eastAsia="仿宋" w:cs="仿宋"/>
          <w:sz w:val="32"/>
          <w:szCs w:val="32"/>
          <w:highlight w:val="white"/>
        </w:rPr>
        <w:t>2025年度机关运行经费支出65.86万元。比年初预算数增加47.86万元。增长265.89%，主要原因是年中调整预算。</w:t>
      </w:r>
    </w:p>
    <w:p>
      <w:pPr>
        <w:keepNext/>
        <w:keepLines/>
        <w:autoSpaceDE w:val="0"/>
        <w:autoSpaceDN w:val="0"/>
        <w:adjustRightInd w:val="0"/>
        <w:spacing w:beforeLines="0" w:after="0" w:afterLines="0" w:line="560" w:lineRule="exact"/>
        <w:ind w:firstLine="640"/>
        <w:jc w:val="both"/>
        <w:rPr>
          <w:rFonts w:hint="default" w:ascii="宋体" w:hAnsi="Times New Roman" w:eastAsia="宋体" w:cs="宋体"/>
          <w:color w:val="FF0000"/>
          <w:kern w:val="0"/>
          <w:sz w:val="32"/>
          <w:szCs w:val="32"/>
          <w:highlight w:val="white"/>
        </w:rPr>
      </w:pPr>
      <w:r>
        <w:rPr>
          <w:rFonts w:hint="eastAsia" w:ascii="黑体" w:hAnsi="Times New Roman" w:eastAsia="黑体" w:cs="黑体"/>
          <w:sz w:val="32"/>
          <w:szCs w:val="32"/>
          <w:highlight w:val="white"/>
        </w:rPr>
        <w:t>十一、</w:t>
      </w:r>
      <w:r>
        <w:rPr>
          <w:rFonts w:hint="eastAsia" w:ascii="黑体" w:hAnsi="Times New Roman" w:eastAsia="黑体" w:cs="黑体"/>
          <w:color w:val="000000"/>
          <w:kern w:val="0"/>
          <w:sz w:val="32"/>
          <w:szCs w:val="32"/>
          <w:highlight w:val="white"/>
        </w:rPr>
        <w:t>一般性支出情况说明</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FF0000"/>
          <w:kern w:val="0"/>
          <w:sz w:val="32"/>
          <w:szCs w:val="32"/>
          <w:highlight w:val="white"/>
        </w:rPr>
      </w:pPr>
      <w:r>
        <w:rPr>
          <w:rFonts w:hint="eastAsia" w:ascii="仿宋" w:hAnsi="Times New Roman" w:eastAsia="仿宋" w:cs="仿宋"/>
          <w:color w:val="auto"/>
          <w:kern w:val="0"/>
          <w:sz w:val="32"/>
          <w:szCs w:val="32"/>
          <w:highlight w:val="white"/>
        </w:rPr>
        <w:t>2025年年度，会议费年初预算1.5万元，支出决算为0.2万元，完成年初预算的13.33%。用于召开</w:t>
      </w:r>
      <w:r>
        <w:rPr>
          <w:rFonts w:hint="eastAsia" w:ascii="仿宋" w:hAnsi="Times New Roman" w:eastAsia="仿宋" w:cs="仿宋"/>
          <w:color w:val="auto"/>
          <w:kern w:val="0"/>
          <w:sz w:val="32"/>
          <w:szCs w:val="32"/>
          <w:highlight w:val="white"/>
          <w:lang w:eastAsia="zh-CN"/>
        </w:rPr>
        <w:t>全市网信办主任会</w:t>
      </w:r>
      <w:r>
        <w:rPr>
          <w:rFonts w:hint="eastAsia" w:ascii="仿宋" w:hAnsi="Times New Roman" w:eastAsia="仿宋" w:cs="仿宋"/>
          <w:color w:val="auto"/>
          <w:kern w:val="0"/>
          <w:sz w:val="32"/>
          <w:szCs w:val="32"/>
          <w:highlight w:val="white"/>
        </w:rPr>
        <w:t>会议，人数</w:t>
      </w:r>
      <w:r>
        <w:rPr>
          <w:rFonts w:hint="eastAsia" w:ascii="仿宋" w:hAnsi="Times New Roman" w:eastAsia="仿宋" w:cs="仿宋"/>
          <w:color w:val="auto"/>
          <w:kern w:val="0"/>
          <w:sz w:val="32"/>
          <w:szCs w:val="32"/>
          <w:highlight w:val="white"/>
          <w:lang w:val="en-US" w:eastAsia="zh-CN"/>
        </w:rPr>
        <w:t>38</w:t>
      </w:r>
      <w:r>
        <w:rPr>
          <w:rFonts w:hint="eastAsia" w:ascii="仿宋" w:hAnsi="Times New Roman" w:eastAsia="仿宋" w:cs="仿宋"/>
          <w:color w:val="auto"/>
          <w:kern w:val="0"/>
          <w:sz w:val="32"/>
          <w:szCs w:val="32"/>
          <w:highlight w:val="white"/>
        </w:rPr>
        <w:t>人，内容为</w:t>
      </w:r>
      <w:r>
        <w:rPr>
          <w:rFonts w:hint="eastAsia" w:ascii="仿宋" w:hAnsi="Times New Roman" w:eastAsia="仿宋" w:cs="仿宋"/>
          <w:color w:val="auto"/>
          <w:kern w:val="0"/>
          <w:sz w:val="32"/>
          <w:szCs w:val="32"/>
          <w:highlight w:val="white"/>
          <w:lang w:val="en-US" w:eastAsia="zh-CN"/>
        </w:rPr>
        <w:t>传达学习全国、全省网信办主任会议和市委有关会议精神，总结2024年网信工作，安排部署2025年网信工作任务；</w:t>
      </w:r>
      <w:r>
        <w:rPr>
          <w:rFonts w:hint="eastAsia" w:ascii="仿宋" w:hAnsi="Times New Roman" w:eastAsia="仿宋" w:cs="仿宋"/>
          <w:color w:val="auto"/>
          <w:kern w:val="0"/>
          <w:sz w:val="32"/>
          <w:szCs w:val="32"/>
          <w:highlight w:val="white"/>
        </w:rPr>
        <w:t>培训费年初预算1.5万元，支出决算为4.14万元，完成年初预算的276%。用于开展</w:t>
      </w:r>
      <w:r>
        <w:rPr>
          <w:rFonts w:hint="eastAsia" w:ascii="仿宋" w:hAnsi="Times New Roman" w:eastAsia="仿宋" w:cs="仿宋"/>
          <w:color w:val="auto"/>
          <w:kern w:val="0"/>
          <w:sz w:val="32"/>
          <w:szCs w:val="32"/>
          <w:highlight w:val="white"/>
          <w:lang w:val="en-US" w:eastAsia="zh-CN"/>
        </w:rPr>
        <w:t>2025年全市党政干部网络安全和信息化工作能力提升培训</w:t>
      </w:r>
      <w:r>
        <w:rPr>
          <w:rFonts w:hint="eastAsia" w:ascii="仿宋" w:hAnsi="Times New Roman" w:eastAsia="仿宋" w:cs="仿宋"/>
          <w:color w:val="auto"/>
          <w:kern w:val="0"/>
          <w:sz w:val="32"/>
          <w:szCs w:val="32"/>
          <w:highlight w:val="white"/>
        </w:rPr>
        <w:t>，人数</w:t>
      </w:r>
      <w:r>
        <w:rPr>
          <w:rFonts w:hint="eastAsia" w:ascii="仿宋" w:hAnsi="Times New Roman" w:eastAsia="仿宋" w:cs="仿宋"/>
          <w:color w:val="auto"/>
          <w:kern w:val="0"/>
          <w:sz w:val="32"/>
          <w:szCs w:val="32"/>
          <w:highlight w:val="white"/>
          <w:lang w:val="en-US" w:eastAsia="zh-CN"/>
        </w:rPr>
        <w:t>700余人次</w:t>
      </w:r>
      <w:r>
        <w:rPr>
          <w:rFonts w:hint="eastAsia" w:ascii="仿宋" w:hAnsi="Times New Roman" w:eastAsia="仿宋" w:cs="仿宋"/>
          <w:color w:val="auto"/>
          <w:kern w:val="0"/>
          <w:sz w:val="32"/>
          <w:szCs w:val="32"/>
          <w:highlight w:val="white"/>
        </w:rPr>
        <w:t>，内容为</w:t>
      </w:r>
      <w:r>
        <w:rPr>
          <w:rFonts w:hint="eastAsia" w:ascii="仿宋" w:hAnsi="Times New Roman" w:eastAsia="仿宋" w:cs="仿宋"/>
          <w:color w:val="auto"/>
          <w:kern w:val="0"/>
          <w:sz w:val="32"/>
          <w:szCs w:val="32"/>
          <w:highlight w:val="white"/>
          <w:lang w:val="en-US" w:eastAsia="zh-CN"/>
        </w:rPr>
        <w:t>深入学习宣传贯彻习近平总书记关于网络强国的重要思想，认真落实全国、全省、全市网络安全和信息化工作会议精神，全面提升党政干部学网、懂网、用网、治网能力，以高水平推动网信工作高质量发展</w:t>
      </w:r>
      <w:r>
        <w:rPr>
          <w:rFonts w:hint="eastAsia" w:ascii="仿宋" w:hAnsi="Times New Roman" w:eastAsia="仿宋" w:cs="仿宋"/>
          <w:color w:val="auto"/>
          <w:kern w:val="0"/>
          <w:sz w:val="32"/>
          <w:szCs w:val="32"/>
          <w:highlight w:val="white"/>
        </w:rPr>
        <w:t>；</w:t>
      </w:r>
      <w:r>
        <w:rPr>
          <w:rFonts w:hint="eastAsia" w:ascii="仿宋" w:hAnsi="Times New Roman" w:eastAsia="仿宋" w:cs="仿宋"/>
          <w:kern w:val="0"/>
          <w:sz w:val="32"/>
          <w:szCs w:val="32"/>
          <w:highlight w:val="white"/>
        </w:rPr>
        <w:t>2025年本部门未举办节庆、晚会、论坛、赛事活动，开支</w:t>
      </w:r>
      <w:r>
        <w:rPr>
          <w:rFonts w:hint="default" w:ascii="仿宋" w:hAnsi="Times New Roman" w:eastAsia="仿宋" w:cs="仿宋"/>
          <w:kern w:val="0"/>
          <w:sz w:val="32"/>
          <w:szCs w:val="32"/>
          <w:highlight w:val="white"/>
        </w:rPr>
        <w:t>0</w:t>
      </w:r>
      <w:r>
        <w:rPr>
          <w:rFonts w:hint="eastAsia" w:ascii="仿宋" w:hAnsi="Times New Roman" w:eastAsia="仿宋" w:cs="仿宋"/>
          <w:kern w:val="0"/>
          <w:sz w:val="32"/>
          <w:szCs w:val="32"/>
          <w:highlight w:val="white"/>
        </w:rPr>
        <w:t>万元。</w:t>
      </w:r>
    </w:p>
    <w:p>
      <w:pPr>
        <w:keepNext/>
        <w:keepLines/>
        <w:autoSpaceDE w:val="0"/>
        <w:autoSpaceDN w:val="0"/>
        <w:adjustRightInd w:val="0"/>
        <w:spacing w:beforeLines="0" w:after="0" w:afterLines="0" w:line="560" w:lineRule="exact"/>
        <w:ind w:firstLine="640"/>
        <w:jc w:val="both"/>
        <w:rPr>
          <w:rFonts w:hint="default" w:ascii="宋体" w:hAnsi="Times New Roman" w:eastAsia="宋体" w:cs="宋体"/>
          <w:sz w:val="32"/>
          <w:szCs w:val="32"/>
          <w:highlight w:val="white"/>
        </w:rPr>
      </w:pPr>
      <w:r>
        <w:rPr>
          <w:rFonts w:hint="eastAsia" w:ascii="黑体" w:hAnsi="Times New Roman" w:eastAsia="黑体" w:cs="黑体"/>
          <w:kern w:val="0"/>
          <w:sz w:val="32"/>
          <w:szCs w:val="32"/>
          <w:highlight w:val="white"/>
        </w:rPr>
        <w:t>十二、</w:t>
      </w:r>
      <w:r>
        <w:rPr>
          <w:rFonts w:hint="eastAsia" w:ascii="黑体" w:hAnsi="Times New Roman" w:eastAsia="黑体" w:cs="黑体"/>
          <w:sz w:val="32"/>
          <w:szCs w:val="32"/>
          <w:highlight w:val="white"/>
        </w:rPr>
        <w:t>关于政府采购支出说明</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highlight w:val="white"/>
        </w:rPr>
      </w:pPr>
      <w:r>
        <w:rPr>
          <w:rFonts w:hint="eastAsia" w:ascii="仿宋" w:hAnsi="Times New Roman" w:eastAsia="仿宋" w:cs="仿宋"/>
          <w:sz w:val="32"/>
          <w:szCs w:val="32"/>
          <w:highlight w:val="white"/>
        </w:rPr>
        <w:t>2025年度政府采购支出总额0.02万元，其中：政府采购货物支出</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万元；政府采购工程支出</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万元；政府采购服务支出0.02万元；授予中小企业合同金额0.01万元，占政府采购支出总额的76.87%，</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highlight w:val="white"/>
        </w:rPr>
      </w:pPr>
      <w:r>
        <w:rPr>
          <w:rFonts w:hint="eastAsia" w:ascii="仿宋" w:hAnsi="Times New Roman" w:eastAsia="仿宋" w:cs="仿宋"/>
          <w:sz w:val="32"/>
          <w:szCs w:val="32"/>
          <w:highlight w:val="white"/>
        </w:rPr>
        <w:t>其中：授予小微企业合同金额0.01万元，占授予中小企业合同金额的100%。货物采购授予中小企业合同金额占货物支出金额的5.84%。工程采购授予中小企业合同金额占工程支出金额的0%。服务采购授予中小企业合同金额占服务支出金额的94.16%。</w:t>
      </w:r>
    </w:p>
    <w:p>
      <w:pPr>
        <w:keepNext/>
        <w:keepLines/>
        <w:autoSpaceDE w:val="0"/>
        <w:autoSpaceDN w:val="0"/>
        <w:adjustRightInd w:val="0"/>
        <w:spacing w:beforeLines="0" w:after="0" w:afterLines="0" w:line="560" w:lineRule="exact"/>
        <w:ind w:firstLine="640"/>
        <w:jc w:val="both"/>
        <w:rPr>
          <w:rFonts w:hint="default" w:ascii="黑体" w:hAnsi="Times New Roman" w:eastAsia="黑体" w:cs="黑体"/>
          <w:color w:val="000000"/>
          <w:kern w:val="0"/>
          <w:sz w:val="32"/>
          <w:szCs w:val="32"/>
          <w:highlight w:val="white"/>
        </w:rPr>
      </w:pPr>
      <w:r>
        <w:rPr>
          <w:rFonts w:hint="eastAsia" w:ascii="黑体" w:hAnsi="Times New Roman" w:eastAsia="黑体" w:cs="黑体"/>
          <w:sz w:val="32"/>
          <w:szCs w:val="32"/>
          <w:highlight w:val="white"/>
        </w:rPr>
        <w:t>十三、关于国有资产占有情况</w:t>
      </w:r>
      <w:r>
        <w:rPr>
          <w:rFonts w:hint="eastAsia" w:ascii="黑体" w:hAnsi="Times New Roman" w:eastAsia="黑体" w:cs="黑体"/>
          <w:color w:val="000000"/>
          <w:kern w:val="0"/>
          <w:sz w:val="32"/>
          <w:szCs w:val="32"/>
          <w:highlight w:val="white"/>
        </w:rPr>
        <w:t>说明</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sz w:val="32"/>
          <w:szCs w:val="32"/>
          <w:highlight w:val="white"/>
          <w:lang w:val="zh-CN"/>
        </w:rPr>
      </w:pPr>
      <w:r>
        <w:rPr>
          <w:rFonts w:hint="eastAsia" w:ascii="仿宋" w:hAnsi="Times New Roman" w:eastAsia="仿宋" w:cs="仿宋"/>
          <w:sz w:val="32"/>
          <w:szCs w:val="32"/>
          <w:highlight w:val="white"/>
        </w:rPr>
        <w:t>截至2025年12月31日，本单位共有车辆1辆。其中：副部（省）级及以上领导用车</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辆、主要负责人用车</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辆、机要通信用车</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辆、应急保障用车</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辆、执法执勤用车</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辆、特种专业技术用车</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国辆、离退休干部服务用车</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辆、其他用车1辆，其他用车主要是用于机要通信和应急保障之外公务用途的车辆；单位价值100万元（含）以上设备</w:t>
      </w:r>
      <w:r>
        <w:rPr>
          <w:rFonts w:hint="default" w:ascii="仿宋" w:hAnsi="Times New Roman" w:eastAsia="仿宋" w:cs="仿宋"/>
          <w:sz w:val="32"/>
          <w:szCs w:val="32"/>
          <w:highlight w:val="white"/>
        </w:rPr>
        <w:t>0</w:t>
      </w:r>
      <w:r>
        <w:rPr>
          <w:rFonts w:hint="eastAsia" w:ascii="仿宋" w:hAnsi="Times New Roman" w:eastAsia="仿宋" w:cs="仿宋"/>
          <w:sz w:val="32"/>
          <w:szCs w:val="32"/>
          <w:highlight w:val="white"/>
        </w:rPr>
        <w:t>台（套）。</w:t>
      </w:r>
    </w:p>
    <w:p>
      <w:pPr>
        <w:keepNext/>
        <w:keepLines/>
        <w:autoSpaceDE w:val="0"/>
        <w:autoSpaceDN w:val="0"/>
        <w:adjustRightInd w:val="0"/>
        <w:spacing w:beforeLines="0" w:after="0" w:afterLines="0" w:line="560" w:lineRule="exact"/>
        <w:ind w:firstLine="640"/>
        <w:jc w:val="both"/>
        <w:rPr>
          <w:rFonts w:hint="default" w:ascii="黑体" w:hAnsi="Times New Roman" w:eastAsia="黑体" w:cs="黑体"/>
          <w:sz w:val="32"/>
          <w:szCs w:val="32"/>
          <w:highlight w:val="white"/>
        </w:rPr>
      </w:pPr>
      <w:r>
        <w:rPr>
          <w:rFonts w:hint="eastAsia" w:ascii="黑体" w:hAnsi="Times New Roman" w:eastAsia="黑体" w:cs="黑体"/>
          <w:sz w:val="32"/>
          <w:szCs w:val="32"/>
          <w:highlight w:val="white"/>
        </w:rPr>
        <w:t>十</w:t>
      </w:r>
      <w:r>
        <w:rPr>
          <w:rFonts w:hint="eastAsia" w:ascii="黑体" w:hAnsi="Times New Roman" w:eastAsia="黑体" w:cs="黑体"/>
          <w:color w:val="000000"/>
          <w:kern w:val="0"/>
          <w:sz w:val="32"/>
          <w:szCs w:val="32"/>
          <w:highlight w:val="white"/>
        </w:rPr>
        <w:t>四、关于2025年度预算绩效评价情况的说明</w:t>
      </w:r>
    </w:p>
    <w:p>
      <w:pPr>
        <w:keepNext/>
        <w:keepLines/>
        <w:autoSpaceDE w:val="0"/>
        <w:autoSpaceDN w:val="0"/>
        <w:adjustRightInd w:val="0"/>
        <w:spacing w:beforeLines="0" w:after="0" w:afterLines="0" w:line="560" w:lineRule="exact"/>
        <w:ind w:firstLine="643"/>
        <w:jc w:val="both"/>
        <w:rPr>
          <w:rFonts w:hint="default" w:ascii="楷体" w:hAnsi="Times New Roman" w:eastAsia="楷体" w:cs="楷体"/>
          <w:b/>
          <w:kern w:val="0"/>
          <w:sz w:val="32"/>
          <w:szCs w:val="32"/>
          <w:highlight w:val="white"/>
        </w:rPr>
      </w:pPr>
      <w:r>
        <w:rPr>
          <w:rFonts w:hint="eastAsia" w:ascii="楷体" w:hAnsi="Times New Roman" w:eastAsia="楷体" w:cs="楷体"/>
          <w:b/>
          <w:kern w:val="0"/>
          <w:sz w:val="32"/>
          <w:szCs w:val="32"/>
          <w:highlight w:val="white"/>
        </w:rPr>
        <w:t>（一）绩效管理评价工作开展情况</w:t>
      </w:r>
    </w:p>
    <w:p>
      <w:pPr>
        <w:autoSpaceDE w:val="0"/>
        <w:autoSpaceDN w:val="0"/>
        <w:adjustRightInd w:val="0"/>
        <w:spacing w:beforeLines="0" w:after="0" w:afterLines="0" w:line="560" w:lineRule="exact"/>
        <w:ind w:firstLine="640"/>
        <w:jc w:val="both"/>
        <w:rPr>
          <w:rFonts w:hint="default"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1.</w:t>
      </w:r>
      <w:r>
        <w:rPr>
          <w:rFonts w:hint="eastAsia" w:ascii="仿宋_GB2312" w:hAnsi="Times New Roman" w:eastAsia="仿宋_GB2312" w:cs="仿宋_GB2312"/>
          <w:b/>
          <w:kern w:val="0"/>
          <w:sz w:val="32"/>
          <w:szCs w:val="32"/>
        </w:rPr>
        <w:t>绩效自评开展情况。</w:t>
      </w:r>
      <w:r>
        <w:rPr>
          <w:rFonts w:hint="eastAsia" w:ascii="仿宋_GB2312" w:hAnsi="Times New Roman" w:eastAsia="仿宋_GB2312" w:cs="仿宋_GB2312"/>
          <w:kern w:val="0"/>
          <w:sz w:val="32"/>
          <w:szCs w:val="32"/>
        </w:rPr>
        <w:t>组织对2025年度本部门（单位）整体支出开展绩效自评，涉及项目2 个，共涉及资金262.12万元。其中，一般公共预算项目2个258.73万元，占一般公共预算支出总额的35.7%；政府性基金预算项目</w:t>
      </w:r>
      <w:r>
        <w:rPr>
          <w:rFonts w:hint="default" w:ascii="仿宋_GB2312" w:hAnsi="Times New Roman" w:eastAsia="仿宋_GB2312" w:cs="仿宋_GB2312"/>
          <w:kern w:val="0"/>
          <w:sz w:val="32"/>
          <w:szCs w:val="32"/>
        </w:rPr>
        <w:t>0</w:t>
      </w:r>
      <w:r>
        <w:rPr>
          <w:rFonts w:hint="eastAsia" w:ascii="仿宋_GB2312" w:hAnsi="Times New Roman" w:eastAsia="仿宋_GB2312" w:cs="仿宋_GB2312"/>
          <w:kern w:val="0"/>
          <w:sz w:val="32"/>
          <w:szCs w:val="32"/>
        </w:rPr>
        <w:t>个</w:t>
      </w:r>
      <w:r>
        <w:rPr>
          <w:rFonts w:hint="default" w:ascii="仿宋_GB2312" w:hAnsi="Times New Roman" w:eastAsia="仿宋_GB2312" w:cs="仿宋_GB2312"/>
          <w:kern w:val="0"/>
          <w:sz w:val="32"/>
          <w:szCs w:val="32"/>
        </w:rPr>
        <w:t>0</w:t>
      </w:r>
      <w:r>
        <w:rPr>
          <w:rFonts w:hint="eastAsia" w:ascii="仿宋_GB2312" w:hAnsi="Times New Roman" w:eastAsia="仿宋_GB2312" w:cs="仿宋_GB2312"/>
          <w:kern w:val="0"/>
          <w:sz w:val="32"/>
          <w:szCs w:val="32"/>
        </w:rPr>
        <w:t>万元，由于政府性基金预算总额为</w:t>
      </w:r>
      <w:r>
        <w:rPr>
          <w:rFonts w:hint="default" w:ascii="仿宋_GB2312" w:hAnsi="Times New Roman" w:eastAsia="仿宋_GB2312" w:cs="仿宋_GB2312"/>
          <w:kern w:val="0"/>
          <w:sz w:val="32"/>
          <w:szCs w:val="32"/>
        </w:rPr>
        <w:t>0</w:t>
      </w:r>
      <w:r>
        <w:rPr>
          <w:rFonts w:hint="eastAsia" w:ascii="仿宋_GB2312" w:hAnsi="Times New Roman" w:eastAsia="仿宋_GB2312" w:cs="仿宋_GB2312"/>
          <w:kern w:val="0"/>
          <w:sz w:val="32"/>
          <w:szCs w:val="32"/>
        </w:rPr>
        <w:t>，故无法计算占比；国有资本经营预算项目</w:t>
      </w:r>
      <w:r>
        <w:rPr>
          <w:rFonts w:hint="default" w:ascii="仿宋_GB2312" w:hAnsi="Times New Roman" w:eastAsia="仿宋_GB2312" w:cs="仿宋_GB2312"/>
          <w:kern w:val="0"/>
          <w:sz w:val="32"/>
          <w:szCs w:val="32"/>
        </w:rPr>
        <w:t>0</w:t>
      </w:r>
      <w:r>
        <w:rPr>
          <w:rFonts w:hint="eastAsia" w:ascii="仿宋_GB2312" w:hAnsi="Times New Roman" w:eastAsia="仿宋_GB2312" w:cs="仿宋_GB2312"/>
          <w:kern w:val="0"/>
          <w:sz w:val="32"/>
          <w:szCs w:val="32"/>
        </w:rPr>
        <w:t>个</w:t>
      </w:r>
      <w:r>
        <w:rPr>
          <w:rFonts w:hint="default" w:ascii="仿宋_GB2312" w:hAnsi="Times New Roman" w:eastAsia="仿宋_GB2312" w:cs="仿宋_GB2312"/>
          <w:kern w:val="0"/>
          <w:sz w:val="32"/>
          <w:szCs w:val="32"/>
        </w:rPr>
        <w:t>0</w:t>
      </w:r>
      <w:r>
        <w:rPr>
          <w:rFonts w:hint="eastAsia" w:ascii="仿宋_GB2312" w:hAnsi="Times New Roman" w:eastAsia="仿宋_GB2312" w:cs="仿宋_GB2312"/>
          <w:kern w:val="0"/>
          <w:sz w:val="32"/>
          <w:szCs w:val="32"/>
        </w:rPr>
        <w:t>万元，由于占国有资本经营预算支出总额为</w:t>
      </w:r>
      <w:r>
        <w:rPr>
          <w:rFonts w:hint="default" w:ascii="仿宋_GB2312" w:hAnsi="Times New Roman" w:eastAsia="仿宋_GB2312" w:cs="仿宋_GB2312"/>
          <w:kern w:val="0"/>
          <w:sz w:val="32"/>
          <w:szCs w:val="32"/>
        </w:rPr>
        <w:t>0</w:t>
      </w:r>
      <w:r>
        <w:rPr>
          <w:rFonts w:hint="eastAsia" w:ascii="仿宋_GB2312" w:hAnsi="Times New Roman" w:eastAsia="仿宋_GB2312" w:cs="仿宋_GB2312"/>
          <w:kern w:val="0"/>
          <w:sz w:val="32"/>
          <w:szCs w:val="32"/>
        </w:rPr>
        <w:t>，故无法计算占比；社会保险基金预算项目</w:t>
      </w:r>
      <w:r>
        <w:rPr>
          <w:rFonts w:hint="default" w:ascii="仿宋_GB2312" w:hAnsi="Times New Roman" w:eastAsia="仿宋_GB2312" w:cs="仿宋_GB2312"/>
          <w:kern w:val="0"/>
          <w:sz w:val="32"/>
          <w:szCs w:val="32"/>
        </w:rPr>
        <w:t>0</w:t>
      </w:r>
      <w:r>
        <w:rPr>
          <w:rFonts w:hint="eastAsia" w:ascii="仿宋_GB2312" w:hAnsi="Times New Roman" w:eastAsia="仿宋_GB2312" w:cs="仿宋_GB2312"/>
          <w:kern w:val="0"/>
          <w:sz w:val="32"/>
          <w:szCs w:val="32"/>
        </w:rPr>
        <w:t>个</w:t>
      </w:r>
      <w:r>
        <w:rPr>
          <w:rFonts w:hint="default" w:ascii="仿宋_GB2312" w:hAnsi="Times New Roman" w:eastAsia="仿宋_GB2312" w:cs="仿宋_GB2312"/>
          <w:kern w:val="0"/>
          <w:sz w:val="32"/>
          <w:szCs w:val="32"/>
        </w:rPr>
        <w:t>0</w:t>
      </w:r>
      <w:r>
        <w:rPr>
          <w:rFonts w:hint="eastAsia" w:ascii="仿宋_GB2312" w:hAnsi="Times New Roman" w:eastAsia="仿宋_GB2312" w:cs="仿宋_GB2312"/>
          <w:kern w:val="0"/>
          <w:sz w:val="32"/>
          <w:szCs w:val="32"/>
        </w:rPr>
        <w:t>万元，由于社会保险基金预算总额为</w:t>
      </w:r>
      <w:r>
        <w:rPr>
          <w:rFonts w:hint="default" w:ascii="仿宋_GB2312" w:hAnsi="Times New Roman" w:eastAsia="仿宋_GB2312" w:cs="仿宋_GB2312"/>
          <w:kern w:val="0"/>
          <w:sz w:val="32"/>
          <w:szCs w:val="32"/>
        </w:rPr>
        <w:t>0</w:t>
      </w:r>
      <w:r>
        <w:rPr>
          <w:rFonts w:hint="eastAsia" w:ascii="仿宋_GB2312" w:hAnsi="Times New Roman" w:eastAsia="仿宋_GB2312" w:cs="仿宋_GB2312"/>
          <w:kern w:val="0"/>
          <w:sz w:val="32"/>
          <w:szCs w:val="32"/>
        </w:rPr>
        <w:t>，故无法计算占比。绩效目标完成情况：一是积极落实零基预算改革，执行最新预算相关政策要求，结合本单位实际情况安排资金，提高资金使用效率；二是提升管理效率，积极降低机关运行成本及各项业务活动开展成本，严格落实过紧日子要求，规范支持，降低运行成本；三是加强风险防控，通过加强内部监督和内部控制进一步提升可持续发展能力，确保本部门整体工作开完有条不紊。</w:t>
      </w:r>
    </w:p>
    <w:p>
      <w:pPr>
        <w:autoSpaceDE w:val="0"/>
        <w:autoSpaceDN w:val="0"/>
        <w:adjustRightInd w:val="0"/>
        <w:spacing w:beforeLines="0" w:after="0" w:afterLines="0" w:line="560" w:lineRule="exact"/>
        <w:ind w:firstLine="640"/>
        <w:jc w:val="both"/>
        <w:rPr>
          <w:rFonts w:hint="default" w:ascii="仿宋_GB2312" w:hAnsi="Times New Roman" w:eastAsia="仿宋_GB2312" w:cs="仿宋_GB2312"/>
          <w:kern w:val="0"/>
          <w:sz w:val="32"/>
          <w:szCs w:val="32"/>
        </w:rPr>
      </w:pPr>
      <w:r>
        <w:rPr>
          <w:rFonts w:hint="eastAsia" w:ascii="仿宋_GB2312" w:hAnsi="Times New Roman" w:eastAsia="仿宋_GB2312" w:cs="仿宋_GB2312"/>
          <w:b/>
          <w:kern w:val="0"/>
          <w:sz w:val="32"/>
          <w:szCs w:val="32"/>
        </w:rPr>
        <w:t>2、部门评价开展情况。</w:t>
      </w:r>
      <w:r>
        <w:rPr>
          <w:rFonts w:hint="eastAsia" w:ascii="仿宋_GB2312" w:hAnsi="Times New Roman" w:eastAsia="仿宋_GB2312" w:cs="仿宋_GB2312"/>
          <w:kern w:val="0"/>
          <w:sz w:val="32"/>
          <w:szCs w:val="32"/>
        </w:rPr>
        <w:t>本单位及所属单位本年度未开展项目，所以无部门评价开展情况。</w:t>
      </w:r>
    </w:p>
    <w:p>
      <w:pPr>
        <w:autoSpaceDE w:val="0"/>
        <w:autoSpaceDN w:val="0"/>
        <w:adjustRightInd w:val="0"/>
        <w:spacing w:beforeLines="0" w:after="0" w:afterLines="0" w:line="560" w:lineRule="exact"/>
        <w:ind w:firstLine="640"/>
        <w:jc w:val="both"/>
        <w:rPr>
          <w:rFonts w:hint="default" w:ascii="仿宋" w:hAnsi="Times New Roman" w:eastAsia="仿宋" w:cs="仿宋"/>
          <w:color w:val="FF0000"/>
          <w:kern w:val="0"/>
          <w:sz w:val="32"/>
          <w:szCs w:val="32"/>
          <w:highlight w:val="white"/>
        </w:rPr>
      </w:pPr>
      <w:r>
        <w:rPr>
          <w:rFonts w:hint="eastAsia" w:ascii="仿宋_GB2312" w:hAnsi="Times New Roman" w:eastAsia="仿宋_GB2312" w:cs="仿宋_GB2312"/>
          <w:b/>
          <w:kern w:val="0"/>
          <w:sz w:val="32"/>
          <w:szCs w:val="32"/>
        </w:rPr>
        <w:t>3、事前绩效评估开展情况。</w:t>
      </w:r>
      <w:r>
        <w:rPr>
          <w:rFonts w:hint="eastAsia" w:ascii="仿宋_GB2312" w:hAnsi="Times New Roman" w:eastAsia="仿宋_GB2312" w:cs="仿宋_GB2312"/>
          <w:kern w:val="0"/>
          <w:sz w:val="32"/>
          <w:szCs w:val="32"/>
        </w:rPr>
        <w:t>本单位及所属单位本年度未新增重大政策和重大项目，所以无事前绩效评估开展情况。</w:t>
      </w:r>
    </w:p>
    <w:p>
      <w:pPr>
        <w:autoSpaceDE w:val="0"/>
        <w:autoSpaceDN w:val="0"/>
        <w:adjustRightInd w:val="0"/>
        <w:spacing w:beforeLines="0" w:after="0" w:afterLines="0" w:line="560" w:lineRule="exact"/>
        <w:ind w:firstLine="643"/>
        <w:jc w:val="both"/>
        <w:rPr>
          <w:rFonts w:hint="default" w:ascii="楷体" w:hAnsi="Times New Roman" w:eastAsia="楷体" w:cs="楷体"/>
          <w:b/>
          <w:color w:val="auto"/>
          <w:kern w:val="0"/>
          <w:sz w:val="32"/>
          <w:szCs w:val="32"/>
        </w:rPr>
      </w:pPr>
      <w:r>
        <w:rPr>
          <w:rFonts w:hint="eastAsia" w:ascii="楷体" w:hAnsi="Times New Roman" w:eastAsia="楷体" w:cs="楷体"/>
          <w:b/>
          <w:color w:val="auto"/>
          <w:kern w:val="0"/>
          <w:sz w:val="32"/>
          <w:szCs w:val="32"/>
        </w:rPr>
        <w:t>（二）</w:t>
      </w:r>
      <w:r>
        <w:rPr>
          <w:rFonts w:hint="eastAsia" w:ascii="楷体_GB2312" w:hAnsi="Times New Roman" w:eastAsia="楷体_GB2312" w:cs="楷体_GB2312"/>
          <w:b/>
          <w:color w:val="auto"/>
          <w:sz w:val="32"/>
          <w:szCs w:val="32"/>
        </w:rPr>
        <w:t>绩效评价结果</w:t>
      </w:r>
    </w:p>
    <w:p>
      <w:pPr>
        <w:autoSpaceDE w:val="0"/>
        <w:autoSpaceDN w:val="0"/>
        <w:adjustRightInd w:val="0"/>
        <w:spacing w:beforeLines="0" w:after="0" w:afterLines="0" w:line="560" w:lineRule="exact"/>
        <w:ind w:firstLine="640"/>
        <w:rPr>
          <w:rFonts w:hint="default"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1.</w:t>
      </w:r>
      <w:r>
        <w:rPr>
          <w:rFonts w:hint="eastAsia" w:ascii="仿宋_GB2312" w:hAnsi="Times New Roman" w:eastAsia="仿宋_GB2312" w:cs="仿宋_GB2312"/>
          <w:b/>
          <w:kern w:val="0"/>
          <w:sz w:val="32"/>
          <w:szCs w:val="32"/>
        </w:rPr>
        <w:t>绩效自评结果。</w:t>
      </w:r>
      <w:r>
        <w:rPr>
          <w:rFonts w:hint="eastAsia" w:ascii="宋体" w:hAnsi="Times New Roman" w:eastAsia="宋体" w:cs="宋体"/>
          <w:kern w:val="0"/>
          <w:sz w:val="32"/>
          <w:szCs w:val="32"/>
        </w:rPr>
        <w:t>2025</w:t>
      </w:r>
      <w:r>
        <w:rPr>
          <w:rFonts w:hint="eastAsia" w:ascii="仿宋_GB2312" w:hAnsi="仿宋_GB2312" w:eastAsia="仿宋_GB2312" w:cs="仿宋_GB2312"/>
          <w:kern w:val="0"/>
          <w:sz w:val="32"/>
          <w:szCs w:val="24"/>
          <w:highlight w:val="white"/>
        </w:rPr>
        <w:t>年度本部门（单位）整体支出全年预算数728.21万元，执行数728.21万元，完成预算的100%，绩效自评得分93分，评价等级为“优”。绩效目标完成情况：</w:t>
      </w:r>
      <w:r>
        <w:rPr>
          <w:rFonts w:hint="eastAsia" w:ascii="仿宋" w:hAnsi="仿宋" w:eastAsia="仿宋"/>
          <w:sz w:val="32"/>
          <w:szCs w:val="24"/>
        </w:rPr>
        <w:t>一是合理使用资金，坚持厉行节约；二是确保项目正常运转</w:t>
      </w:r>
      <w:r>
        <w:rPr>
          <w:rFonts w:hint="eastAsia" w:ascii="仿宋_GB2312" w:hAnsi="仿宋_GB2312" w:eastAsia="仿宋_GB2312" w:cs="仿宋_GB2312"/>
          <w:kern w:val="0"/>
          <w:sz w:val="32"/>
          <w:szCs w:val="24"/>
          <w:highlight w:val="white"/>
        </w:rPr>
        <w:t>。</w:t>
      </w:r>
      <w:r>
        <w:rPr>
          <w:rFonts w:hint="eastAsia" w:ascii="仿宋_GB2312" w:hAnsi="仿宋_GB2312" w:eastAsia="仿宋_GB2312"/>
          <w:kern w:val="0"/>
          <w:sz w:val="32"/>
          <w:szCs w:val="24"/>
        </w:rPr>
        <w:t>下一步改进措施：完善绩效目标与指标体系。结合部门职责职能，科学设定部门整体支出和项目支出绩效目标，确保目标合理可衡量。进一步细化指标体系，强化历史数据分析对比，提升预算编制的前瞻性和精准性。</w:t>
      </w:r>
    </w:p>
    <w:p>
      <w:pPr>
        <w:autoSpaceDE w:val="0"/>
        <w:autoSpaceDN w:val="0"/>
        <w:adjustRightInd w:val="0"/>
        <w:spacing w:beforeLines="0" w:after="0" w:afterLines="0" w:line="560" w:lineRule="exact"/>
        <w:ind w:firstLine="640"/>
        <w:rPr>
          <w:rFonts w:hint="default" w:ascii="仿宋_GB2312" w:hAnsi="Times New Roman" w:eastAsia="仿宋_GB2312" w:cs="仿宋_GB2312"/>
          <w:kern w:val="0"/>
          <w:sz w:val="32"/>
          <w:szCs w:val="32"/>
        </w:rPr>
      </w:pPr>
      <w:r>
        <w:rPr>
          <w:rFonts w:hint="eastAsia" w:ascii="仿宋_GB2312" w:hAnsi="Times New Roman" w:eastAsia="仿宋_GB2312" w:cs="仿宋_GB2312"/>
          <w:b/>
          <w:kern w:val="0"/>
          <w:sz w:val="32"/>
          <w:szCs w:val="32"/>
        </w:rPr>
        <w:t>2、部门评价结果。</w:t>
      </w:r>
      <w:r>
        <w:rPr>
          <w:rFonts w:hint="eastAsia" w:ascii="仿宋_GB2312" w:hAnsi="Times New Roman" w:eastAsia="仿宋_GB2312" w:cs="仿宋_GB2312"/>
          <w:kern w:val="0"/>
          <w:sz w:val="32"/>
          <w:szCs w:val="32"/>
        </w:rPr>
        <w:t>本单位及所属单位本年度未开展部门评价，所以无部门评价结果。</w:t>
      </w:r>
    </w:p>
    <w:p>
      <w:pPr>
        <w:autoSpaceDE w:val="0"/>
        <w:autoSpaceDN w:val="0"/>
        <w:adjustRightInd w:val="0"/>
        <w:spacing w:beforeLines="0" w:after="0" w:afterLines="0" w:line="560" w:lineRule="exact"/>
        <w:ind w:firstLine="640"/>
        <w:rPr>
          <w:rFonts w:hint="default"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3.</w:t>
      </w:r>
      <w:r>
        <w:rPr>
          <w:rFonts w:hint="eastAsia" w:ascii="仿宋_GB2312" w:hAnsi="Times New Roman" w:eastAsia="仿宋_GB2312" w:cs="仿宋_GB2312"/>
          <w:b/>
          <w:kern w:val="0"/>
          <w:sz w:val="32"/>
          <w:szCs w:val="32"/>
        </w:rPr>
        <w:t>事前绩效评估结果。</w:t>
      </w:r>
      <w:r>
        <w:rPr>
          <w:rFonts w:hint="eastAsia" w:ascii="仿宋_GB2312" w:hAnsi="Times New Roman" w:eastAsia="仿宋_GB2312" w:cs="仿宋_GB2312"/>
          <w:kern w:val="0"/>
          <w:sz w:val="32"/>
          <w:szCs w:val="32"/>
        </w:rPr>
        <w:t>本单位及所属单位本年度未开展事前绩效评估，所以无事前绩效评估结果。</w:t>
      </w:r>
    </w:p>
    <w:p>
      <w:pPr>
        <w:autoSpaceDE w:val="0"/>
        <w:autoSpaceDN w:val="0"/>
        <w:adjustRightInd w:val="0"/>
        <w:spacing w:beforeLines="0" w:after="0" w:afterLines="0" w:line="560" w:lineRule="exact"/>
        <w:ind w:firstLine="640"/>
        <w:rPr>
          <w:rFonts w:hint="default" w:ascii="仿宋_GB2312" w:hAnsi="Times New Roman" w:eastAsia="仿宋_GB2312" w:cs="仿宋_GB2312"/>
          <w:b/>
          <w:kern w:val="0"/>
          <w:sz w:val="32"/>
          <w:szCs w:val="32"/>
        </w:rPr>
      </w:pPr>
      <w:r>
        <w:rPr>
          <w:rFonts w:hint="eastAsia" w:ascii="仿宋_GB2312" w:hAnsi="Times New Roman" w:eastAsia="仿宋_GB2312" w:cs="仿宋_GB2312"/>
          <w:b/>
          <w:kern w:val="0"/>
          <w:sz w:val="32"/>
          <w:szCs w:val="32"/>
        </w:rPr>
        <w:t>（三）评价结果应用情况</w:t>
      </w:r>
    </w:p>
    <w:p>
      <w:pPr>
        <w:autoSpaceDE w:val="0"/>
        <w:autoSpaceDN w:val="0"/>
        <w:adjustRightInd w:val="0"/>
        <w:spacing w:beforeLines="0" w:after="0" w:afterLines="0" w:line="560" w:lineRule="exact"/>
        <w:ind w:firstLine="640"/>
        <w:rPr>
          <w:rFonts w:hint="default"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已将2025年度部门绩效自评结果作为优化2026年度预算安排、完善本部门相关制度，改进资金管理的重要依据，同时也为部门决策提供参考依据。</w:t>
      </w:r>
    </w:p>
    <w:p>
      <w:pPr>
        <w:autoSpaceDE w:val="0"/>
        <w:autoSpaceDN w:val="0"/>
        <w:adjustRightInd w:val="0"/>
        <w:spacing w:beforeLines="0" w:after="0" w:afterLines="0" w:line="560" w:lineRule="exact"/>
        <w:ind w:firstLine="640"/>
        <w:rPr>
          <w:rFonts w:hint="default" w:ascii="仿宋" w:hAnsi="Times New Roman" w:eastAsia="仿宋" w:cs="仿宋"/>
          <w:color w:val="auto"/>
          <w:kern w:val="0"/>
          <w:sz w:val="32"/>
          <w:szCs w:val="32"/>
          <w:highlight w:val="white"/>
        </w:rPr>
      </w:pPr>
      <w:r>
        <w:rPr>
          <w:rFonts w:hint="eastAsia" w:ascii="仿宋_GB2312" w:hAnsi="Times New Roman" w:eastAsia="仿宋_GB2312" w:cs="仿宋_GB2312"/>
          <w:kern w:val="0"/>
          <w:sz w:val="32"/>
          <w:szCs w:val="32"/>
        </w:rPr>
        <w:t>预算绩效管理开展情况、绩效目标和绩效评价报告等</w:t>
      </w:r>
      <w:r>
        <w:rPr>
          <w:rFonts w:hint="eastAsia" w:ascii="仿宋_GB2312" w:hAnsi="Times New Roman" w:eastAsia="仿宋_GB2312" w:cs="仿宋_GB2312"/>
          <w:color w:val="auto"/>
          <w:kern w:val="0"/>
          <w:sz w:val="32"/>
          <w:szCs w:val="32"/>
          <w:lang w:eastAsia="zh-CN"/>
        </w:rPr>
        <w:t>部分内容涉密不予公开</w:t>
      </w:r>
      <w:r>
        <w:rPr>
          <w:rFonts w:hint="eastAsia" w:ascii="仿宋_GB2312" w:hAnsi="Times New Roman" w:eastAsia="仿宋_GB2312" w:cs="仿宋_GB2312"/>
          <w:color w:val="auto"/>
          <w:sz w:val="32"/>
          <w:szCs w:val="32"/>
        </w:rPr>
        <w:t>。</w:t>
      </w:r>
      <w:bookmarkStart w:id="0" w:name="_GoBack"/>
      <w:bookmarkEnd w:id="0"/>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FF0000"/>
          <w:kern w:val="0"/>
          <w:sz w:val="32"/>
          <w:szCs w:val="32"/>
          <w:highlight w:val="white"/>
        </w:rPr>
      </w:pPr>
    </w:p>
    <w:p>
      <w:pPr>
        <w:keepNext/>
        <w:keepLines/>
        <w:autoSpaceDE w:val="0"/>
        <w:autoSpaceDN w:val="0"/>
        <w:adjustRightInd w:val="0"/>
        <w:spacing w:beforeLines="0" w:after="0" w:afterLines="0" w:line="560" w:lineRule="exact"/>
        <w:ind w:firstLine="640"/>
        <w:jc w:val="both"/>
        <w:rPr>
          <w:rFonts w:hint="default" w:ascii="Times New Roman" w:hAnsi="Times New Roman" w:eastAsia="黑体"/>
          <w:sz w:val="32"/>
          <w:szCs w:val="32"/>
          <w:highlight w:val="white"/>
        </w:rPr>
      </w:pPr>
      <w:r>
        <w:rPr>
          <w:rFonts w:hint="eastAsia" w:ascii="黑体" w:hAnsi="Times New Roman" w:eastAsia="黑体" w:cs="黑体"/>
          <w:sz w:val="32"/>
          <w:szCs w:val="32"/>
          <w:highlight w:val="white"/>
        </w:rPr>
        <w:t>第四部分 名词解释</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财政拨款收入：指本级财政当年拨付的资金。</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其他收入：指除上述</w:t>
      </w:r>
      <w:r>
        <w:rPr>
          <w:rFonts w:hint="default" w:ascii="Times New Roman" w:hAnsi="Times New Roman" w:eastAsia="仿宋" w:cs="仿宋"/>
          <w:color w:val="000000"/>
          <w:kern w:val="0"/>
          <w:sz w:val="32"/>
          <w:szCs w:val="32"/>
          <w:highlight w:val="white"/>
        </w:rPr>
        <w:t>“</w:t>
      </w:r>
      <w:r>
        <w:rPr>
          <w:rFonts w:hint="eastAsia" w:ascii="仿宋" w:hAnsi="Times New Roman" w:eastAsia="仿宋" w:cs="仿宋"/>
          <w:color w:val="000000"/>
          <w:kern w:val="0"/>
          <w:sz w:val="32"/>
          <w:szCs w:val="32"/>
          <w:highlight w:val="white"/>
        </w:rPr>
        <w:t>财政拨款收入</w:t>
      </w:r>
      <w:r>
        <w:rPr>
          <w:rFonts w:hint="default" w:ascii="Times New Roman" w:hAnsi="Times New Roman" w:eastAsia="仿宋" w:cs="仿宋"/>
          <w:color w:val="000000"/>
          <w:kern w:val="0"/>
          <w:sz w:val="32"/>
          <w:szCs w:val="32"/>
          <w:highlight w:val="white"/>
        </w:rPr>
        <w:t>”</w:t>
      </w:r>
      <w:r>
        <w:rPr>
          <w:rFonts w:hint="eastAsia" w:ascii="仿宋" w:hAnsi="Times New Roman" w:eastAsia="仿宋" w:cs="仿宋"/>
          <w:color w:val="000000"/>
          <w:kern w:val="0"/>
          <w:sz w:val="32"/>
          <w:szCs w:val="32"/>
          <w:highlight w:val="white"/>
        </w:rPr>
        <w:t>、</w:t>
      </w:r>
      <w:r>
        <w:rPr>
          <w:rFonts w:hint="default" w:ascii="Times New Roman" w:hAnsi="Times New Roman" w:eastAsia="仿宋" w:cs="仿宋"/>
          <w:color w:val="000000"/>
          <w:kern w:val="0"/>
          <w:sz w:val="32"/>
          <w:szCs w:val="32"/>
          <w:highlight w:val="white"/>
        </w:rPr>
        <w:t>“</w:t>
      </w:r>
      <w:r>
        <w:rPr>
          <w:rFonts w:hint="eastAsia" w:ascii="仿宋" w:hAnsi="Times New Roman" w:eastAsia="仿宋" w:cs="仿宋"/>
          <w:color w:val="000000"/>
          <w:kern w:val="0"/>
          <w:sz w:val="32"/>
          <w:szCs w:val="32"/>
          <w:highlight w:val="white"/>
        </w:rPr>
        <w:t>上级补助收入</w:t>
      </w:r>
      <w:r>
        <w:rPr>
          <w:rFonts w:hint="default" w:ascii="Times New Roman" w:hAnsi="Times New Roman" w:eastAsia="仿宋" w:cs="仿宋"/>
          <w:color w:val="000000"/>
          <w:kern w:val="0"/>
          <w:sz w:val="32"/>
          <w:szCs w:val="32"/>
          <w:highlight w:val="white"/>
        </w:rPr>
        <w:t>”</w:t>
      </w:r>
      <w:r>
        <w:rPr>
          <w:rFonts w:hint="eastAsia" w:ascii="仿宋" w:hAnsi="Times New Roman" w:eastAsia="仿宋" w:cs="仿宋"/>
          <w:color w:val="000000"/>
          <w:kern w:val="0"/>
          <w:sz w:val="32"/>
          <w:szCs w:val="32"/>
          <w:highlight w:val="white"/>
        </w:rPr>
        <w:t>、</w:t>
      </w:r>
      <w:r>
        <w:rPr>
          <w:rFonts w:hint="default" w:ascii="Times New Roman" w:hAnsi="Times New Roman" w:eastAsia="仿宋" w:cs="仿宋"/>
          <w:color w:val="000000"/>
          <w:kern w:val="0"/>
          <w:sz w:val="32"/>
          <w:szCs w:val="32"/>
          <w:highlight w:val="white"/>
        </w:rPr>
        <w:t>“</w:t>
      </w:r>
      <w:r>
        <w:rPr>
          <w:rFonts w:hint="eastAsia" w:ascii="仿宋" w:hAnsi="Times New Roman" w:eastAsia="仿宋" w:cs="仿宋"/>
          <w:color w:val="000000"/>
          <w:kern w:val="0"/>
          <w:sz w:val="32"/>
          <w:szCs w:val="32"/>
          <w:highlight w:val="white"/>
        </w:rPr>
        <w:t>事业收入</w:t>
      </w:r>
      <w:r>
        <w:rPr>
          <w:rFonts w:hint="default" w:ascii="Times New Roman" w:hAnsi="Times New Roman" w:eastAsia="仿宋" w:cs="仿宋"/>
          <w:color w:val="000000"/>
          <w:kern w:val="0"/>
          <w:sz w:val="32"/>
          <w:szCs w:val="32"/>
          <w:highlight w:val="white"/>
        </w:rPr>
        <w:t>”</w:t>
      </w:r>
      <w:r>
        <w:rPr>
          <w:rFonts w:hint="eastAsia" w:ascii="仿宋" w:hAnsi="Times New Roman" w:eastAsia="仿宋" w:cs="仿宋"/>
          <w:color w:val="000000"/>
          <w:kern w:val="0"/>
          <w:sz w:val="32"/>
          <w:szCs w:val="32"/>
          <w:highlight w:val="white"/>
        </w:rPr>
        <w:t>、</w:t>
      </w:r>
      <w:r>
        <w:rPr>
          <w:rFonts w:hint="default" w:ascii="Times New Roman" w:hAnsi="Times New Roman" w:eastAsia="仿宋" w:cs="仿宋"/>
          <w:color w:val="000000"/>
          <w:kern w:val="0"/>
          <w:sz w:val="32"/>
          <w:szCs w:val="32"/>
          <w:highlight w:val="white"/>
        </w:rPr>
        <w:t>“</w:t>
      </w:r>
      <w:r>
        <w:rPr>
          <w:rFonts w:hint="eastAsia" w:ascii="仿宋" w:hAnsi="Times New Roman" w:eastAsia="仿宋" w:cs="仿宋"/>
          <w:color w:val="000000"/>
          <w:kern w:val="0"/>
          <w:sz w:val="32"/>
          <w:szCs w:val="32"/>
          <w:highlight w:val="white"/>
        </w:rPr>
        <w:t>经营收入</w:t>
      </w:r>
      <w:r>
        <w:rPr>
          <w:rFonts w:hint="default" w:ascii="Times New Roman" w:hAnsi="Times New Roman" w:eastAsia="仿宋" w:cs="仿宋"/>
          <w:color w:val="000000"/>
          <w:kern w:val="0"/>
          <w:sz w:val="32"/>
          <w:szCs w:val="32"/>
          <w:highlight w:val="white"/>
        </w:rPr>
        <w:t>”</w:t>
      </w:r>
      <w:r>
        <w:rPr>
          <w:rFonts w:hint="eastAsia" w:ascii="仿宋" w:hAnsi="Times New Roman" w:eastAsia="仿宋" w:cs="仿宋"/>
          <w:color w:val="000000"/>
          <w:kern w:val="0"/>
          <w:sz w:val="32"/>
          <w:szCs w:val="32"/>
          <w:highlight w:val="white"/>
        </w:rPr>
        <w:t>、</w:t>
      </w:r>
      <w:r>
        <w:rPr>
          <w:rFonts w:hint="default" w:ascii="Times New Roman" w:hAnsi="Times New Roman" w:eastAsia="仿宋" w:cs="仿宋"/>
          <w:color w:val="000000"/>
          <w:kern w:val="0"/>
          <w:sz w:val="32"/>
          <w:szCs w:val="32"/>
          <w:highlight w:val="white"/>
        </w:rPr>
        <w:t>“</w:t>
      </w:r>
      <w:r>
        <w:rPr>
          <w:rFonts w:hint="eastAsia" w:ascii="仿宋" w:hAnsi="Times New Roman" w:eastAsia="仿宋" w:cs="仿宋"/>
          <w:color w:val="000000"/>
          <w:kern w:val="0"/>
          <w:sz w:val="32"/>
          <w:szCs w:val="32"/>
          <w:highlight w:val="white"/>
        </w:rPr>
        <w:t>附属单位上缴收入</w:t>
      </w:r>
      <w:r>
        <w:rPr>
          <w:rFonts w:hint="default" w:ascii="Times New Roman" w:hAnsi="Times New Roman" w:eastAsia="仿宋" w:cs="仿宋"/>
          <w:color w:val="000000"/>
          <w:kern w:val="0"/>
          <w:sz w:val="32"/>
          <w:szCs w:val="32"/>
          <w:highlight w:val="white"/>
        </w:rPr>
        <w:t>”</w:t>
      </w:r>
      <w:r>
        <w:rPr>
          <w:rFonts w:hint="eastAsia" w:ascii="仿宋" w:hAnsi="Times New Roman" w:eastAsia="仿宋" w:cs="仿宋"/>
          <w:color w:val="000000"/>
          <w:kern w:val="0"/>
          <w:sz w:val="32"/>
          <w:szCs w:val="32"/>
          <w:highlight w:val="white"/>
        </w:rPr>
        <w:t>等以外的收入。</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上年结转和结余：指以前年度尚未完成、结转到本年按有关规定继续使用的资金。</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一般公共服务支出（类）：是指用于人大、政协、政府办公厅（室）及相关机构事务、发展与改革事务、统计信息事务、财政事务、税收事务、审计事务、人力资源事务、纪检监察事务、商贸事务、工商行政管理事务、质量技术监督与检验检疫事务、民族事务、档案事务、民主党派及工商联事务、群众团体事务、党委办公厅（室）及相关机构事务、组织事务、宣传事务、统战事务、其他一般公共服务等方面的支出，包括保障机构正常运转、完成日常和特定的工作任务或事业发展目标的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文化体育与传媒支出（类）：是指用于文化、文物、体育、新闻出版广播影视等方面的支出，包括保障机构正常运转、完成日常和特定的工作任务或事业发展目标的支出。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社会保障和就业支出（类）：是指用于社会保障和就业方面的支出，包括保障机构正常运转、完成日常和特定的工作任务或事业发展目标的支出。归口管理的行政单位离退休，指离退休人员管理机构统一管理的机关离退休人员的经费。</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卫生健康支出（类）：是指用于医疗卫生与计划生育方面的支出，包括保障机构正常运转、完成日常和特定的工作任务或事业发展目标的支出。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住房保障支出（类）：是指用于住房方面的支出，包括保障机构正常运转、完成日常和特定的工作任务或事业发展目标的支出。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基本支出：指保障机构正常运转、完成支日常工作任务而发生的人员支出和公用支出。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项目支出：指在基本支出之外为完成特定行政任务和事业发展目标所发生的支出。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default" w:ascii="Times New Roman" w:hAnsi="Times New Roman" w:eastAsia="仿宋" w:cs="仿宋"/>
          <w:color w:val="000000"/>
          <w:kern w:val="0"/>
          <w:sz w:val="32"/>
          <w:szCs w:val="32"/>
          <w:highlight w:val="white"/>
        </w:rPr>
        <w:t>“</w:t>
      </w:r>
      <w:r>
        <w:rPr>
          <w:rFonts w:hint="eastAsia" w:ascii="仿宋" w:hAnsi="Times New Roman" w:eastAsia="仿宋" w:cs="仿宋"/>
          <w:color w:val="000000"/>
          <w:kern w:val="0"/>
          <w:sz w:val="32"/>
          <w:szCs w:val="32"/>
          <w:highlight w:val="white"/>
        </w:rPr>
        <w:t>三公</w:t>
      </w:r>
      <w:r>
        <w:rPr>
          <w:rFonts w:hint="default" w:ascii="Times New Roman" w:hAnsi="Times New Roman" w:eastAsia="仿宋" w:cs="仿宋"/>
          <w:color w:val="000000"/>
          <w:kern w:val="0"/>
          <w:sz w:val="32"/>
          <w:szCs w:val="32"/>
          <w:highlight w:val="white"/>
        </w:rPr>
        <w:t>”</w:t>
      </w:r>
      <w:r>
        <w:rPr>
          <w:rFonts w:hint="eastAsia" w:ascii="仿宋" w:hAnsi="Times New Roman" w:eastAsia="仿宋" w:cs="仿宋"/>
          <w:color w:val="000000"/>
          <w:kern w:val="0"/>
          <w:sz w:val="32"/>
          <w:szCs w:val="32"/>
          <w:highlight w:val="white"/>
        </w:rPr>
        <w:t>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政府采购不仅是指具体的采购过程，而且是采购政策、采购程序、采购过程及采购管理的总称，是一种对公共采购管理的制度。</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工资福利支出：反映单位开支的在职职工和编制外长期聘用人员的各类劳动报酬，以及为上述人员缴纳的各项社会保险费等。</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基本工资：反映按规定发放的基本工资，包括公务员的职务工资、级别工资；机关工人的岗位工资、技术等级工资；事业单位工作人员的岗位工资、薪级工资；各类学校毕业生试用期(见习期)工资、新参加工作工人学徒期、熟练期工资；军队（武警）军官、文职干部的职务（专业技术等级）工资、军衔（级别）工资、基础工资和军龄工资；军队士官的军衔等级工资、基础工资和军龄工资等。</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津贴补贴：反映经国家批准建立的机关事业单位艰苦边远地区津贴、机关工作人员地区附加津贴、机关工作人员岗位津贴、事业单位工作人员特殊岗位津贴补贴等。</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奖金：反映机关工作人员年终一次性奖金。</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伙食补助费：反映单位发给职工的伙食补助费，如误餐补助等。</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绩效工资：反映事业单位工作人员的绩效工资。</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机关事业单位基本养老保险缴费：反映机关事业单位缴纳的基本养老保险费。由单位代扣的工作人员基本养老保险缴费，不在此科目反映。</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职工基本医疗保险缴费：反映单位为职工缴纳的基本医疗保险费。</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其他社会保障缴费：反映单位为职工缴纳的基本医疗、失业、工伤、生育等社会保险费，残疾人就业保障金，军队（含武警）为军人缴纳的伤亡、退役医疗等社会保险费。</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住房公积金：反映行政事业单位按人力资源和社会保障部、财政部规定的基本工资和津贴补贴以及规定比例为职工缴纳的住房公积金。</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商品和服务支出：反映单位购买商品和服务的支出（不包括用于购置固定资产的支出、战略性和应急储备支出）。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办公费：反映单位购买按财务会计制度规定不符合固定资产确认标准的日常办公用品、书报杂志等支出。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印刷费：反映单位的印刷费支出。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水费：反映单位支付的水费、污水处理费等支出。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电费：反映单位的电费支出。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邮电费：反映单位开支的信函、包裹、货物等物品的邮寄费及电话费、电报费、传真费、网络通讯费等。</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物业管理费：反映单位开支的办公用房以及未实行职工住宅物业服务改革的在职职工和离退休人员宿舍等的物业管理费，包括综合治理、绿化、卫生等方面的支出。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差旅费：反映单位工作人员出差发生的城市间交通费、住宿费、伙食补贴费和市内交通费。</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维修(护)费：反映单位日常开支的固定资产（不包括车船等交通工具）修理和维护费用，网络信息系统运行与维护费用，以及按规定提取的修购基金。</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培训费：反映除因公出国（境）培训费以外的各类培训支出。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公务接待费：反映单位按规定开支的各类公务接待（含外宾接待）费用。</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劳务费：反映支付给单位和个人的劳务费用，如临时聘用人员、钟点工工资，稿费、翻译费，评审费等。</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委托业务费：反映因委托外单位办理业务而支付的委托业务费。</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工会经费：反映单位按规定提取的工会经费。</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福利费：反映单位按规定提取的福利费。</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公务用车运行维护费：反映单位按规定保留的公务用车燃料费、维修费、过桥过路费、保险费、安全奖励费用等支出。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其他交通费用：反映单位除公务用车运行维护费以外的其他交通费用。如公务交通补贴，租车费用、出租车费用，飞机、船舶等的燃料费、维修费、保险费等。</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其他商品和服务支出：反映上述科目未包括的日常公用支出。如行政赔偿费和诉讼费、国内组织的会员费、来访费、广告宣传、其他劳务费及离休人员特需费、公用经费等。</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对个人和家庭的补助：反映政府用于对个人和家庭的补助支出。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抚恤金：反映按规定开支的烈士遗属、牺牲病故人员遗属的一次性和定期抚恤金，伤残人员的抚恤金，离退休人员等其他人员的各项抚恤金。</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其他对个人和家庭的补助支出：反映未包括在上述科目的对个人和家庭的补助支出，</w:t>
      </w:r>
    </w:p>
    <w:p>
      <w:pPr>
        <w:keepNext/>
        <w:keepLines/>
        <w:autoSpaceDE w:val="0"/>
        <w:autoSpaceDN w:val="0"/>
        <w:adjustRightInd w:val="0"/>
        <w:spacing w:beforeLines="0" w:after="0" w:afterLines="0" w:line="560" w:lineRule="exact"/>
        <w:ind w:firstLine="640"/>
        <w:jc w:val="both"/>
        <w:rPr>
          <w:rFonts w:hint="default" w:ascii="仿宋" w:hAnsi="Times New Roman" w:eastAsia="仿宋" w:cs="仿宋"/>
          <w:color w:val="000000"/>
          <w:kern w:val="0"/>
          <w:sz w:val="32"/>
          <w:szCs w:val="32"/>
          <w:highlight w:val="white"/>
        </w:rPr>
      </w:pPr>
      <w:r>
        <w:rPr>
          <w:rFonts w:hint="eastAsia" w:ascii="仿宋" w:hAnsi="Times New Roman" w:eastAsia="仿宋" w:cs="仿宋"/>
          <w:color w:val="000000"/>
          <w:kern w:val="0"/>
          <w:sz w:val="32"/>
          <w:szCs w:val="32"/>
          <w:highlight w:val="white"/>
        </w:rPr>
        <w:t>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 办公用房物业管理费、 公务用车运行维护费以及其他费用。</w:t>
      </w:r>
    </w:p>
    <w:p>
      <w:pPr>
        <w:keepNext/>
        <w:keepLines/>
        <w:autoSpaceDE w:val="0"/>
        <w:autoSpaceDN w:val="0"/>
        <w:adjustRightInd w:val="0"/>
        <w:spacing w:beforeLines="0" w:after="0" w:afterLines="0" w:line="560" w:lineRule="exact"/>
        <w:ind w:firstLine="640"/>
        <w:jc w:val="both"/>
        <w:rPr>
          <w:rFonts w:hint="default" w:ascii="Times New Roman" w:hAnsi="Times New Roman" w:eastAsia="黑体"/>
          <w:sz w:val="32"/>
          <w:szCs w:val="32"/>
          <w:highlight w:val="white"/>
        </w:rPr>
      </w:pPr>
      <w:r>
        <w:rPr>
          <w:rFonts w:hint="eastAsia" w:ascii="黑体" w:hAnsi="Times New Roman" w:eastAsia="黑体" w:cs="黑体"/>
          <w:sz w:val="32"/>
          <w:szCs w:val="32"/>
          <w:highlight w:val="white"/>
        </w:rPr>
        <w:t>第五部分 附件</w:t>
      </w:r>
    </w:p>
    <w:p>
      <w:pPr>
        <w:keepNext/>
        <w:keepLines/>
        <w:autoSpaceDE w:val="0"/>
        <w:autoSpaceDN w:val="0"/>
        <w:adjustRightInd w:val="0"/>
        <w:spacing w:beforeLines="0" w:after="0" w:afterLines="0" w:line="560" w:lineRule="exact"/>
        <w:ind w:firstLine="640"/>
        <w:jc w:val="both"/>
        <w:rPr>
          <w:rFonts w:hint="default" w:ascii="黑体" w:hAnsi="Calibri" w:eastAsia="黑体" w:cs="黑体"/>
          <w:color w:val="000000"/>
          <w:sz w:val="84"/>
          <w:szCs w:val="84"/>
          <w:highlight w:val="white"/>
          <w:lang w:val="zh-CN"/>
        </w:rPr>
      </w:pPr>
      <w:r>
        <w:rPr>
          <w:rFonts w:hint="eastAsia" w:ascii="仿宋" w:hAnsi="Times New Roman" w:eastAsia="仿宋" w:cs="仿宋"/>
          <w:sz w:val="32"/>
          <w:szCs w:val="32"/>
          <w:highlight w:val="white"/>
        </w:rPr>
        <w:t>2025年度中共岳阳市委网络安全和信息化委员会办公室部门决算公开表格</w:t>
      </w:r>
    </w:p>
    <w:sectPr>
      <w:pgSz w:w="12240" w:h="15840"/>
      <w:pgMar w:top="1440" w:right="1800" w:bottom="1440" w:left="18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20"/>
  <w:drawingGridVerticalSpacing w:val="120"/>
  <w:displayHorizontalDrawingGridEvery w:val="1"/>
  <w:displayVerticalDrawingGridEvery w:val="1"/>
  <w:doNotUseMarginsForDrawingGridOrigin w:val="1"/>
  <w:drawingGridHorizontalOrigin w:val="1701"/>
  <w:drawingGridVerticalOrigin w:val="1984"/>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hNTNlOWNmMmNjYjg0YWI1YmQyMGFkNGY1YzgxOTUifQ=="/>
  </w:docVars>
  <w:rsids>
    <w:rsidRoot w:val="00172A27"/>
    <w:rsid w:val="02B10B0D"/>
    <w:rsid w:val="0EA7461D"/>
    <w:rsid w:val="171C6B6E"/>
    <w:rsid w:val="20F422A7"/>
    <w:rsid w:val="399F45D2"/>
    <w:rsid w:val="47082704"/>
    <w:rsid w:val="66CF3779"/>
    <w:rsid w:val="6C7B4F19"/>
    <w:rsid w:val="6DA122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qFormat="1" w:uiPriority="99" w:name="index 2"/>
    <w:lsdException w:qFormat="1" w:uiPriority="99" w:name="index 3"/>
    <w:lsdException w:qFormat="1" w:uiPriority="99" w:name="index 4"/>
    <w:lsdException w:qFormat="1" w:uiPriority="99" w:name="index 5"/>
    <w:lsdException w:qFormat="1" w:uiPriority="99" w:name="index 6"/>
    <w:lsdException w:qFormat="1" w:uiPriority="99" w:name="index 7"/>
    <w:lsdException w:qFormat="1" w:uiPriority="99" w:name="index 8"/>
    <w:lsdException w:qFormat="1" w:uiPriority="99" w:name="index 9"/>
    <w:lsdException w:qFormat="1" w:uiPriority="39" w:name="toc 1"/>
    <w:lsdException w:qFormat="1" w:uiPriority="39" w:name="toc 2"/>
    <w:lsdException w:qFormat="1"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qFormat="1"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qFormat="1" w:uiPriority="99" w:name="index heading"/>
    <w:lsdException w:qFormat="1" w:uiPriority="35" w:name="caption"/>
    <w:lsdException w:qFormat="1" w:uiPriority="99" w:name="table of figures"/>
    <w:lsdException w:qFormat="1" w:uiPriority="99" w:name="envelope address"/>
    <w:lsdException w:qFormat="1" w:uiPriority="99" w:name="envelope return"/>
    <w:lsdException w:qFormat="1" w:uiPriority="99" w:name="footnote reference"/>
    <w:lsdException w:qFormat="1" w:uiPriority="99" w:name="annotation reference"/>
    <w:lsdException w:qFormat="1" w:uiPriority="99" w:name="line number"/>
    <w:lsdException w:qFormat="1" w:uiPriority="99" w:name="page number"/>
    <w:lsdException w:qFormat="1" w:uiPriority="99" w:name="endnote reference"/>
    <w:lsdException w:qFormat="1" w:uiPriority="99" w:name="endnote text"/>
    <w:lsdException w:qFormat="1" w:uiPriority="99" w:name="table of authorities"/>
    <w:lsdException w:qFormat="1" w:uiPriority="99" w:name="macro"/>
    <w:lsdException w:qFormat="1" w:uiPriority="99" w:name="toa heading"/>
    <w:lsdException w:qFormat="1" w:uiPriority="99" w:name="List"/>
    <w:lsdException w:qFormat="1" w:uiPriority="99" w:name="List Bullet"/>
    <w:lsdException w:qFormat="1" w:uiPriority="99" w:name="List Number"/>
    <w:lsdException w:qFormat="1" w:uiPriority="99" w:name="List 2"/>
    <w:lsdException w:qFormat="1" w:uiPriority="99" w:name="List 3"/>
    <w:lsdException w:qFormat="1" w:uiPriority="99" w:name="List 4"/>
    <w:lsdException w:qFormat="1" w:uiPriority="99"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iPriority="10" w:name="Title"/>
    <w:lsdException w:qFormat="1" w:uiPriority="99" w:name="Closing"/>
    <w:lsdException w:qFormat="1" w:uiPriority="99" w:name="Signature"/>
    <w:lsdException w:qFormat="1" w:uiPriority="1" w:semiHidden="0" w:name="Default Paragraph Font"/>
    <w:lsdException w:qFormat="1" w:uiPriority="99" w:name="Body Text"/>
    <w:lsdException w:qFormat="1" w:uiPriority="99" w:name="Body Text Indent"/>
    <w:lsdException w:qFormat="1" w:uiPriority="99" w:name="List Continue"/>
    <w:lsdException w:qFormat="1" w:uiPriority="99" w:name="List Continue 2"/>
    <w:lsdException w:qFormat="1" w:uiPriority="99" w:name="List Continue 3"/>
    <w:lsdException w:qFormat="1" w:uiPriority="99" w:name="List Continue 4"/>
    <w:lsdException w:qFormat="1" w:uiPriority="99" w:name="List Continue 5"/>
    <w:lsdException w:qFormat="1" w:uiPriority="99" w:name="Message Header"/>
    <w:lsdException w:qFormat="1" w:uiPriority="11" w:name="Subtitle"/>
    <w:lsdException w:qFormat="1" w:uiPriority="99" w:name="Salutation"/>
    <w:lsdException w:qFormat="1" w:uiPriority="99" w:name="Date"/>
    <w:lsdException w:qFormat="1" w:uiPriority="99" w:name="Body Text First Indent"/>
    <w:lsdException w:qFormat="1" w:uiPriority="99" w:name="Body Text First Indent 2"/>
    <w:lsdException w:qFormat="1"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iPriority="99" w:name="Hyperlink"/>
    <w:lsdException w:qFormat="1" w:uiPriority="99" w:name="FollowedHyperlink"/>
    <w:lsdException w:qFormat="1" w:uiPriority="22" w:name="Strong"/>
    <w:lsdException w:qFormat="1" w:uiPriority="20" w:name="Emphasis"/>
    <w:lsdException w:qFormat="1" w:uiPriority="99" w:name="Document Map"/>
    <w:lsdException w:qFormat="1" w:uiPriority="99" w:name="Plain Text"/>
    <w:lsdException w:qFormat="1" w:uiPriority="99" w:name="E-mail Signature"/>
    <w:lsdException w:qFormat="1" w:uiPriority="99" w:name="Normal (Web)"/>
    <w:lsdException w:qFormat="1" w:uiPriority="99" w:name="HTML Acronym"/>
    <w:lsdException w:qFormat="1"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nhideWhenUsed="0" w:uiPriority="99" w:semiHidden="0" w:name="Normal Table"/>
    <w:lsdException w:qFormat="1" w:uiPriority="99"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qFormat="1" w:uiPriority="99" w:name="Balloon Text"/>
    <w:lsdException w:qFormat="1" w:uiPriority="39"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160" w:afterLines="0" w:line="278" w:lineRule="auto"/>
    </w:pPr>
    <w:rPr>
      <w:rFonts w:hint="eastAsia" w:ascii="等线" w:hAnsi="等线" w:eastAsia="等线" w:cs="Times New Roman"/>
      <w:kern w:val="2"/>
      <w:sz w:val="22"/>
      <w:szCs w:val="24"/>
      <w:lang w:val="en-US" w:eastAsia="zh-CN" w:bidi="ar-SA"/>
    </w:rPr>
  </w:style>
  <w:style w:type="character" w:default="1" w:styleId="5">
    <w:name w:val="Default Paragraph Font"/>
    <w:autoRedefine/>
    <w:unhideWhenUsed/>
    <w:qFormat/>
    <w:uiPriority w:val="1"/>
    <w:rPr>
      <w:rFonts w:hint="default"/>
      <w:sz w:val="24"/>
      <w:szCs w:val="24"/>
    </w:rPr>
  </w:style>
  <w:style w:type="table" w:default="1" w:styleId="4">
    <w:name w:val="Normal Table"/>
    <w:autoRedefine/>
    <w:qFormat/>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spacing w:beforeLines="0" w:afterLines="0" w:line="240" w:lineRule="auto"/>
    </w:pPr>
    <w:rPr>
      <w:rFonts w:hint="eastAsia"/>
      <w:sz w:val="18"/>
      <w:szCs w:val="18"/>
    </w:rPr>
  </w:style>
  <w:style w:type="paragraph" w:styleId="3">
    <w:name w:val="header"/>
    <w:basedOn w:val="1"/>
    <w:link w:val="6"/>
    <w:autoRedefine/>
    <w:unhideWhenUsed/>
    <w:qFormat/>
    <w:uiPriority w:val="99"/>
    <w:pPr>
      <w:tabs>
        <w:tab w:val="center" w:pos="4153"/>
        <w:tab w:val="right" w:pos="8306"/>
      </w:tabs>
      <w:snapToGrid w:val="0"/>
      <w:spacing w:beforeLines="0" w:afterLines="0" w:line="240" w:lineRule="auto"/>
      <w:jc w:val="center"/>
    </w:pPr>
    <w:rPr>
      <w:rFonts w:hint="eastAsia"/>
      <w:sz w:val="18"/>
      <w:szCs w:val="18"/>
    </w:rPr>
  </w:style>
  <w:style w:type="character" w:customStyle="1" w:styleId="6">
    <w:name w:val="页眉 字符"/>
    <w:basedOn w:val="5"/>
    <w:link w:val="3"/>
    <w:autoRedefine/>
    <w:unhideWhenUsed/>
    <w:qFormat/>
    <w:uiPriority w:val="99"/>
    <w:rPr>
      <w:rFonts w:hint="default" w:cs="Times New Roman"/>
      <w:sz w:val="18"/>
      <w:szCs w:val="18"/>
    </w:rPr>
  </w:style>
  <w:style w:type="character" w:customStyle="1" w:styleId="7">
    <w:name w:val="页脚 字符"/>
    <w:basedOn w:val="5"/>
    <w:link w:val="2"/>
    <w:autoRedefine/>
    <w:unhideWhenUsed/>
    <w:qFormat/>
    <w:uiPriority w:val="99"/>
    <w:rPr>
      <w:rFonts w:hint="default"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7</TotalTime>
  <ScaleCrop>false</ScaleCrop>
  <LinksUpToDate>false</LinksUpToDate>
  <Application>WPS Office_12.1.0.16120_F1E327BC-269C-435d-A152-05C5408002CA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2026-09-29T07:08:00Z</dcterms:created>
  <dc:creator>Administrator</dc:creator>
  <cp:lastModifiedBy>肖亚玲</cp:lastModifiedBy>
  <dcterms:modified xsi:type="dcterms:W3CDTF">2026-09-29T08:10:40Z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270F55E496594FEAB168909F734386EF_12</vt:lpwstr>
  </property>
</Properties>
</file>