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kern w:val="0"/>
          <w:sz w:val="44"/>
          <w:szCs w:val="44"/>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kern w:val="0"/>
          <w:sz w:val="44"/>
          <w:szCs w:val="44"/>
          <w:highlight w:val="none"/>
        </w:rPr>
      </w:pPr>
      <w:r>
        <w:rPr>
          <w:rFonts w:hint="eastAsia" w:ascii="方正小标宋简体" w:hAnsi="方正小标宋简体" w:eastAsia="方正小标宋简体" w:cs="方正小标宋简体"/>
          <w:sz w:val="44"/>
          <w:szCs w:val="44"/>
          <w:highlight w:val="none"/>
        </w:rPr>
        <w:t>202</w:t>
      </w:r>
      <w:r>
        <w:rPr>
          <w:rFonts w:hint="eastAsia" w:ascii="方正小标宋简体" w:hAnsi="方正小标宋简体" w:eastAsia="方正小标宋简体" w:cs="方正小标宋简体"/>
          <w:sz w:val="44"/>
          <w:szCs w:val="44"/>
          <w:highlight w:val="none"/>
          <w:lang w:val="en-US" w:eastAsia="zh-CN"/>
        </w:rPr>
        <w:t>5</w:t>
      </w:r>
      <w:r>
        <w:rPr>
          <w:rFonts w:hint="eastAsia" w:ascii="方正小标宋简体" w:hAnsi="方正小标宋简体" w:eastAsia="方正小标宋简体" w:cs="方正小标宋简体"/>
          <w:sz w:val="44"/>
          <w:szCs w:val="44"/>
          <w:highlight w:val="none"/>
        </w:rPr>
        <w:t>年度中共岳阳市委党史研究室</w:t>
      </w:r>
    </w:p>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kern w:val="0"/>
          <w:sz w:val="44"/>
          <w:szCs w:val="44"/>
          <w:highlight w:val="none"/>
        </w:rPr>
      </w:pPr>
      <w:r>
        <w:rPr>
          <w:rFonts w:hint="eastAsia" w:ascii="方正小标宋简体" w:hAnsi="方正小标宋简体" w:eastAsia="方正小标宋简体" w:cs="方正小标宋简体"/>
          <w:kern w:val="0"/>
          <w:sz w:val="44"/>
          <w:szCs w:val="44"/>
          <w:highlight w:val="none"/>
        </w:rPr>
        <w:t>整体支出绩效自评报告</w:t>
      </w: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_GBK" w:cs="Times New Roman"/>
          <w:b/>
          <w:sz w:val="52"/>
          <w:szCs w:val="52"/>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楷体_GB2312" w:cs="Times New Roman"/>
          <w:b/>
          <w:sz w:val="32"/>
          <w:szCs w:val="32"/>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楷体_GB2312" w:cs="Times New Roman"/>
          <w:b/>
          <w:sz w:val="32"/>
          <w:szCs w:val="32"/>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楷体_GB2312" w:cs="Times New Roman"/>
          <w:b/>
          <w:sz w:val="32"/>
          <w:szCs w:val="32"/>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楷体_GB2312" w:cs="Times New Roman"/>
          <w:b/>
          <w:sz w:val="32"/>
          <w:szCs w:val="32"/>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楷体_GB2312" w:cs="Times New Roman"/>
          <w:b/>
          <w:sz w:val="32"/>
          <w:szCs w:val="32"/>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楷体_GB2312" w:cs="Times New Roman"/>
          <w:b/>
          <w:sz w:val="32"/>
          <w:szCs w:val="32"/>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黑体" w:cs="Times New Roman"/>
          <w:sz w:val="32"/>
          <w:szCs w:val="32"/>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黑体" w:cs="Times New Roman"/>
          <w:sz w:val="32"/>
          <w:szCs w:val="32"/>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黑体" w:cs="Times New Roman"/>
          <w:sz w:val="32"/>
          <w:szCs w:val="32"/>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黑体" w:cs="Times New Roman"/>
          <w:sz w:val="32"/>
          <w:szCs w:val="32"/>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黑体" w:cs="Times New Roman"/>
          <w:sz w:val="32"/>
          <w:szCs w:val="32"/>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黑体" w:cs="Times New Roman"/>
          <w:sz w:val="32"/>
          <w:szCs w:val="32"/>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黑体" w:cs="Times New Roman"/>
          <w:sz w:val="32"/>
          <w:szCs w:val="32"/>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仿宋_GB2312" w:cs="Times New Roman"/>
          <w:sz w:val="32"/>
          <w:szCs w:val="32"/>
          <w:highlight w:val="none"/>
        </w:rPr>
      </w:pP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sz w:val="32"/>
          <w:szCs w:val="32"/>
          <w:highlight w:val="none"/>
        </w:rPr>
        <w:t>部门（单位）名称：</w:t>
      </w:r>
      <w:r>
        <w:rPr>
          <w:rFonts w:hint="default" w:ascii="Times New Roman" w:hAnsi="Times New Roman" w:eastAsia="仿宋_GB2312" w:cs="Times New Roman"/>
          <w:sz w:val="32"/>
          <w:szCs w:val="32"/>
          <w:highlight w:val="none"/>
          <w:u w:val="single"/>
        </w:rPr>
        <w:t>（盖章）</w:t>
      </w:r>
    </w:p>
    <w:p>
      <w:pPr>
        <w:keepNext w:val="0"/>
        <w:keepLines w:val="0"/>
        <w:pageBreakBefore w:val="0"/>
        <w:kinsoku/>
        <w:wordWrap/>
        <w:overflowPunct/>
        <w:topLinePunct w:val="0"/>
        <w:autoSpaceDE/>
        <w:autoSpaceDN/>
        <w:bidi w:val="0"/>
        <w:adjustRightInd/>
        <w:snapToGrid/>
        <w:spacing w:line="580" w:lineRule="exact"/>
        <w:jc w:val="center"/>
        <w:textAlignment w:val="auto"/>
        <w:rPr>
          <w:rFonts w:hint="default" w:ascii="Times New Roman" w:hAnsi="Times New Roman" w:eastAsia="楷体_GB2312" w:cs="Times New Roman"/>
          <w:sz w:val="32"/>
          <w:szCs w:val="32"/>
          <w:highlight w:val="none"/>
        </w:rPr>
      </w:pPr>
      <w:r>
        <w:rPr>
          <w:rFonts w:hint="eastAsia" w:ascii="Times New Roman" w:hAnsi="Times New Roman" w:eastAsia="楷体_GB2312" w:cs="Times New Roman"/>
          <w:sz w:val="32"/>
          <w:szCs w:val="32"/>
          <w:highlight w:val="none"/>
          <w:lang w:val="en-US" w:eastAsia="zh-CN"/>
        </w:rPr>
        <w:t>2026</w:t>
      </w:r>
      <w:r>
        <w:rPr>
          <w:rFonts w:hint="default" w:ascii="Times New Roman" w:hAnsi="Times New Roman" w:eastAsia="楷体_GB2312" w:cs="Times New Roman"/>
          <w:sz w:val="32"/>
          <w:szCs w:val="32"/>
          <w:highlight w:val="none"/>
        </w:rPr>
        <w:t>年</w:t>
      </w:r>
      <w:r>
        <w:rPr>
          <w:rFonts w:hint="eastAsia" w:ascii="Times New Roman" w:hAnsi="Times New Roman" w:eastAsia="楷体_GB2312" w:cs="Times New Roman"/>
          <w:sz w:val="32"/>
          <w:szCs w:val="32"/>
          <w:highlight w:val="none"/>
          <w:lang w:val="en-US" w:eastAsia="zh-CN"/>
        </w:rPr>
        <w:t>3</w:t>
      </w:r>
      <w:r>
        <w:rPr>
          <w:rFonts w:hint="default" w:ascii="Times New Roman" w:hAnsi="Times New Roman" w:eastAsia="楷体_GB2312" w:cs="Times New Roman"/>
          <w:sz w:val="32"/>
          <w:szCs w:val="32"/>
          <w:highlight w:val="none"/>
        </w:rPr>
        <w:t>月</w:t>
      </w:r>
      <w:r>
        <w:rPr>
          <w:rFonts w:hint="eastAsia" w:ascii="Times New Roman" w:hAnsi="Times New Roman" w:eastAsia="楷体_GB2312" w:cs="Times New Roman"/>
          <w:sz w:val="32"/>
          <w:szCs w:val="32"/>
          <w:highlight w:val="none"/>
          <w:lang w:val="en-US" w:eastAsia="zh-CN"/>
        </w:rPr>
        <w:t>30</w:t>
      </w:r>
      <w:r>
        <w:rPr>
          <w:rFonts w:hint="default" w:ascii="Times New Roman" w:hAnsi="Times New Roman" w:eastAsia="楷体_GB2312" w:cs="Times New Roman"/>
          <w:sz w:val="32"/>
          <w:szCs w:val="32"/>
          <w:highlight w:val="none"/>
        </w:rPr>
        <w:t>日</w:t>
      </w:r>
    </w:p>
    <w:p>
      <w:pPr>
        <w:keepNext w:val="0"/>
        <w:keepLines w:val="0"/>
        <w:pageBreakBefore w:val="0"/>
        <w:kinsoku/>
        <w:wordWrap/>
        <w:overflowPunct/>
        <w:topLinePunct w:val="0"/>
        <w:autoSpaceDE/>
        <w:autoSpaceDN/>
        <w:bidi w:val="0"/>
        <w:adjustRightInd/>
        <w:snapToGrid/>
        <w:spacing w:line="580" w:lineRule="exact"/>
        <w:textAlignment w:val="auto"/>
        <w:rPr>
          <w:rFonts w:hint="eastAsia"/>
          <w:sz w:val="34"/>
          <w:szCs w:val="34"/>
          <w:highlight w:val="none"/>
        </w:rPr>
      </w:pPr>
      <w:r>
        <w:rPr>
          <w:rFonts w:hint="eastAsia"/>
          <w:sz w:val="34"/>
          <w:szCs w:val="34"/>
          <w:highlight w:val="none"/>
        </w:rPr>
        <w:br w:type="page"/>
      </w:r>
    </w:p>
    <w:p>
      <w:pPr>
        <w:keepNext w:val="0"/>
        <w:keepLines w:val="0"/>
        <w:pageBreakBefore w:val="0"/>
        <w:kinsoku/>
        <w:wordWrap/>
        <w:overflowPunct/>
        <w:topLinePunct w:val="0"/>
        <w:autoSpaceDE/>
        <w:autoSpaceDN/>
        <w:bidi w:val="0"/>
        <w:adjustRightInd/>
        <w:snapToGrid/>
        <w:spacing w:line="580" w:lineRule="exact"/>
        <w:textAlignment w:val="auto"/>
        <w:rPr>
          <w:rFonts w:hint="eastAsia"/>
          <w:sz w:val="34"/>
          <w:szCs w:val="34"/>
          <w:highlight w:val="none"/>
        </w:rPr>
      </w:pPr>
      <w:r>
        <w:rPr>
          <w:rFonts w:hint="eastAsia"/>
          <w:sz w:val="34"/>
          <w:szCs w:val="34"/>
          <w:highlight w:val="none"/>
        </w:rPr>
        <w:br w:type="page"/>
      </w:r>
    </w:p>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202</w:t>
      </w:r>
      <w:r>
        <w:rPr>
          <w:rFonts w:hint="eastAsia" w:ascii="方正小标宋简体" w:hAnsi="方正小标宋简体" w:eastAsia="方正小标宋简体" w:cs="方正小标宋简体"/>
          <w:sz w:val="44"/>
          <w:szCs w:val="44"/>
          <w:highlight w:val="none"/>
          <w:lang w:val="en-US" w:eastAsia="zh-CN"/>
        </w:rPr>
        <w:t>5</w:t>
      </w:r>
      <w:r>
        <w:rPr>
          <w:rFonts w:hint="eastAsia" w:ascii="方正小标宋简体" w:hAnsi="方正小标宋简体" w:eastAsia="方正小标宋简体" w:cs="方正小标宋简体"/>
          <w:sz w:val="44"/>
          <w:szCs w:val="44"/>
          <w:highlight w:val="none"/>
        </w:rPr>
        <w:t>年度中共岳阳市委党史研究室</w:t>
      </w:r>
    </w:p>
    <w:p>
      <w:pPr>
        <w:keepNext w:val="0"/>
        <w:keepLines w:val="0"/>
        <w:pageBreakBefore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整体支出绩效自评报告</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highlight w:val="none"/>
        </w:rPr>
      </w:pPr>
    </w:p>
    <w:p>
      <w:pPr>
        <w:keepNext w:val="0"/>
        <w:keepLines w:val="0"/>
        <w:pageBreakBefore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一、</w:t>
      </w:r>
      <w:r>
        <w:rPr>
          <w:rFonts w:hint="eastAsia" w:ascii="Times New Roman" w:hAnsi="Times New Roman" w:eastAsia="黑体" w:cs="Times New Roman"/>
          <w:sz w:val="32"/>
          <w:szCs w:val="32"/>
          <w:highlight w:val="none"/>
        </w:rPr>
        <w:t>部门</w:t>
      </w:r>
      <w:r>
        <w:rPr>
          <w:rFonts w:hint="default" w:ascii="Times New Roman" w:hAnsi="Times New Roman" w:eastAsia="黑体" w:cs="Times New Roman"/>
          <w:sz w:val="32"/>
          <w:szCs w:val="32"/>
          <w:highlight w:val="none"/>
        </w:rPr>
        <w:t>（单位）</w:t>
      </w:r>
      <w:r>
        <w:rPr>
          <w:rFonts w:hint="eastAsia" w:ascii="Times New Roman" w:hAnsi="Times New Roman" w:eastAsia="黑体" w:cs="Times New Roman"/>
          <w:sz w:val="32"/>
          <w:szCs w:val="32"/>
          <w:highlight w:val="none"/>
        </w:rPr>
        <w:t>基本情况</w:t>
      </w:r>
    </w:p>
    <w:p>
      <w:pPr>
        <w:keepNext w:val="0"/>
        <w:keepLines w:val="0"/>
        <w:pageBreakBefore w:val="0"/>
        <w:widowControl/>
        <w:kinsoku/>
        <w:wordWrap/>
        <w:overflowPunct/>
        <w:topLinePunct w:val="0"/>
        <w:autoSpaceDE/>
        <w:autoSpaceDN/>
        <w:bidi w:val="0"/>
        <w:adjustRightInd/>
        <w:snapToGrid/>
        <w:spacing w:line="580" w:lineRule="exact"/>
        <w:ind w:firstLine="642" w:firstLineChars="200"/>
        <w:jc w:val="left"/>
        <w:textAlignment w:val="auto"/>
        <w:rPr>
          <w:rFonts w:hint="eastAsia" w:ascii="楷体" w:hAnsi="楷体" w:eastAsia="楷体" w:cs="楷体"/>
          <w:b/>
          <w:bCs/>
          <w:sz w:val="32"/>
          <w:szCs w:val="32"/>
          <w:highlight w:val="none"/>
        </w:rPr>
      </w:pPr>
      <w:r>
        <w:rPr>
          <w:rFonts w:hint="eastAsia" w:ascii="楷体" w:hAnsi="楷体" w:eastAsia="楷体" w:cs="楷体"/>
          <w:b/>
          <w:bCs/>
          <w:kern w:val="0"/>
          <w:sz w:val="32"/>
          <w:szCs w:val="32"/>
          <w:highlight w:val="none"/>
        </w:rPr>
        <w:t>（一）职能职责</w:t>
      </w:r>
    </w:p>
    <w:p>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1.贯彻执行中共中央、国务院、中共湖南省委、省政府关于党史、地方志编修的有关方针、政策及规定，拟订地方性的党史、地方志编修工作政策、规定和规划。</w:t>
      </w:r>
    </w:p>
    <w:p>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2.认真贯彻落实市委、市政府指示精神，组织全市党史、市志、部门志、专业志及市志丛书的编修及管理工作。</w:t>
      </w:r>
    </w:p>
    <w:p>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3.负责对各县市区和各部门的党史、史料、方志、年鉴工作进行督查和业务指导；培训党史、方志干部；组织对各级史（志）稿的评审、验收、出版和评奖。</w:t>
      </w:r>
    </w:p>
    <w:p>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4.收集、整理、研究岳阳地方党史、地方文献资料和市情资料，编纂出版《中共岳阳地方史》《中共岳阳市委工作纪实》《回首当年》等；规划和组织对岳阳籍重要党史人物生平和思想研究；编写党史人物传记等。</w:t>
      </w:r>
    </w:p>
    <w:p>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5.编辑出版《岳阳年鉴》；建立《岳阳年鉴》全文数据库（CAFD）；指导全市各县市区年鉴编辑出版工作。</w:t>
      </w:r>
    </w:p>
    <w:p>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rPr>
        <w:t>6.依据《著作权法》等有关法律、法规，负责对全市史书、志书、年鉴编纂工作纠纷进行技术鉴定仲裁。</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宋体" w:eastAsia="仿宋_GB2312" w:cs="宋体"/>
          <w:kern w:val="0"/>
          <w:sz w:val="32"/>
          <w:szCs w:val="32"/>
          <w:highlight w:val="none"/>
        </w:rPr>
      </w:pPr>
      <w:r>
        <w:rPr>
          <w:rFonts w:hint="eastAsia" w:ascii="仿宋_GB2312" w:hAnsi="宋体" w:eastAsia="仿宋_GB2312" w:cs="宋体"/>
          <w:kern w:val="0"/>
          <w:sz w:val="32"/>
          <w:szCs w:val="32"/>
        </w:rPr>
        <w:t>7.运用党史、方志资料和党史、方志研究成果，开展各种形式的宣传教育，发挥“存史、资政、育人”的社会功能；会同有关部门协助市委组织重大党史事件、重要党史人物的纪念活动</w:t>
      </w:r>
      <w:r>
        <w:rPr>
          <w:rFonts w:hint="eastAsia" w:ascii="仿宋_GB2312" w:hAnsi="宋体" w:eastAsia="仿宋_GB2312" w:cs="宋体"/>
          <w:kern w:val="0"/>
          <w:sz w:val="32"/>
          <w:szCs w:val="32"/>
          <w:highlight w:val="none"/>
        </w:rPr>
        <w:t>。</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8.负责</w:t>
      </w:r>
      <w:r>
        <w:rPr>
          <w:rFonts w:hint="default" w:ascii="仿宋_GB2312" w:hAnsi="宋体" w:eastAsia="仿宋_GB2312" w:cs="宋体"/>
          <w:kern w:val="0"/>
          <w:sz w:val="32"/>
          <w:szCs w:val="32"/>
          <w:highlight w:val="none"/>
          <w:lang w:val="en"/>
        </w:rPr>
        <w:t>全</w:t>
      </w:r>
      <w:r>
        <w:rPr>
          <w:rFonts w:hint="eastAsia" w:ascii="仿宋_GB2312" w:hAnsi="宋体" w:eastAsia="仿宋_GB2312" w:cs="宋体"/>
          <w:kern w:val="0"/>
          <w:sz w:val="32"/>
          <w:szCs w:val="32"/>
          <w:highlight w:val="none"/>
        </w:rPr>
        <w:t>市党史联络工作。</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9.承办市委、市政府交办的其他事项。</w:t>
      </w:r>
    </w:p>
    <w:p>
      <w:pPr>
        <w:keepNext w:val="0"/>
        <w:keepLines w:val="0"/>
        <w:pageBreakBefore w:val="0"/>
        <w:widowControl/>
        <w:kinsoku/>
        <w:wordWrap/>
        <w:overflowPunct/>
        <w:topLinePunct w:val="0"/>
        <w:autoSpaceDE/>
        <w:autoSpaceDN/>
        <w:bidi w:val="0"/>
        <w:adjustRightInd/>
        <w:snapToGrid/>
        <w:spacing w:line="580" w:lineRule="exact"/>
        <w:ind w:firstLine="642" w:firstLineChars="200"/>
        <w:jc w:val="left"/>
        <w:textAlignment w:val="auto"/>
        <w:rPr>
          <w:rFonts w:hint="eastAsia" w:ascii="楷体" w:hAnsi="楷体" w:eastAsia="楷体" w:cs="楷体"/>
          <w:b/>
          <w:bCs/>
          <w:kern w:val="0"/>
          <w:sz w:val="32"/>
          <w:szCs w:val="32"/>
          <w:highlight w:val="none"/>
        </w:rPr>
      </w:pPr>
      <w:r>
        <w:rPr>
          <w:rFonts w:hint="eastAsia" w:ascii="楷体" w:hAnsi="楷体" w:eastAsia="楷体" w:cs="楷体"/>
          <w:b/>
          <w:bCs/>
          <w:kern w:val="0"/>
          <w:sz w:val="32"/>
          <w:szCs w:val="32"/>
          <w:highlight w:val="none"/>
        </w:rPr>
        <w:t>（二）机构设置</w:t>
      </w:r>
    </w:p>
    <w:p>
      <w:pPr>
        <w:keepNext w:val="0"/>
        <w:keepLines w:val="0"/>
        <w:pageBreakBefore w:val="0"/>
        <w:kinsoku/>
        <w:wordWrap/>
        <w:overflowPunct/>
        <w:topLinePunct w:val="0"/>
        <w:autoSpaceDE/>
        <w:autoSpaceDN/>
        <w:bidi w:val="0"/>
        <w:adjustRightInd/>
        <w:snapToGrid/>
        <w:spacing w:line="640" w:lineRule="exact"/>
        <w:ind w:firstLine="640" w:firstLineChars="200"/>
        <w:jc w:val="both"/>
        <w:textAlignment w:val="auto"/>
        <w:rPr>
          <w:highlight w:val="none"/>
        </w:rPr>
      </w:pPr>
      <w:r>
        <w:rPr>
          <w:rFonts w:hint="eastAsia" w:ascii="仿宋_GB2312" w:hAnsi="宋体" w:eastAsia="仿宋_GB2312" w:cs="宋体"/>
          <w:kern w:val="0"/>
          <w:sz w:val="32"/>
          <w:szCs w:val="32"/>
        </w:rPr>
        <w:t>中共岳阳市委党史研究室设置</w:t>
      </w:r>
      <w:r>
        <w:rPr>
          <w:rFonts w:hint="eastAsia" w:ascii="仿宋_GB2312" w:hAnsi="宋体" w:eastAsia="仿宋_GB2312" w:cs="宋体"/>
          <w:kern w:val="0"/>
          <w:sz w:val="32"/>
          <w:szCs w:val="32"/>
          <w:lang w:val="en-US" w:eastAsia="zh-CN"/>
        </w:rPr>
        <w:t>6</w:t>
      </w:r>
      <w:r>
        <w:rPr>
          <w:rFonts w:hint="eastAsia" w:ascii="仿宋_GB2312" w:hAnsi="宋体" w:eastAsia="仿宋_GB2312" w:cs="宋体"/>
          <w:kern w:val="0"/>
          <w:sz w:val="32"/>
          <w:szCs w:val="32"/>
        </w:rPr>
        <w:t>个内设机构：</w:t>
      </w:r>
      <w:r>
        <w:rPr>
          <w:rFonts w:hint="eastAsia" w:ascii="仿宋_GB2312" w:hAnsi="宋体" w:eastAsia="仿宋_GB2312" w:cs="宋体"/>
          <w:kern w:val="0"/>
          <w:sz w:val="32"/>
          <w:szCs w:val="32"/>
          <w:lang w:eastAsia="zh-CN"/>
        </w:rPr>
        <w:t>综合部</w:t>
      </w:r>
      <w:r>
        <w:rPr>
          <w:rFonts w:hint="eastAsia" w:ascii="仿宋_GB2312" w:hAnsi="宋体" w:eastAsia="仿宋_GB2312" w:cs="宋体"/>
          <w:kern w:val="0"/>
          <w:sz w:val="32"/>
          <w:szCs w:val="32"/>
        </w:rPr>
        <w:t>、党史编研</w:t>
      </w:r>
      <w:r>
        <w:rPr>
          <w:rFonts w:hint="eastAsia" w:ascii="仿宋_GB2312" w:hAnsi="宋体" w:eastAsia="仿宋_GB2312" w:cs="宋体"/>
          <w:kern w:val="0"/>
          <w:sz w:val="32"/>
          <w:szCs w:val="32"/>
          <w:lang w:eastAsia="zh-CN"/>
        </w:rPr>
        <w:t>部</w:t>
      </w:r>
      <w:r>
        <w:rPr>
          <w:rFonts w:hint="eastAsia" w:ascii="仿宋_GB2312" w:hAnsi="宋体" w:eastAsia="仿宋_GB2312" w:cs="宋体"/>
          <w:kern w:val="0"/>
          <w:sz w:val="32"/>
          <w:szCs w:val="32"/>
        </w:rPr>
        <w:t>、历史人物研究</w:t>
      </w:r>
      <w:r>
        <w:rPr>
          <w:rFonts w:hint="eastAsia" w:ascii="仿宋_GB2312" w:hAnsi="宋体" w:eastAsia="仿宋_GB2312" w:cs="宋体"/>
          <w:kern w:val="0"/>
          <w:sz w:val="32"/>
          <w:szCs w:val="32"/>
          <w:lang w:eastAsia="zh-CN"/>
        </w:rPr>
        <w:t>部</w:t>
      </w:r>
      <w:r>
        <w:rPr>
          <w:rFonts w:hint="eastAsia" w:ascii="仿宋_GB2312" w:hAnsi="宋体" w:eastAsia="仿宋_GB2312" w:cs="宋体"/>
          <w:kern w:val="0"/>
          <w:sz w:val="32"/>
          <w:szCs w:val="32"/>
        </w:rPr>
        <w:t>、方志</w:t>
      </w:r>
      <w:r>
        <w:rPr>
          <w:rFonts w:hint="eastAsia" w:ascii="仿宋_GB2312" w:hAnsi="宋体" w:eastAsia="仿宋_GB2312" w:cs="宋体"/>
          <w:kern w:val="0"/>
          <w:sz w:val="32"/>
          <w:szCs w:val="32"/>
          <w:lang w:eastAsia="zh-CN"/>
        </w:rPr>
        <w:t>部</w:t>
      </w:r>
      <w:r>
        <w:rPr>
          <w:rFonts w:hint="eastAsia" w:ascii="仿宋_GB2312" w:hAnsi="宋体" w:eastAsia="仿宋_GB2312" w:cs="宋体"/>
          <w:kern w:val="0"/>
          <w:sz w:val="32"/>
          <w:szCs w:val="32"/>
        </w:rPr>
        <w:t>、年鉴</w:t>
      </w:r>
      <w:r>
        <w:rPr>
          <w:rFonts w:hint="eastAsia" w:ascii="仿宋_GB2312" w:hAnsi="宋体" w:eastAsia="仿宋_GB2312" w:cs="宋体"/>
          <w:kern w:val="0"/>
          <w:sz w:val="32"/>
          <w:szCs w:val="32"/>
          <w:lang w:eastAsia="zh-CN"/>
        </w:rPr>
        <w:t>部</w:t>
      </w: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eastAsia="zh-CN"/>
        </w:rPr>
        <w:t>党办</w:t>
      </w:r>
      <w:r>
        <w:rPr>
          <w:rFonts w:hint="eastAsia" w:ascii="仿宋_GB2312" w:hAnsi="宋体" w:eastAsia="仿宋_GB2312" w:cs="宋体"/>
          <w:kern w:val="0"/>
          <w:sz w:val="32"/>
          <w:szCs w:val="32"/>
        </w:rPr>
        <w:t>。</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Times New Roman" w:hAnsi="Times New Roman" w:eastAsia="黑体" w:cs="Times New Roman"/>
          <w:sz w:val="32"/>
          <w:szCs w:val="32"/>
          <w:highlight w:val="none"/>
        </w:rPr>
        <w:t>二、一般公共预算支出情况</w:t>
      </w:r>
    </w:p>
    <w:p>
      <w:pPr>
        <w:keepNext w:val="0"/>
        <w:keepLines w:val="0"/>
        <w:pageBreakBefore w:val="0"/>
        <w:widowControl/>
        <w:kinsoku/>
        <w:wordWrap/>
        <w:overflowPunct/>
        <w:topLinePunct w:val="0"/>
        <w:autoSpaceDE/>
        <w:autoSpaceDN/>
        <w:bidi w:val="0"/>
        <w:adjustRightInd/>
        <w:snapToGrid/>
        <w:spacing w:line="580" w:lineRule="exact"/>
        <w:ind w:firstLine="642" w:firstLineChars="200"/>
        <w:jc w:val="left"/>
        <w:textAlignment w:val="auto"/>
        <w:rPr>
          <w:rFonts w:hint="eastAsia" w:ascii="楷体" w:hAnsi="楷体" w:eastAsia="楷体" w:cs="楷体"/>
          <w:b/>
          <w:bCs/>
          <w:sz w:val="32"/>
          <w:szCs w:val="32"/>
          <w:highlight w:val="none"/>
        </w:rPr>
      </w:pPr>
      <w:r>
        <w:rPr>
          <w:rFonts w:hint="eastAsia" w:ascii="楷体" w:hAnsi="楷体" w:eastAsia="楷体" w:cs="楷体"/>
          <w:b/>
          <w:bCs/>
          <w:kern w:val="0"/>
          <w:sz w:val="32"/>
          <w:szCs w:val="32"/>
          <w:highlight w:val="none"/>
        </w:rPr>
        <w:t>（一）基本支出情况</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color w:val="000000"/>
          <w:sz w:val="32"/>
          <w:szCs w:val="32"/>
          <w:highlight w:val="none"/>
          <w:lang w:val="en-US"/>
        </w:rPr>
      </w:pPr>
      <w:r>
        <w:rPr>
          <w:rFonts w:hint="eastAsia" w:ascii="Times New Roman" w:hAnsi="Times New Roman" w:eastAsia="仿宋_GB2312" w:cs="仿宋_GB2312"/>
          <w:color w:val="000000"/>
          <w:kern w:val="0"/>
          <w:sz w:val="32"/>
          <w:szCs w:val="32"/>
          <w:highlight w:val="none"/>
          <w:lang w:val="en-US" w:eastAsia="zh-CN" w:bidi="ar"/>
        </w:rPr>
        <w:t>基本支出主要是保障机构正常运转、完成日常工作任务而发生的各项支出，包括在职和退休人员工资福利支出、三公经费、水电、办公经费等商品和服务支出。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default" w:ascii="Times New Roman" w:hAnsi="Times New Roman" w:eastAsia="仿宋_GB2312" w:cs="Times New Roman"/>
          <w:color w:val="000000"/>
          <w:sz w:val="32"/>
          <w:szCs w:val="32"/>
          <w:highlight w:val="none"/>
          <w:lang w:val="en-US"/>
        </w:rPr>
      </w:pPr>
      <w:r>
        <w:rPr>
          <w:rFonts w:hint="default" w:ascii="Times New Roman" w:hAnsi="Times New Roman" w:eastAsia="仿宋_GB2312" w:cs="Times New Roman"/>
          <w:color w:val="000000"/>
          <w:kern w:val="0"/>
          <w:sz w:val="32"/>
          <w:szCs w:val="32"/>
          <w:highlight w:val="none"/>
          <w:lang w:val="en-US" w:eastAsia="zh-CN" w:bidi="ar"/>
        </w:rPr>
        <w:t>1</w:t>
      </w:r>
      <w:r>
        <w:rPr>
          <w:rFonts w:hint="default" w:ascii="Times New Roman" w:hAnsi="Times New Roman" w:eastAsia="仿宋_GB2312" w:cs="仿宋_GB2312"/>
          <w:color w:val="000000"/>
          <w:kern w:val="0"/>
          <w:sz w:val="32"/>
          <w:szCs w:val="32"/>
          <w:highlight w:val="none"/>
          <w:lang w:val="en" w:eastAsia="zh-CN" w:bidi="ar"/>
        </w:rPr>
        <w:t>.</w:t>
      </w:r>
      <w:r>
        <w:rPr>
          <w:rFonts w:hint="eastAsia" w:ascii="Times New Roman" w:hAnsi="Times New Roman" w:eastAsia="仿宋_GB2312" w:cs="仿宋_GB2312"/>
          <w:color w:val="000000"/>
          <w:kern w:val="0"/>
          <w:sz w:val="32"/>
          <w:szCs w:val="32"/>
          <w:highlight w:val="none"/>
          <w:lang w:val="en-US" w:eastAsia="zh-CN" w:bidi="ar"/>
        </w:rPr>
        <w:t>基本支出具体使用情况：工资福利支出为</w:t>
      </w:r>
      <w:r>
        <w:rPr>
          <w:rFonts w:hint="default" w:ascii="Times New Roman" w:hAnsi="Times New Roman" w:eastAsia="仿宋_GB2312" w:cs="Times New Roman"/>
          <w:color w:val="000000"/>
          <w:kern w:val="0"/>
          <w:sz w:val="32"/>
          <w:szCs w:val="32"/>
          <w:highlight w:val="none"/>
          <w:lang w:val="en-US" w:eastAsia="zh-CN" w:bidi="ar"/>
        </w:rPr>
        <w:t>270.13</w:t>
      </w:r>
      <w:r>
        <w:rPr>
          <w:rFonts w:hint="eastAsia" w:ascii="Times New Roman" w:hAnsi="Times New Roman" w:eastAsia="仿宋_GB2312" w:cs="仿宋_GB2312"/>
          <w:color w:val="000000"/>
          <w:kern w:val="0"/>
          <w:sz w:val="32"/>
          <w:szCs w:val="32"/>
          <w:highlight w:val="none"/>
          <w:lang w:val="en-US" w:eastAsia="zh-CN" w:bidi="ar"/>
        </w:rPr>
        <w:t>万；商品和服务支出为</w:t>
      </w:r>
      <w:r>
        <w:rPr>
          <w:rFonts w:hint="default" w:ascii="Times New Roman" w:hAnsi="Times New Roman" w:eastAsia="仿宋_GB2312" w:cs="Times New Roman"/>
          <w:color w:val="000000"/>
          <w:kern w:val="0"/>
          <w:sz w:val="32"/>
          <w:szCs w:val="32"/>
          <w:highlight w:val="none"/>
          <w:lang w:val="en-US" w:eastAsia="zh-CN" w:bidi="ar"/>
        </w:rPr>
        <w:t>47.04</w:t>
      </w:r>
      <w:r>
        <w:rPr>
          <w:rFonts w:hint="eastAsia" w:ascii="Times New Roman" w:hAnsi="Times New Roman" w:eastAsia="仿宋_GB2312" w:cs="仿宋_GB2312"/>
          <w:color w:val="000000"/>
          <w:kern w:val="0"/>
          <w:sz w:val="32"/>
          <w:szCs w:val="32"/>
          <w:highlight w:val="none"/>
          <w:lang w:val="en-US" w:eastAsia="zh-CN" w:bidi="ar"/>
        </w:rPr>
        <w:t>万；对个人和家庭的补助为</w:t>
      </w:r>
      <w:r>
        <w:rPr>
          <w:rFonts w:hint="default" w:ascii="Times New Roman" w:hAnsi="Times New Roman" w:eastAsia="仿宋_GB2312" w:cs="Times New Roman"/>
          <w:color w:val="000000"/>
          <w:kern w:val="0"/>
          <w:sz w:val="32"/>
          <w:szCs w:val="32"/>
          <w:highlight w:val="none"/>
          <w:lang w:val="en-US" w:eastAsia="zh-CN" w:bidi="ar"/>
        </w:rPr>
        <w:t>113.87</w:t>
      </w:r>
      <w:r>
        <w:rPr>
          <w:rFonts w:hint="eastAsia" w:ascii="Times New Roman" w:hAnsi="Times New Roman" w:eastAsia="仿宋_GB2312" w:cs="仿宋_GB2312"/>
          <w:color w:val="000000"/>
          <w:kern w:val="0"/>
          <w:sz w:val="32"/>
          <w:szCs w:val="32"/>
          <w:highlight w:val="none"/>
          <w:lang w:val="en-US" w:eastAsia="zh-CN" w:bidi="ar"/>
        </w:rPr>
        <w:t>万；资本性支出为</w:t>
      </w:r>
      <w:r>
        <w:rPr>
          <w:rFonts w:hint="default" w:ascii="Times New Roman" w:hAnsi="Times New Roman" w:eastAsia="仿宋_GB2312" w:cs="Times New Roman"/>
          <w:color w:val="000000"/>
          <w:kern w:val="0"/>
          <w:sz w:val="32"/>
          <w:szCs w:val="32"/>
          <w:highlight w:val="none"/>
          <w:lang w:val="en-US" w:eastAsia="zh-CN" w:bidi="ar"/>
        </w:rPr>
        <w:t>0</w:t>
      </w:r>
      <w:r>
        <w:rPr>
          <w:rFonts w:hint="eastAsia" w:ascii="Times New Roman" w:hAnsi="Times New Roman" w:eastAsia="仿宋_GB2312" w:cs="仿宋_GB2312"/>
          <w:color w:val="000000"/>
          <w:kern w:val="0"/>
          <w:sz w:val="32"/>
          <w:szCs w:val="32"/>
          <w:highlight w:val="none"/>
          <w:lang w:val="en-US" w:eastAsia="zh-CN" w:bidi="ar"/>
        </w:rPr>
        <w:t>万。</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楷体_GB2312" w:cs="Times New Roman"/>
          <w:b/>
          <w:sz w:val="32"/>
          <w:szCs w:val="32"/>
          <w:highlight w:val="none"/>
        </w:rPr>
      </w:pPr>
      <w:r>
        <w:rPr>
          <w:rFonts w:hint="default" w:ascii="Times New Roman" w:hAnsi="Times New Roman" w:eastAsia="仿宋_GB2312" w:cs="Times New Roman"/>
          <w:color w:val="000000"/>
          <w:kern w:val="0"/>
          <w:sz w:val="32"/>
          <w:szCs w:val="32"/>
          <w:highlight w:val="none"/>
          <w:lang w:val="en-US" w:eastAsia="zh-CN" w:bidi="ar"/>
        </w:rPr>
        <w:t>2</w:t>
      </w:r>
      <w:r>
        <w:rPr>
          <w:rFonts w:hint="default" w:ascii="Times New Roman" w:hAnsi="Times New Roman" w:eastAsia="仿宋_GB2312" w:cs="Times New Roman"/>
          <w:color w:val="000000"/>
          <w:kern w:val="0"/>
          <w:sz w:val="32"/>
          <w:szCs w:val="32"/>
          <w:highlight w:val="none"/>
          <w:lang w:val="en" w:eastAsia="zh-CN" w:bidi="ar"/>
        </w:rPr>
        <w:t>.</w:t>
      </w:r>
      <w:r>
        <w:rPr>
          <w:rFonts w:hint="eastAsia" w:ascii="Times New Roman" w:hAnsi="Times New Roman" w:eastAsia="仿宋_GB2312" w:cs="Times New Roman"/>
          <w:color w:val="000000"/>
          <w:kern w:val="0"/>
          <w:sz w:val="32"/>
          <w:szCs w:val="32"/>
          <w:highlight w:val="none"/>
          <w:lang w:val="en-US" w:eastAsia="zh-CN" w:bidi="ar"/>
        </w:rPr>
        <w:t>三公经费具体支出情况：我单位</w:t>
      </w:r>
      <w:r>
        <w:rPr>
          <w:rFonts w:hint="default" w:ascii="Times New Roman" w:hAnsi="Times New Roman" w:eastAsia="仿宋_GB2312" w:cs="Times New Roman"/>
          <w:color w:val="000000"/>
          <w:kern w:val="0"/>
          <w:sz w:val="32"/>
          <w:szCs w:val="32"/>
          <w:highlight w:val="none"/>
          <w:lang w:val="en-US" w:eastAsia="zh-CN" w:bidi="ar"/>
        </w:rPr>
        <w:t>202</w:t>
      </w:r>
      <w:r>
        <w:rPr>
          <w:rFonts w:hint="eastAsia" w:ascii="Times New Roman" w:hAnsi="Times New Roman" w:eastAsia="仿宋_GB2312" w:cs="Times New Roman"/>
          <w:color w:val="000000"/>
          <w:kern w:val="0"/>
          <w:sz w:val="32"/>
          <w:szCs w:val="32"/>
          <w:highlight w:val="none"/>
          <w:lang w:val="en-US" w:eastAsia="zh-CN" w:bidi="ar"/>
        </w:rPr>
        <w:t>5年三公经费总支出为</w:t>
      </w:r>
      <w:r>
        <w:rPr>
          <w:rFonts w:hint="default" w:ascii="Times New Roman" w:hAnsi="Times New Roman" w:eastAsia="仿宋_GB2312" w:cs="Times New Roman"/>
          <w:color w:val="000000"/>
          <w:kern w:val="0"/>
          <w:sz w:val="32"/>
          <w:szCs w:val="32"/>
          <w:highlight w:val="none"/>
          <w:lang w:val="en-US" w:eastAsia="zh-CN" w:bidi="ar"/>
        </w:rPr>
        <w:t>2.5</w:t>
      </w:r>
      <w:r>
        <w:rPr>
          <w:rFonts w:hint="eastAsia" w:ascii="Times New Roman" w:hAnsi="Times New Roman" w:eastAsia="仿宋_GB2312" w:cs="Times New Roman"/>
          <w:color w:val="000000"/>
          <w:kern w:val="0"/>
          <w:sz w:val="32"/>
          <w:szCs w:val="32"/>
          <w:highlight w:val="none"/>
          <w:lang w:val="en-US" w:eastAsia="zh-CN" w:bidi="ar"/>
        </w:rPr>
        <w:t>万，其中公务接待费</w:t>
      </w:r>
      <w:r>
        <w:rPr>
          <w:rFonts w:hint="default" w:ascii="Times New Roman" w:hAnsi="Times New Roman" w:eastAsia="仿宋_GB2312" w:cs="Times New Roman"/>
          <w:color w:val="000000"/>
          <w:kern w:val="0"/>
          <w:sz w:val="32"/>
          <w:szCs w:val="32"/>
          <w:highlight w:val="none"/>
          <w:lang w:val="en-US" w:eastAsia="zh-CN" w:bidi="ar"/>
        </w:rPr>
        <w:t>0.27</w:t>
      </w:r>
      <w:r>
        <w:rPr>
          <w:rFonts w:hint="eastAsia" w:ascii="Times New Roman" w:hAnsi="Times New Roman" w:eastAsia="仿宋_GB2312" w:cs="Times New Roman"/>
          <w:color w:val="000000"/>
          <w:kern w:val="0"/>
          <w:sz w:val="32"/>
          <w:szCs w:val="32"/>
          <w:highlight w:val="none"/>
          <w:lang w:val="en-US" w:eastAsia="zh-CN" w:bidi="ar"/>
        </w:rPr>
        <w:t>万；公务用车购置及运行维护费</w:t>
      </w:r>
      <w:r>
        <w:rPr>
          <w:rFonts w:hint="default" w:ascii="Times New Roman" w:hAnsi="Times New Roman" w:eastAsia="仿宋_GB2312" w:cs="Times New Roman"/>
          <w:color w:val="000000"/>
          <w:kern w:val="0"/>
          <w:sz w:val="32"/>
          <w:szCs w:val="32"/>
          <w:highlight w:val="none"/>
          <w:lang w:val="en-US" w:eastAsia="zh-CN" w:bidi="ar"/>
        </w:rPr>
        <w:t>2.22</w:t>
      </w:r>
      <w:r>
        <w:rPr>
          <w:rFonts w:hint="eastAsia" w:ascii="Times New Roman" w:hAnsi="Times New Roman" w:eastAsia="仿宋_GB2312" w:cs="Times New Roman"/>
          <w:color w:val="000000"/>
          <w:kern w:val="0"/>
          <w:sz w:val="32"/>
          <w:szCs w:val="32"/>
          <w:highlight w:val="none"/>
          <w:lang w:val="en-US" w:eastAsia="zh-CN" w:bidi="ar"/>
        </w:rPr>
        <w:t>万，因公出国</w:t>
      </w:r>
      <w:r>
        <w:rPr>
          <w:rFonts w:hint="default" w:ascii="Times New Roman" w:hAnsi="Times New Roman" w:eastAsia="仿宋_GB2312" w:cs="Times New Roman"/>
          <w:color w:val="000000"/>
          <w:kern w:val="0"/>
          <w:sz w:val="32"/>
          <w:szCs w:val="32"/>
          <w:highlight w:val="none"/>
          <w:lang w:val="en-US" w:eastAsia="zh-CN" w:bidi="ar"/>
        </w:rPr>
        <w:t>(</w:t>
      </w:r>
      <w:r>
        <w:rPr>
          <w:rFonts w:hint="eastAsia" w:ascii="Times New Roman" w:hAnsi="Times New Roman" w:eastAsia="仿宋_GB2312" w:cs="Times New Roman"/>
          <w:color w:val="000000"/>
          <w:kern w:val="0"/>
          <w:sz w:val="32"/>
          <w:szCs w:val="32"/>
          <w:highlight w:val="none"/>
          <w:lang w:val="en-US" w:eastAsia="zh-CN" w:bidi="ar"/>
        </w:rPr>
        <w:t>境</w:t>
      </w:r>
      <w:r>
        <w:rPr>
          <w:rFonts w:hint="default" w:ascii="Times New Roman" w:hAnsi="Times New Roman" w:eastAsia="仿宋_GB2312" w:cs="Times New Roman"/>
          <w:color w:val="000000"/>
          <w:kern w:val="0"/>
          <w:sz w:val="32"/>
          <w:szCs w:val="32"/>
          <w:highlight w:val="none"/>
          <w:lang w:val="en-US" w:eastAsia="zh-CN" w:bidi="ar"/>
        </w:rPr>
        <w:t>)</w:t>
      </w:r>
      <w:r>
        <w:rPr>
          <w:rFonts w:hint="eastAsia" w:ascii="Times New Roman" w:hAnsi="Times New Roman" w:eastAsia="仿宋_GB2312" w:cs="Times New Roman"/>
          <w:color w:val="000000"/>
          <w:kern w:val="0"/>
          <w:sz w:val="32"/>
          <w:szCs w:val="32"/>
          <w:highlight w:val="none"/>
          <w:lang w:val="en-US" w:eastAsia="zh-CN" w:bidi="ar"/>
        </w:rPr>
        <w:t>支出</w:t>
      </w:r>
      <w:r>
        <w:rPr>
          <w:rFonts w:hint="default" w:ascii="Times New Roman" w:hAnsi="Times New Roman" w:eastAsia="仿宋_GB2312" w:cs="Times New Roman"/>
          <w:color w:val="000000"/>
          <w:kern w:val="0"/>
          <w:sz w:val="32"/>
          <w:szCs w:val="32"/>
          <w:highlight w:val="none"/>
          <w:lang w:val="en-US" w:eastAsia="zh-CN" w:bidi="ar"/>
        </w:rPr>
        <w:t>0</w:t>
      </w:r>
      <w:r>
        <w:rPr>
          <w:rFonts w:hint="eastAsia" w:ascii="Times New Roman" w:hAnsi="Times New Roman" w:eastAsia="仿宋_GB2312" w:cs="Times New Roman"/>
          <w:color w:val="000000"/>
          <w:kern w:val="0"/>
          <w:sz w:val="32"/>
          <w:szCs w:val="32"/>
          <w:highlight w:val="none"/>
          <w:lang w:val="en-US" w:eastAsia="zh-CN" w:bidi="ar"/>
        </w:rPr>
        <w:t>万。</w:t>
      </w:r>
    </w:p>
    <w:p>
      <w:pPr>
        <w:keepNext w:val="0"/>
        <w:keepLines w:val="0"/>
        <w:pageBreakBefore w:val="0"/>
        <w:widowControl/>
        <w:kinsoku/>
        <w:wordWrap/>
        <w:overflowPunct/>
        <w:topLinePunct w:val="0"/>
        <w:autoSpaceDE/>
        <w:autoSpaceDN/>
        <w:bidi w:val="0"/>
        <w:adjustRightInd/>
        <w:snapToGrid/>
        <w:spacing w:line="580" w:lineRule="exact"/>
        <w:ind w:firstLine="642" w:firstLineChars="200"/>
        <w:jc w:val="left"/>
        <w:textAlignment w:val="auto"/>
        <w:rPr>
          <w:rFonts w:hint="eastAsia" w:ascii="楷体" w:hAnsi="楷体" w:eastAsia="楷体" w:cs="楷体"/>
          <w:b/>
          <w:bCs/>
          <w:kern w:val="0"/>
          <w:sz w:val="32"/>
          <w:szCs w:val="32"/>
          <w:highlight w:val="none"/>
        </w:rPr>
      </w:pPr>
      <w:r>
        <w:rPr>
          <w:rFonts w:hint="eastAsia" w:ascii="楷体" w:hAnsi="楷体" w:eastAsia="楷体" w:cs="楷体"/>
          <w:b/>
          <w:bCs/>
          <w:kern w:val="0"/>
          <w:sz w:val="32"/>
          <w:szCs w:val="32"/>
          <w:highlight w:val="none"/>
        </w:rPr>
        <w:t>（二）项目支出情况</w:t>
      </w:r>
    </w:p>
    <w:p>
      <w:pPr>
        <w:keepNext w:val="0"/>
        <w:keepLines w:val="0"/>
        <w:pageBreakBefore w:val="0"/>
        <w:kinsoku/>
        <w:wordWrap/>
        <w:overflowPunct/>
        <w:topLinePunct w:val="0"/>
        <w:autoSpaceDE/>
        <w:autoSpaceDN/>
        <w:bidi w:val="0"/>
        <w:adjustRightInd/>
        <w:snapToGrid/>
        <w:spacing w:line="580" w:lineRule="exact"/>
        <w:ind w:firstLine="640" w:firstLineChars="200"/>
        <w:jc w:val="both"/>
        <w:textAlignment w:val="auto"/>
        <w:rPr>
          <w:rFonts w:hint="default" w:ascii="仿宋_GB2312" w:hAnsi="仿宋_GB2312" w:eastAsia="仿宋_GB2312" w:cs="仿宋_GB2312"/>
          <w:color w:val="000000"/>
          <w:kern w:val="0"/>
          <w:sz w:val="32"/>
          <w:szCs w:val="32"/>
          <w:highlight w:val="none"/>
          <w:lang w:val="en" w:eastAsia="zh-CN" w:bidi="ar"/>
        </w:rPr>
      </w:pPr>
      <w:r>
        <w:rPr>
          <w:rFonts w:hint="eastAsia" w:ascii="仿宋_GB2312" w:hAnsi="仿宋_GB2312" w:eastAsia="仿宋_GB2312" w:cs="仿宋_GB2312"/>
          <w:color w:val="000000"/>
          <w:kern w:val="0"/>
          <w:sz w:val="32"/>
          <w:szCs w:val="32"/>
          <w:highlight w:val="none"/>
          <w:lang w:val="en-US" w:eastAsia="zh-CN" w:bidi="ar"/>
        </w:rPr>
        <w:t>2025年年初市财政共安排专项资金41.5万，共支出专项资金48.55万,专项资金实行综合预算，量入为出，专款专用，确保工作顺利开展。制定专项资金管理办法，规范专项资金使用；严格政府采购程序，做到按章办事，规范操作。</w:t>
      </w:r>
    </w:p>
    <w:p>
      <w:pPr>
        <w:pStyle w:val="7"/>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三、</w:t>
      </w:r>
      <w:r>
        <w:rPr>
          <w:rFonts w:hint="default" w:ascii="Times New Roman" w:hAnsi="Times New Roman" w:eastAsia="黑体" w:cs="Times New Roman"/>
          <w:sz w:val="32"/>
          <w:szCs w:val="32"/>
          <w:highlight w:val="none"/>
        </w:rPr>
        <w:t>政府性基金预算支出情况</w:t>
      </w:r>
    </w:p>
    <w:p>
      <w:pPr>
        <w:pStyle w:val="6"/>
        <w:keepNext w:val="0"/>
        <w:keepLines w:val="0"/>
        <w:pageBreakBefore w:val="0"/>
        <w:widowControl/>
        <w:suppressLineNumbers w:val="0"/>
        <w:kinsoku/>
        <w:wordWrap/>
        <w:overflowPunct/>
        <w:topLinePunct w:val="0"/>
        <w:autoSpaceDE/>
        <w:autoSpaceDN/>
        <w:bidi w:val="0"/>
        <w:adjustRightInd/>
        <w:snapToGrid/>
        <w:spacing w:line="580" w:lineRule="exact"/>
        <w:ind w:left="0" w:leftChars="0" w:firstLine="640" w:firstLineChars="200"/>
        <w:textAlignment w:val="auto"/>
        <w:rPr>
          <w:rFonts w:hint="default" w:ascii="Times New Roman" w:hAnsi="Times New Roman" w:eastAsia="黑体" w:cs="Times New Roman"/>
          <w:sz w:val="32"/>
          <w:szCs w:val="32"/>
          <w:highlight w:val="none"/>
        </w:rPr>
      </w:pPr>
      <w:r>
        <w:rPr>
          <w:rFonts w:hint="eastAsia" w:ascii="Times New Roman" w:hAnsi="Times New Roman" w:eastAsia="仿宋_GB2312" w:cs="仿宋_GB2312"/>
          <w:color w:val="000000"/>
          <w:sz w:val="32"/>
          <w:szCs w:val="32"/>
          <w:highlight w:val="none"/>
          <w:lang w:eastAsia="zh-CN"/>
        </w:rPr>
        <w:t>本单位无政府性基金预算支出。</w:t>
      </w:r>
    </w:p>
    <w:p>
      <w:pPr>
        <w:pStyle w:val="7"/>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四、</w:t>
      </w:r>
      <w:r>
        <w:rPr>
          <w:rFonts w:hint="default" w:ascii="Times New Roman" w:hAnsi="Times New Roman" w:eastAsia="黑体" w:cs="Times New Roman"/>
          <w:sz w:val="32"/>
          <w:szCs w:val="32"/>
          <w:highlight w:val="none"/>
        </w:rPr>
        <w:t>国有资本经营预算支出情况</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仿宋_GB2312" w:cs="仿宋_GB2312"/>
          <w:color w:val="000000"/>
          <w:kern w:val="0"/>
          <w:sz w:val="32"/>
          <w:szCs w:val="32"/>
          <w:highlight w:val="none"/>
          <w:lang w:val="en-US" w:eastAsia="zh-CN" w:bidi="ar"/>
        </w:rPr>
        <w:t>本单位无</w:t>
      </w:r>
      <w:r>
        <w:rPr>
          <w:rFonts w:hint="default" w:ascii="Times New Roman" w:hAnsi="Times New Roman" w:eastAsia="仿宋_GB2312" w:cs="仿宋_GB2312"/>
          <w:color w:val="000000"/>
          <w:kern w:val="0"/>
          <w:sz w:val="32"/>
          <w:szCs w:val="32"/>
          <w:highlight w:val="none"/>
          <w:lang w:val="en-US" w:eastAsia="zh-CN" w:bidi="ar"/>
        </w:rPr>
        <w:t>国有资本经营</w:t>
      </w:r>
      <w:r>
        <w:rPr>
          <w:rFonts w:hint="eastAsia" w:ascii="Times New Roman" w:hAnsi="Times New Roman" w:eastAsia="仿宋_GB2312" w:cs="仿宋_GB2312"/>
          <w:color w:val="000000"/>
          <w:kern w:val="0"/>
          <w:sz w:val="32"/>
          <w:szCs w:val="32"/>
          <w:highlight w:val="none"/>
          <w:lang w:val="en-US" w:eastAsia="zh-CN" w:bidi="ar"/>
        </w:rPr>
        <w:t>预算支出。</w:t>
      </w:r>
    </w:p>
    <w:p>
      <w:pPr>
        <w:pStyle w:val="7"/>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五、</w:t>
      </w:r>
      <w:r>
        <w:rPr>
          <w:rFonts w:hint="default" w:ascii="Times New Roman" w:hAnsi="Times New Roman" w:eastAsia="黑体" w:cs="Times New Roman"/>
          <w:sz w:val="32"/>
          <w:szCs w:val="32"/>
          <w:highlight w:val="none"/>
        </w:rPr>
        <w:t>社会保险基金预算支出情况</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right="0"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仿宋_GB2312" w:cs="仿宋_GB2312"/>
          <w:color w:val="000000"/>
          <w:kern w:val="0"/>
          <w:sz w:val="32"/>
          <w:szCs w:val="32"/>
          <w:highlight w:val="none"/>
          <w:lang w:val="en-US" w:eastAsia="zh-CN" w:bidi="ar"/>
        </w:rPr>
        <w:t>本单位无社会保险基金预算支出。</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六、部门整体支出绩效情况</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2025年，</w:t>
      </w:r>
      <w:r>
        <w:rPr>
          <w:rFonts w:hint="eastAsia" w:ascii="仿宋_GB2312" w:hAnsi="仿宋_GB2312" w:eastAsia="仿宋_GB2312" w:cs="仿宋_GB2312"/>
          <w:sz w:val="32"/>
          <w:szCs w:val="32"/>
          <w:highlight w:val="none"/>
          <w:lang w:eastAsia="zh-CN"/>
        </w:rPr>
        <w:t>岳阳市委党史研究室坚持以习近平新时代中国特色社会主义思想为指导，以史鉴今、资政育人，在史志著作编纂研究、红色宣教、资政服务等方面成效显著，</w:t>
      </w:r>
      <w:r>
        <w:rPr>
          <w:rFonts w:hint="eastAsia" w:ascii="仿宋_GB2312" w:hAnsi="仿宋_GB2312" w:eastAsia="仿宋_GB2312" w:cs="仿宋_GB2312"/>
          <w:sz w:val="32"/>
          <w:szCs w:val="32"/>
          <w:highlight w:val="none"/>
        </w:rPr>
        <w:t>较好完成了各项绩效目标。</w:t>
      </w:r>
    </w:p>
    <w:p>
      <w:pPr>
        <w:pStyle w:val="3"/>
        <w:keepNext w:val="0"/>
        <w:keepLines w:val="0"/>
        <w:widowControl/>
        <w:suppressLineNumbers w:val="0"/>
        <w:spacing w:before="0" w:beforeAutospacing="0" w:after="0" w:afterAutospacing="0" w:line="560" w:lineRule="exact"/>
        <w:ind w:left="0" w:right="0" w:firstLine="640" w:firstLineChars="200"/>
        <w:jc w:val="both"/>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预算控制率96.04%，财政供养人员控制在预算编制以内，“三公”经费支出总额较上年减少0.76万元，压减了23.4%。预算执行方面：根据“总量控制、计划管理”的要求从严控制行政经费，压缩公务费开支，严格控制“三公”经费，支出总额控制在预算总额以内。预算管理方面：切实有效地执行了各项财务管理制度、车辆、资产内部管理制度，资产配置严格政府采购，按照预算科目规定使用财政资金，保障资金支出的规范化、制度化，项目资金坚持按专项资金管理制度有效执行，确保专款专用。</w:t>
      </w:r>
      <w:r>
        <w:rPr>
          <w:rFonts w:hint="eastAsia" w:ascii="仿宋_GB2312" w:hAnsi="仿宋_GB2312" w:eastAsia="仿宋_GB2312" w:cs="仿宋_GB2312"/>
          <w:sz w:val="32"/>
          <w:szCs w:val="32"/>
          <w:highlight w:val="none"/>
        </w:rPr>
        <w:t>履职效能方面</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一是聚焦主责主业，扎实推进党史资料征集、研究编纂和宣传教育各项工作。二是突出重点任务，圆满完成志书年鉴编纂出版、重大党史事件纪念活动组织、红色资源开发利用等工作。三是强化自身建设，深入开展清廉机关建设和正确政绩观学习教育，以党建引领业务发展。四是优化服务效能，积极推动史志成果转化应用。</w:t>
      </w:r>
    </w:p>
    <w:p>
      <w:pPr>
        <w:pStyle w:val="7"/>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黑体" w:cs="Times New Roman"/>
          <w:kern w:val="0"/>
          <w:sz w:val="32"/>
          <w:szCs w:val="32"/>
          <w:highlight w:val="none"/>
          <w:lang w:val="en-US" w:eastAsia="zh-CN"/>
        </w:rPr>
      </w:pPr>
      <w:r>
        <w:rPr>
          <w:rFonts w:hint="eastAsia" w:ascii="Times New Roman" w:hAnsi="Times New Roman" w:eastAsia="黑体" w:cs="Times New Roman"/>
          <w:kern w:val="0"/>
          <w:sz w:val="32"/>
          <w:szCs w:val="32"/>
          <w:highlight w:val="none"/>
          <w:lang w:eastAsia="zh-CN"/>
        </w:rPr>
        <w:t>七</w:t>
      </w:r>
      <w:r>
        <w:rPr>
          <w:rFonts w:hint="eastAsia" w:ascii="Times New Roman" w:hAnsi="Times New Roman" w:eastAsia="黑体" w:cs="Times New Roman"/>
          <w:kern w:val="0"/>
          <w:sz w:val="32"/>
          <w:szCs w:val="32"/>
          <w:highlight w:val="none"/>
        </w:rPr>
        <w:t>、存在的问题及原因分析</w:t>
      </w:r>
    </w:p>
    <w:p>
      <w:pPr>
        <w:keepNext w:val="0"/>
        <w:keepLines w:val="0"/>
        <w:pageBreakBefore w:val="0"/>
        <w:widowControl/>
        <w:kinsoku/>
        <w:wordWrap/>
        <w:overflowPunct/>
        <w:topLinePunct w:val="0"/>
        <w:autoSpaceDE/>
        <w:autoSpaceDN/>
        <w:bidi w:val="0"/>
        <w:adjustRightInd/>
        <w:snapToGrid/>
        <w:spacing w:line="580" w:lineRule="exact"/>
        <w:ind w:firstLine="642" w:firstLineChars="200"/>
        <w:jc w:val="left"/>
        <w:textAlignment w:val="auto"/>
        <w:rPr>
          <w:rFonts w:hint="eastAsia" w:ascii="仿宋_GB2312" w:hAnsi="仿宋_GB2312" w:eastAsia="仿宋_GB2312" w:cs="仿宋_GB2312"/>
          <w:sz w:val="32"/>
          <w:szCs w:val="32"/>
          <w:highlight w:val="none"/>
        </w:rPr>
      </w:pPr>
      <w:r>
        <w:rPr>
          <w:rFonts w:hint="default" w:ascii="楷体" w:hAnsi="楷体" w:eastAsia="楷体" w:cs="楷体"/>
          <w:b/>
          <w:bCs/>
          <w:kern w:val="0"/>
          <w:sz w:val="32"/>
          <w:szCs w:val="32"/>
          <w:highlight w:val="none"/>
          <w:lang w:val="en" w:eastAsia="zh-CN"/>
        </w:rPr>
        <w:t>1.</w:t>
      </w:r>
      <w:r>
        <w:rPr>
          <w:rFonts w:hint="eastAsia" w:ascii="楷体" w:hAnsi="楷体" w:eastAsia="楷体" w:cs="楷体"/>
          <w:b/>
          <w:bCs/>
          <w:kern w:val="0"/>
          <w:sz w:val="32"/>
          <w:szCs w:val="32"/>
          <w:highlight w:val="none"/>
        </w:rPr>
        <w:t>预算编制精准度有待提高</w:t>
      </w:r>
      <w:r>
        <w:rPr>
          <w:rFonts w:hint="default" w:ascii="楷体" w:hAnsi="楷体" w:eastAsia="楷体" w:cs="楷体"/>
          <w:b/>
          <w:bCs/>
          <w:kern w:val="0"/>
          <w:sz w:val="32"/>
          <w:szCs w:val="32"/>
          <w:highlight w:val="none"/>
          <w:lang w:val="en"/>
        </w:rPr>
        <w:t>。</w:t>
      </w:r>
      <w:r>
        <w:rPr>
          <w:rFonts w:hint="eastAsia" w:ascii="仿宋_GB2312" w:hAnsi="仿宋_GB2312" w:eastAsia="仿宋_GB2312" w:cs="仿宋_GB2312"/>
          <w:sz w:val="32"/>
          <w:szCs w:val="32"/>
          <w:highlight w:val="none"/>
        </w:rPr>
        <w:t>部分项目支出在年初编制时难以完全精准预估，实际执行与年初预算存在一定差异。原因分析：部分史志编纂出版项目周期较长，具体支出时间受编审进度、印刷安排等客观因素影响较大，年初难以精确预估全年支出时点；同时，部分上级交办的临时性任务难以提前纳入年初预算。</w:t>
      </w:r>
    </w:p>
    <w:p>
      <w:pPr>
        <w:keepNext w:val="0"/>
        <w:keepLines w:val="0"/>
        <w:pageBreakBefore w:val="0"/>
        <w:widowControl/>
        <w:kinsoku/>
        <w:wordWrap/>
        <w:overflowPunct/>
        <w:topLinePunct w:val="0"/>
        <w:autoSpaceDE/>
        <w:autoSpaceDN/>
        <w:bidi w:val="0"/>
        <w:adjustRightInd/>
        <w:snapToGrid/>
        <w:spacing w:line="580" w:lineRule="exact"/>
        <w:ind w:firstLine="642" w:firstLineChars="200"/>
        <w:jc w:val="left"/>
        <w:textAlignment w:val="auto"/>
        <w:rPr>
          <w:rFonts w:hint="eastAsia" w:ascii="仿宋_GB2312" w:hAnsi="仿宋_GB2312" w:eastAsia="仿宋_GB2312" w:cs="仿宋_GB2312"/>
          <w:sz w:val="32"/>
          <w:szCs w:val="32"/>
          <w:highlight w:val="none"/>
        </w:rPr>
      </w:pPr>
      <w:r>
        <w:rPr>
          <w:rFonts w:hint="default" w:ascii="楷体" w:hAnsi="楷体" w:eastAsia="楷体" w:cs="楷体"/>
          <w:b/>
          <w:bCs/>
          <w:kern w:val="0"/>
          <w:sz w:val="32"/>
          <w:szCs w:val="32"/>
          <w:highlight w:val="none"/>
          <w:lang w:val="en" w:eastAsia="zh-CN"/>
        </w:rPr>
        <w:t>2.</w:t>
      </w:r>
      <w:r>
        <w:rPr>
          <w:rFonts w:hint="eastAsia" w:ascii="楷体" w:hAnsi="楷体" w:eastAsia="楷体" w:cs="楷体"/>
          <w:b/>
          <w:bCs/>
          <w:kern w:val="0"/>
          <w:sz w:val="32"/>
          <w:szCs w:val="32"/>
          <w:highlight w:val="none"/>
          <w:lang w:eastAsia="zh-CN"/>
        </w:rPr>
        <w:t>资产管理工作有待加强</w:t>
      </w:r>
      <w:r>
        <w:rPr>
          <w:rFonts w:hint="default" w:ascii="楷体" w:hAnsi="楷体" w:eastAsia="楷体" w:cs="楷体"/>
          <w:b/>
          <w:bCs/>
          <w:kern w:val="0"/>
          <w:sz w:val="32"/>
          <w:szCs w:val="32"/>
          <w:highlight w:val="none"/>
          <w:lang w:val="en" w:eastAsia="zh-CN"/>
        </w:rPr>
        <w:t>。</w:t>
      </w:r>
      <w:r>
        <w:rPr>
          <w:rFonts w:hint="eastAsia" w:ascii="仿宋_GB2312" w:hAnsi="仿宋_GB2312" w:eastAsia="仿宋_GB2312" w:cs="仿宋_GB2312"/>
          <w:sz w:val="32"/>
          <w:szCs w:val="32"/>
          <w:highlight w:val="none"/>
        </w:rPr>
        <w:t>部分资产使用年限较长，资产配置的科学性还需进一步提升。原因分析：我单位部分办公设备（如电脑、打印机等）购置时间较早，已超过报废年限但仍在勉强使用，按规定流程申请报废更新周期较长；同时，资产管理与预算编制衔接不够紧密，采购计划的前瞻性不足。</w:t>
      </w:r>
    </w:p>
    <w:p>
      <w:pPr>
        <w:keepNext w:val="0"/>
        <w:keepLines w:val="0"/>
        <w:pageBreakBefore w:val="0"/>
        <w:widowControl/>
        <w:kinsoku/>
        <w:wordWrap/>
        <w:overflowPunct/>
        <w:topLinePunct w:val="0"/>
        <w:autoSpaceDE/>
        <w:autoSpaceDN/>
        <w:bidi w:val="0"/>
        <w:adjustRightInd/>
        <w:snapToGrid/>
        <w:spacing w:line="580" w:lineRule="exact"/>
        <w:ind w:firstLine="642" w:firstLineChars="200"/>
        <w:jc w:val="left"/>
        <w:textAlignment w:val="auto"/>
        <w:rPr>
          <w:rFonts w:hint="eastAsia" w:ascii="仿宋_GB2312" w:hAnsi="仿宋_GB2312" w:eastAsia="仿宋_GB2312" w:cs="仿宋_GB2312"/>
          <w:sz w:val="32"/>
          <w:szCs w:val="32"/>
          <w:highlight w:val="none"/>
        </w:rPr>
      </w:pPr>
      <w:r>
        <w:rPr>
          <w:rFonts w:hint="default" w:ascii="楷体" w:hAnsi="楷体" w:eastAsia="楷体" w:cs="楷体"/>
          <w:b/>
          <w:bCs/>
          <w:kern w:val="0"/>
          <w:sz w:val="32"/>
          <w:szCs w:val="32"/>
          <w:highlight w:val="none"/>
          <w:lang w:val="en" w:eastAsia="zh-CN"/>
        </w:rPr>
        <w:t>3.</w:t>
      </w:r>
      <w:r>
        <w:rPr>
          <w:rFonts w:hint="eastAsia" w:ascii="楷体" w:hAnsi="楷体" w:eastAsia="楷体" w:cs="楷体"/>
          <w:b/>
          <w:bCs/>
          <w:kern w:val="0"/>
          <w:sz w:val="32"/>
          <w:szCs w:val="32"/>
          <w:highlight w:val="none"/>
          <w:lang w:eastAsia="zh-CN"/>
        </w:rPr>
        <w:t>绩效管理专业能力有待增强</w:t>
      </w:r>
      <w:r>
        <w:rPr>
          <w:rFonts w:hint="default" w:ascii="楷体" w:hAnsi="楷体" w:eastAsia="楷体" w:cs="楷体"/>
          <w:b/>
          <w:bCs/>
          <w:kern w:val="0"/>
          <w:sz w:val="32"/>
          <w:szCs w:val="32"/>
          <w:highlight w:val="none"/>
          <w:lang w:val="en" w:eastAsia="zh-CN"/>
        </w:rPr>
        <w:t>。</w:t>
      </w:r>
      <w:r>
        <w:rPr>
          <w:rFonts w:hint="eastAsia" w:ascii="仿宋_GB2312" w:hAnsi="仿宋_GB2312" w:eastAsia="仿宋_GB2312" w:cs="仿宋_GB2312"/>
          <w:sz w:val="32"/>
          <w:szCs w:val="32"/>
          <w:highlight w:val="none"/>
        </w:rPr>
        <w:t>单位暂无专职绩效管理人员，由财务人员兼顾，绩效目标设定的科学性和指标量化的精准度仍需完善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绩效管理专业能力有待增强。单位暂无专职绩效管理人员，由财务人员兼顾，绩效目标设定的科学性和指标量化的精准度仍需提升。原因分析：财务人员兼职管理，时间和精力分配有限，对绩效目标申报的研究不够深入；同时，部分绩效指标涉及史志业务，需业务科室配合设定，目前财务与业务科室之间的协同联动还不够紧密，业财深度融合有待加强。</w:t>
      </w:r>
    </w:p>
    <w:p>
      <w:pPr>
        <w:pStyle w:val="7"/>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黑体" w:cs="Times New Roman"/>
          <w:kern w:val="0"/>
          <w:sz w:val="32"/>
          <w:szCs w:val="32"/>
          <w:highlight w:val="none"/>
          <w:lang w:eastAsia="zh-CN"/>
        </w:rPr>
      </w:pPr>
      <w:r>
        <w:rPr>
          <w:rFonts w:hint="eastAsia" w:ascii="Times New Roman" w:hAnsi="Times New Roman" w:eastAsia="黑体" w:cs="Times New Roman"/>
          <w:kern w:val="0"/>
          <w:sz w:val="32"/>
          <w:szCs w:val="32"/>
          <w:highlight w:val="none"/>
          <w:lang w:eastAsia="zh-CN"/>
        </w:rPr>
        <w:t>八、下一步改进措施</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一是进一步提高预算编制精准度。科学测算各项支出需求，强化项目支出论证，对跨年度项目实行滚动预算管理，增强预算编制的预见性和准确性。</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二是加强资产全生命周期管理。严格落实资产配置、使用、处置各环节管理规定，及时清理处置待报废资产，加强资产管理与预算编制的衔接，提高资产使用效益。</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三是提升绩效管理水平。积极参加财政部门组织的业务培训，加强绩效目标申报的规范性，细化量化绩效指标，确保目标可衡量、可考核。</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四是持续强化财务管理。严格执行各项财经制度，从严控制一般性支出，确保三公经费只减不增，不断提高财政资金使用效益。</w:t>
      </w:r>
    </w:p>
    <w:p>
      <w:pPr>
        <w:keepNext w:val="0"/>
        <w:keepLines w:val="0"/>
        <w:pageBreakBefore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rPr>
        <w:t>部门整体支出绩效自评结果拟应用和公开情况</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both"/>
        <w:textAlignment w:val="auto"/>
        <w:rPr>
          <w:rFonts w:hint="eastAsia" w:ascii="仿宋_GB2312" w:hAnsi="仿宋_GB2312" w:eastAsia="仿宋_GB2312" w:cs="仿宋_GB2312"/>
          <w:sz w:val="32"/>
          <w:szCs w:val="32"/>
          <w:highlight w:val="none"/>
          <w:lang w:val="en-US"/>
        </w:rPr>
      </w:pPr>
      <w:r>
        <w:rPr>
          <w:rFonts w:hint="eastAsia" w:ascii="Times New Roman" w:hAnsi="Times New Roman" w:eastAsia="仿宋_GB2312" w:cs="仿宋_GB2312"/>
          <w:color w:val="000000"/>
          <w:kern w:val="0"/>
          <w:sz w:val="32"/>
          <w:szCs w:val="32"/>
          <w:highlight w:val="none"/>
          <w:lang w:val="en-US" w:eastAsia="zh-CN" w:bidi="ar"/>
        </w:rPr>
        <w:t>按要求予以公开。</w:t>
      </w:r>
    </w:p>
    <w:p>
      <w:pPr>
        <w:pStyle w:val="2"/>
        <w:rPr>
          <w:rFonts w:hint="eastAsia"/>
        </w:rPr>
      </w:pP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bidi="ar"/>
        </w:rPr>
        <w:t>2025年度部门整体</w:t>
      </w:r>
      <w:r>
        <w:rPr>
          <w:rFonts w:hint="eastAsia" w:ascii="仿宋_GB2312" w:hAnsi="仿宋_GB2312" w:eastAsia="仿宋_GB2312" w:cs="仿宋_GB2312"/>
          <w:sz w:val="32"/>
          <w:szCs w:val="32"/>
          <w:highlight w:val="none"/>
        </w:rPr>
        <w:t>支出绩效评价基础数据表</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bidi="ar"/>
        </w:rPr>
        <w:t>2025年度部门</w:t>
      </w:r>
      <w:r>
        <w:rPr>
          <w:rFonts w:hint="eastAsia" w:ascii="仿宋_GB2312" w:hAnsi="仿宋_GB2312" w:eastAsia="仿宋_GB2312" w:cs="仿宋_GB2312"/>
          <w:sz w:val="32"/>
          <w:szCs w:val="32"/>
          <w:highlight w:val="none"/>
        </w:rPr>
        <w:t>整体支出绩效自评表</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eastAsia="仿宋_GB2312"/>
          <w:highlight w:val="none"/>
          <w:lang w:eastAsia="zh-CN"/>
        </w:rPr>
        <w:sectPr>
          <w:pgSz w:w="11906" w:h="16838"/>
          <w:pgMar w:top="1440" w:right="1800" w:bottom="1440" w:left="1800" w:header="851" w:footer="992" w:gutter="0"/>
          <w:cols w:space="720" w:num="1"/>
          <w:docGrid w:type="lines" w:linePitch="312" w:charSpace="0"/>
        </w:sect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bidi="ar"/>
        </w:rPr>
        <w:t>2025年度</w:t>
      </w:r>
      <w:r>
        <w:rPr>
          <w:rFonts w:hint="eastAsia" w:ascii="仿宋_GB2312" w:hAnsi="仿宋_GB2312" w:eastAsia="仿宋_GB2312" w:cs="仿宋_GB2312"/>
          <w:sz w:val="32"/>
          <w:szCs w:val="32"/>
          <w:highlight w:val="none"/>
        </w:rPr>
        <w:t>项目支出绩效自评</w:t>
      </w:r>
      <w:r>
        <w:rPr>
          <w:rFonts w:hint="eastAsia" w:ascii="仿宋_GB2312" w:hAnsi="仿宋_GB2312" w:eastAsia="仿宋_GB2312" w:cs="仿宋_GB2312"/>
          <w:sz w:val="32"/>
          <w:szCs w:val="32"/>
          <w:highlight w:val="none"/>
          <w:lang w:eastAsia="zh-CN"/>
        </w:rPr>
        <w:t>表</w:t>
      </w:r>
      <w:bookmarkStart w:id="0" w:name="_GoBack"/>
      <w:bookmarkEnd w:id="0"/>
    </w:p>
    <w:p>
      <w:pPr>
        <w:keepNext w:val="0"/>
        <w:keepLines w:val="0"/>
        <w:pageBreakBefore w:val="0"/>
        <w:kinsoku/>
        <w:wordWrap/>
        <w:overflowPunct/>
        <w:topLinePunct w:val="0"/>
        <w:autoSpaceDE/>
        <w:autoSpaceDN/>
        <w:bidi w:val="0"/>
        <w:adjustRightInd/>
        <w:snapToGrid/>
        <w:spacing w:line="580" w:lineRule="exact"/>
        <w:textAlignment w:val="auto"/>
        <w:rPr>
          <w:rFonts w:hint="eastAsia"/>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楷体_GB2312">
    <w:altName w:val="楷体"/>
    <w:panose1 w:val="02010609030101010101"/>
    <w:charset w:val="00"/>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9BFB1"/>
    <w:multiLevelType w:val="singleLevel"/>
    <w:tmpl w:val="DFF9BFB1"/>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BFD3FC"/>
    <w:rsid w:val="2F3F1712"/>
    <w:rsid w:val="5CFF9252"/>
    <w:rsid w:val="5F6ECBCF"/>
    <w:rsid w:val="67772867"/>
    <w:rsid w:val="6ADEA19B"/>
    <w:rsid w:val="7EDB2708"/>
    <w:rsid w:val="97FB8B11"/>
    <w:rsid w:val="D4CF8CFE"/>
    <w:rsid w:val="DB72C04C"/>
    <w:rsid w:val="F9EE9729"/>
    <w:rsid w:val="FCAF618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keepNext w:val="0"/>
      <w:keepLines w:val="0"/>
      <w:widowControl w:val="0"/>
      <w:suppressLineNumbers w:val="0"/>
      <w:spacing w:before="100" w:beforeAutospacing="1" w:after="100" w:afterAutospacing="1"/>
      <w:ind w:left="0" w:right="0"/>
      <w:jc w:val="left"/>
    </w:pPr>
    <w:rPr>
      <w:rFonts w:hint="eastAsia" w:ascii="仿宋" w:hAnsi="仿宋" w:eastAsia="宋体" w:cs="Times New Roman"/>
      <w:kern w:val="0"/>
      <w:sz w:val="24"/>
      <w:szCs w:val="24"/>
      <w:lang w:val="en-US" w:eastAsia="zh-CN" w:bidi="ar"/>
    </w:rPr>
  </w:style>
  <w:style w:type="paragraph" w:customStyle="1" w:styleId="6">
    <w:name w:val="msolist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0"/>
      <w:sz w:val="28"/>
      <w:szCs w:val="22"/>
      <w:lang w:val="en-US" w:eastAsia="zh-CN" w:bidi="ar"/>
    </w:rPr>
  </w:style>
  <w:style w:type="paragraph" w:styleId="7">
    <w:name w:val="List Paragraph"/>
    <w:basedOn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2026-07-19T06:25:00Z</dcterms:created>
  <dc:creator>iPhone</dc:creator>
  <cp:lastModifiedBy>xjkp</cp:lastModifiedBy>
  <cp:lastPrinted>2026-07-17T15:59:00Z</cp:lastPrinted>
  <dcterms:modified xsi:type="dcterms:W3CDTF">2026-07-16T17:27:32Z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ICV">
    <vt:lpwstr>FAFE4EBEC8DD59415879586A35C9B0AE_31</vt:lpwstr>
  </property>
</Properties>
</file>