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DA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附件：1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年度部门整体支出绩效评价基础数据表 </w:t>
      </w:r>
    </w:p>
    <w:p w14:paraId="2E322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left="0" w:lef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年度部门整体支出绩效自评表</w:t>
      </w:r>
    </w:p>
    <w:p w14:paraId="73185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left="0" w:lef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年度项目支出绩效自评表</w:t>
      </w:r>
    </w:p>
    <w:p w14:paraId="52AA9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left="1596" w:leftChars="57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直预算部门整体支出绩效自评报告 （统一参考格式）   </w:t>
      </w:r>
    </w:p>
    <w:p w14:paraId="60FEA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left="0" w:lef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部门整体支出绩效自评工作考核评分表</w:t>
      </w:r>
    </w:p>
    <w:p w14:paraId="09A57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39BBB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22A91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7BED4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45A0F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68207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1B5C9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4E16C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7212A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3AD90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3CED3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26F5D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028A8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05901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2CFC4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73DB1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0533E106">
      <w:pPr>
        <w:spacing w:after="120" w:afterLines="50" w:line="600" w:lineRule="exact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</w:t>
      </w:r>
    </w:p>
    <w:p w14:paraId="7DC5A33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120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年度部门整体支出绩效评价基础数据表</w:t>
      </w:r>
    </w:p>
    <w:tbl>
      <w:tblPr>
        <w:tblStyle w:val="4"/>
        <w:tblW w:w="96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89"/>
        <w:gridCol w:w="849"/>
        <w:gridCol w:w="1129"/>
        <w:gridCol w:w="1111"/>
        <w:gridCol w:w="1081"/>
        <w:gridCol w:w="960"/>
      </w:tblGrid>
      <w:tr w14:paraId="5A5C9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0BE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财政供养人员情况（人）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B4A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编制数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356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年实际在职人数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946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控制率</w:t>
            </w:r>
          </w:p>
        </w:tc>
      </w:tr>
      <w:tr w14:paraId="43EE6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B75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84D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C65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A2B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83.33%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60DAE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E4B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经费控制情况（万元）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BD7B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9C0D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年预算数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A53B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</w:tr>
      <w:tr w14:paraId="66051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EC5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三公经费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C3B4E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10AC1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0.2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6E12E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6A4EB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53D4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1、公务用车购置和维护经费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E2CEC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C1A7D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B61BC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0C322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C7B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其中：公车购置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5BC3F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C6DCE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F3C33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64556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DAA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  公车运行维护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9A65D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D393B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B7199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3A4FB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EBF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2、出国经费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2E3B6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C6D77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2E102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3DBA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FD1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3、公务接待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04171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6A442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0.2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136BB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71113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D23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项目支出：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A4C6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FCE0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24.58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5625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24.58</w:t>
            </w:r>
          </w:p>
        </w:tc>
      </w:tr>
      <w:tr w14:paraId="18842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4FA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1、业务工作经费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BB39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50.5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007C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24.58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2A14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24.58</w:t>
            </w:r>
          </w:p>
        </w:tc>
      </w:tr>
      <w:tr w14:paraId="55B6D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358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2、运行维护经费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16C91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1476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FD84C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61252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706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……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A205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43FF4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61DA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58EA5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AD3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专项资金（一个专项一行）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9DEC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E5BA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B8AE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3E408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279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……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E792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7C38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9CE4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7A5C0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951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公用经费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E631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43.98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6637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47.42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705A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48.1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32579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9FB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其中：办公经费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9530A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23.87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50325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47.42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AFAF4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48.1　</w:t>
            </w:r>
          </w:p>
        </w:tc>
      </w:tr>
      <w:tr w14:paraId="4DD45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5FBD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6D642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17027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47.33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03901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47.88　</w:t>
            </w:r>
          </w:p>
        </w:tc>
      </w:tr>
      <w:tr w14:paraId="3E3E8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EC9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BAE9F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C3A02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0.11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C3639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0.22　</w:t>
            </w:r>
          </w:p>
        </w:tc>
      </w:tr>
      <w:tr w14:paraId="0934F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8279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政府采购金额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6DA4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——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F8C6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C2D1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41715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2E7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30F8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——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A3F7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5CC1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5D110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99E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楼堂馆所控制情况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（202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年完工项目）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C11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批复规模</w:t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（㎡）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6988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实际规模（㎡）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872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规模控制率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4F6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预算投资（万元）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565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实际投资（万元）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7B5E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投资概算控制率</w:t>
            </w:r>
          </w:p>
        </w:tc>
      </w:tr>
      <w:tr w14:paraId="18A9B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816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454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D7D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D9A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413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1A1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A7C1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3B7AD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742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厉行节约保障措施</w:t>
            </w:r>
          </w:p>
        </w:tc>
        <w:tc>
          <w:tcPr>
            <w:tcW w:w="63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93D2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</w:tbl>
    <w:p w14:paraId="2B4A1C2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Lines="0" w:line="400" w:lineRule="exact"/>
        <w:ind w:left="660" w:hanging="660" w:hangingChars="300"/>
        <w:jc w:val="left"/>
        <w:textAlignment w:val="auto"/>
        <w:rPr>
          <w:rFonts w:hint="default" w:ascii="Times New Roman" w:hAnsi="Times New Roman" w:eastAsia="仿宋_GB2312" w:cs="Times New Roman"/>
          <w:sz w:val="22"/>
          <w:highlight w:val="none"/>
        </w:rPr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说明：“项目支出”需要填报基本支出以外的所有项目支出情况，“公用经费”填报基本支出中的一般商品和服务支出。</w:t>
      </w:r>
    </w:p>
    <w:p w14:paraId="44EA0D20">
      <w:pPr>
        <w:rPr>
          <w:rFonts w:hint="default" w:ascii="Times New Roman" w:hAnsi="Times New Roman" w:eastAsia="仿宋_GB2312" w:cs="Times New Roman"/>
          <w:sz w:val="22"/>
          <w:highlight w:val="none"/>
        </w:rPr>
      </w:pPr>
    </w:p>
    <w:p w14:paraId="607FD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eastAsia="仿宋_GB231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填表人：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>谭立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>填报日期：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>2026.6.22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 xml:space="preserve"> 联系电话：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>18673005083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 xml:space="preserve"> 单位负责人签字：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>李成城</w:t>
      </w:r>
    </w:p>
    <w:p w14:paraId="17321C12">
      <w:pPr>
        <w:widowControl/>
        <w:spacing w:after="0" w:afterLines="0" w:line="400" w:lineRule="exact"/>
        <w:jc w:val="left"/>
        <w:rPr>
          <w:rFonts w:hint="eastAsia" w:ascii="黑体" w:hAnsi="黑体" w:eastAsia="黑体" w:cs="黑体"/>
          <w:sz w:val="32"/>
          <w:szCs w:val="32"/>
          <w:highlight w:val="none"/>
        </w:rPr>
      </w:pPr>
    </w:p>
    <w:p w14:paraId="79EBB0AF">
      <w:pPr>
        <w:widowControl/>
        <w:spacing w:after="0" w:afterLines="0" w:line="400" w:lineRule="exact"/>
        <w:jc w:val="left"/>
        <w:rPr>
          <w:rFonts w:hint="eastAsia" w:ascii="黑体" w:hAnsi="黑体" w:eastAsia="黑体" w:cs="黑体"/>
          <w:sz w:val="32"/>
          <w:szCs w:val="32"/>
          <w:highlight w:val="none"/>
        </w:rPr>
      </w:pPr>
    </w:p>
    <w:p w14:paraId="37C06FE5">
      <w:pPr>
        <w:widowControl/>
        <w:spacing w:after="0" w:afterLines="0" w:line="400" w:lineRule="exact"/>
        <w:jc w:val="left"/>
        <w:rPr>
          <w:rFonts w:hint="eastAsia" w:ascii="黑体" w:hAnsi="黑体" w:eastAsia="黑体" w:cs="黑体"/>
          <w:sz w:val="32"/>
          <w:szCs w:val="32"/>
          <w:highlight w:val="none"/>
        </w:rPr>
      </w:pPr>
    </w:p>
    <w:p w14:paraId="4EC7E57E">
      <w:pPr>
        <w:widowControl/>
        <w:spacing w:after="0" w:afterLines="0" w:line="400" w:lineRule="exact"/>
        <w:jc w:val="left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2</w:t>
      </w:r>
    </w:p>
    <w:p w14:paraId="3EC14727">
      <w:pPr>
        <w:widowControl/>
        <w:spacing w:after="120" w:afterLines="5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 xml:space="preserve">5 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年度部门整体支出绩效自评表</w:t>
      </w:r>
    </w:p>
    <w:tbl>
      <w:tblPr>
        <w:tblStyle w:val="4"/>
        <w:tblW w:w="9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1059"/>
        <w:gridCol w:w="1136"/>
        <w:gridCol w:w="1260"/>
        <w:gridCol w:w="1300"/>
        <w:gridCol w:w="1259"/>
        <w:gridCol w:w="710"/>
        <w:gridCol w:w="866"/>
        <w:gridCol w:w="164"/>
        <w:gridCol w:w="1272"/>
      </w:tblGrid>
      <w:tr w14:paraId="37A1B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973" w:type="dxa"/>
            <w:vAlign w:val="center"/>
          </w:tcPr>
          <w:p w14:paraId="76976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级预算部门名称</w:t>
            </w:r>
          </w:p>
        </w:tc>
        <w:tc>
          <w:tcPr>
            <w:tcW w:w="9026" w:type="dxa"/>
            <w:gridSpan w:val="9"/>
            <w:vAlign w:val="center"/>
          </w:tcPr>
          <w:p w14:paraId="356C1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岳阳市老干部活动范围中心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D10C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973" w:type="dxa"/>
            <w:vMerge w:val="restart"/>
            <w:vAlign w:val="center"/>
          </w:tcPr>
          <w:p w14:paraId="3F65C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年度预</w:t>
            </w:r>
          </w:p>
          <w:p w14:paraId="0F713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算申请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95" w:type="dxa"/>
            <w:gridSpan w:val="2"/>
            <w:vAlign w:val="center"/>
          </w:tcPr>
          <w:p w14:paraId="7DD12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44444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300" w:type="dxa"/>
            <w:vAlign w:val="center"/>
          </w:tcPr>
          <w:p w14:paraId="318F7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259" w:type="dxa"/>
            <w:vAlign w:val="center"/>
          </w:tcPr>
          <w:p w14:paraId="12F94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710" w:type="dxa"/>
            <w:vAlign w:val="center"/>
          </w:tcPr>
          <w:p w14:paraId="43FA0B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1030" w:type="dxa"/>
            <w:gridSpan w:val="2"/>
            <w:vAlign w:val="center"/>
          </w:tcPr>
          <w:p w14:paraId="04157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272" w:type="dxa"/>
            <w:vAlign w:val="center"/>
          </w:tcPr>
          <w:p w14:paraId="5C00E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13A5A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973" w:type="dxa"/>
            <w:vMerge w:val="continue"/>
            <w:vAlign w:val="center"/>
          </w:tcPr>
          <w:p w14:paraId="19418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95" w:type="dxa"/>
            <w:gridSpan w:val="2"/>
            <w:vAlign w:val="center"/>
          </w:tcPr>
          <w:p w14:paraId="598CF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260" w:type="dxa"/>
            <w:vAlign w:val="center"/>
          </w:tcPr>
          <w:p w14:paraId="77CE6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369.97</w:t>
            </w:r>
          </w:p>
        </w:tc>
        <w:tc>
          <w:tcPr>
            <w:tcW w:w="1300" w:type="dxa"/>
            <w:vAlign w:val="center"/>
          </w:tcPr>
          <w:p w14:paraId="5A396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542.01</w:t>
            </w:r>
          </w:p>
        </w:tc>
        <w:tc>
          <w:tcPr>
            <w:tcW w:w="1259" w:type="dxa"/>
            <w:vAlign w:val="center"/>
          </w:tcPr>
          <w:p w14:paraId="2D683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506.85</w:t>
            </w:r>
          </w:p>
        </w:tc>
        <w:tc>
          <w:tcPr>
            <w:tcW w:w="710" w:type="dxa"/>
            <w:vAlign w:val="center"/>
          </w:tcPr>
          <w:p w14:paraId="60D76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1030" w:type="dxa"/>
            <w:gridSpan w:val="2"/>
            <w:vAlign w:val="center"/>
          </w:tcPr>
          <w:p w14:paraId="6FE9F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93.51%</w:t>
            </w:r>
          </w:p>
        </w:tc>
        <w:tc>
          <w:tcPr>
            <w:tcW w:w="1272" w:type="dxa"/>
            <w:vAlign w:val="center"/>
          </w:tcPr>
          <w:p w14:paraId="5F885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9.35</w:t>
            </w:r>
          </w:p>
        </w:tc>
      </w:tr>
      <w:tr w14:paraId="4210A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973" w:type="dxa"/>
            <w:vMerge w:val="continue"/>
            <w:vAlign w:val="center"/>
          </w:tcPr>
          <w:p w14:paraId="3FEA0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755" w:type="dxa"/>
            <w:gridSpan w:val="4"/>
            <w:vAlign w:val="center"/>
          </w:tcPr>
          <w:p w14:paraId="473A2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按收入性质分：</w:t>
            </w:r>
          </w:p>
        </w:tc>
        <w:tc>
          <w:tcPr>
            <w:tcW w:w="4271" w:type="dxa"/>
            <w:gridSpan w:val="5"/>
            <w:vAlign w:val="center"/>
          </w:tcPr>
          <w:p w14:paraId="05446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按支出性质分：</w:t>
            </w:r>
          </w:p>
        </w:tc>
      </w:tr>
      <w:tr w14:paraId="5FBB5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973" w:type="dxa"/>
            <w:vMerge w:val="continue"/>
            <w:vAlign w:val="center"/>
          </w:tcPr>
          <w:p w14:paraId="3B6A5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755" w:type="dxa"/>
            <w:gridSpan w:val="4"/>
            <w:vAlign w:val="center"/>
          </w:tcPr>
          <w:p w14:paraId="3D6A4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 xml:space="preserve">  其中：  一般公共预算：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491.69</w:t>
            </w:r>
          </w:p>
        </w:tc>
        <w:tc>
          <w:tcPr>
            <w:tcW w:w="4271" w:type="dxa"/>
            <w:gridSpan w:val="5"/>
            <w:vAlign w:val="center"/>
          </w:tcPr>
          <w:p w14:paraId="67E47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其中：基本支出：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370.17</w:t>
            </w:r>
          </w:p>
        </w:tc>
      </w:tr>
      <w:tr w14:paraId="40CAA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973" w:type="dxa"/>
            <w:vMerge w:val="continue"/>
            <w:vAlign w:val="center"/>
          </w:tcPr>
          <w:p w14:paraId="28262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755" w:type="dxa"/>
            <w:gridSpan w:val="4"/>
            <w:vAlign w:val="center"/>
          </w:tcPr>
          <w:p w14:paraId="6F486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800" w:firstLineChars="4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政府性基金拨款：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271" w:type="dxa"/>
            <w:gridSpan w:val="5"/>
            <w:vAlign w:val="center"/>
          </w:tcPr>
          <w:p w14:paraId="2A29F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600" w:firstLineChars="3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项目支出：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136.67</w:t>
            </w:r>
          </w:p>
        </w:tc>
      </w:tr>
      <w:tr w14:paraId="778CF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973" w:type="dxa"/>
            <w:vMerge w:val="continue"/>
            <w:vAlign w:val="center"/>
          </w:tcPr>
          <w:p w14:paraId="44CBC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755" w:type="dxa"/>
            <w:gridSpan w:val="4"/>
            <w:vAlign w:val="center"/>
          </w:tcPr>
          <w:p w14:paraId="79239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纳入专户管理的非税收入拨款：</w:t>
            </w:r>
          </w:p>
        </w:tc>
        <w:tc>
          <w:tcPr>
            <w:tcW w:w="4271" w:type="dxa"/>
            <w:gridSpan w:val="5"/>
            <w:vAlign w:val="center"/>
          </w:tcPr>
          <w:p w14:paraId="7C6AF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4E3F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973" w:type="dxa"/>
            <w:vMerge w:val="continue"/>
            <w:vAlign w:val="center"/>
          </w:tcPr>
          <w:p w14:paraId="142CA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755" w:type="dxa"/>
            <w:gridSpan w:val="4"/>
            <w:vAlign w:val="center"/>
          </w:tcPr>
          <w:p w14:paraId="3C868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400" w:firstLineChars="7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50.31</w:t>
            </w:r>
          </w:p>
        </w:tc>
        <w:tc>
          <w:tcPr>
            <w:tcW w:w="4271" w:type="dxa"/>
            <w:gridSpan w:val="5"/>
            <w:vAlign w:val="center"/>
          </w:tcPr>
          <w:p w14:paraId="544DA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EDBB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973" w:type="dxa"/>
            <w:vMerge w:val="restart"/>
            <w:vAlign w:val="center"/>
          </w:tcPr>
          <w:p w14:paraId="7E0CB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755" w:type="dxa"/>
            <w:gridSpan w:val="4"/>
            <w:vAlign w:val="center"/>
          </w:tcPr>
          <w:p w14:paraId="5DCE2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71" w:type="dxa"/>
            <w:gridSpan w:val="5"/>
            <w:vAlign w:val="center"/>
          </w:tcPr>
          <w:p w14:paraId="0AB5A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7BC78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973" w:type="dxa"/>
            <w:vMerge w:val="continue"/>
            <w:vAlign w:val="center"/>
          </w:tcPr>
          <w:p w14:paraId="03732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755" w:type="dxa"/>
            <w:gridSpan w:val="4"/>
            <w:vAlign w:val="center"/>
          </w:tcPr>
          <w:p w14:paraId="7D64D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1，加强政治理论学习，加强单位内部管理；</w:t>
            </w:r>
          </w:p>
          <w:p w14:paraId="32BE0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2，扎实抓好活动中心的开馆工作；</w:t>
            </w:r>
          </w:p>
          <w:p w14:paraId="2E8C1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3，服务好离退休老领导，落实好离退休老同志待遇，组织好相关活动；</w:t>
            </w:r>
          </w:p>
          <w:p w14:paraId="04615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4，做好活动中心大楼维护保养工作。</w:t>
            </w:r>
          </w:p>
        </w:tc>
        <w:tc>
          <w:tcPr>
            <w:tcW w:w="4271" w:type="dxa"/>
            <w:gridSpan w:val="5"/>
            <w:vAlign w:val="center"/>
          </w:tcPr>
          <w:p w14:paraId="36C99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1，加强政治理论学习，加强单位内部管理；</w:t>
            </w:r>
          </w:p>
          <w:p w14:paraId="6FE60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2，扎实抓好活动中心的开馆工作；</w:t>
            </w:r>
          </w:p>
          <w:p w14:paraId="79F13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3，服务好离退休老领导，落实好离退休老同志待遇，组织好相关活动；</w:t>
            </w:r>
          </w:p>
          <w:p w14:paraId="7DE99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4，做好活动中心大楼维护保养工作。</w:t>
            </w:r>
          </w:p>
        </w:tc>
      </w:tr>
      <w:tr w14:paraId="36FA8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973" w:type="dxa"/>
            <w:vMerge w:val="restart"/>
            <w:vAlign w:val="center"/>
          </w:tcPr>
          <w:p w14:paraId="3CC1C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742E8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22A5A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5476E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  <w:p w14:paraId="67847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Align w:val="center"/>
          </w:tcPr>
          <w:p w14:paraId="47DB9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136" w:type="dxa"/>
            <w:vAlign w:val="center"/>
          </w:tcPr>
          <w:p w14:paraId="2CE38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60" w:type="dxa"/>
            <w:vAlign w:val="center"/>
          </w:tcPr>
          <w:p w14:paraId="100F4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300" w:type="dxa"/>
            <w:vAlign w:val="center"/>
          </w:tcPr>
          <w:p w14:paraId="26E1B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年度指标值</w:t>
            </w:r>
          </w:p>
        </w:tc>
        <w:tc>
          <w:tcPr>
            <w:tcW w:w="1259" w:type="dxa"/>
            <w:vAlign w:val="center"/>
          </w:tcPr>
          <w:p w14:paraId="31504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实际完成值</w:t>
            </w:r>
          </w:p>
        </w:tc>
        <w:tc>
          <w:tcPr>
            <w:tcW w:w="710" w:type="dxa"/>
            <w:vAlign w:val="center"/>
          </w:tcPr>
          <w:p w14:paraId="26A9E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66" w:type="dxa"/>
            <w:vAlign w:val="center"/>
          </w:tcPr>
          <w:p w14:paraId="0FC70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36" w:type="dxa"/>
            <w:gridSpan w:val="2"/>
            <w:vAlign w:val="center"/>
          </w:tcPr>
          <w:p w14:paraId="76EF6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4DCAE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973" w:type="dxa"/>
            <w:vMerge w:val="continue"/>
            <w:vAlign w:val="center"/>
          </w:tcPr>
          <w:p w14:paraId="5C0D5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restart"/>
            <w:vAlign w:val="center"/>
          </w:tcPr>
          <w:p w14:paraId="06955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69B1F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BCEA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136" w:type="dxa"/>
            <w:vMerge w:val="restart"/>
            <w:vAlign w:val="center"/>
          </w:tcPr>
          <w:p w14:paraId="46F87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60" w:type="dxa"/>
            <w:vAlign w:val="center"/>
          </w:tcPr>
          <w:p w14:paraId="31FB6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对老红军、离退休干部及遗孀春节和老年节走访慰问</w:t>
            </w:r>
          </w:p>
        </w:tc>
        <w:tc>
          <w:tcPr>
            <w:tcW w:w="1300" w:type="dxa"/>
            <w:vAlign w:val="center"/>
          </w:tcPr>
          <w:p w14:paraId="7F04F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10次以上</w:t>
            </w:r>
          </w:p>
        </w:tc>
        <w:tc>
          <w:tcPr>
            <w:tcW w:w="1259" w:type="dxa"/>
            <w:vAlign w:val="center"/>
          </w:tcPr>
          <w:p w14:paraId="44E5A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11次</w:t>
            </w:r>
          </w:p>
        </w:tc>
        <w:tc>
          <w:tcPr>
            <w:tcW w:w="710" w:type="dxa"/>
            <w:vAlign w:val="center"/>
          </w:tcPr>
          <w:p w14:paraId="71340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66" w:type="dxa"/>
            <w:vAlign w:val="center"/>
          </w:tcPr>
          <w:p w14:paraId="15B75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36" w:type="dxa"/>
            <w:gridSpan w:val="2"/>
            <w:vAlign w:val="center"/>
          </w:tcPr>
          <w:p w14:paraId="7492F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5CF0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73" w:type="dxa"/>
            <w:vMerge w:val="continue"/>
            <w:vAlign w:val="center"/>
          </w:tcPr>
          <w:p w14:paraId="682F5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vAlign w:val="center"/>
          </w:tcPr>
          <w:p w14:paraId="36BE2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6" w:type="dxa"/>
            <w:vMerge w:val="continue"/>
            <w:vAlign w:val="center"/>
          </w:tcPr>
          <w:p w14:paraId="31D21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8F6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对老干部住院慰问</w:t>
            </w:r>
          </w:p>
        </w:tc>
        <w:tc>
          <w:tcPr>
            <w:tcW w:w="1300" w:type="dxa"/>
            <w:vAlign w:val="center"/>
          </w:tcPr>
          <w:p w14:paraId="42E06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59" w:type="dxa"/>
            <w:vAlign w:val="center"/>
          </w:tcPr>
          <w:p w14:paraId="7541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710" w:type="dxa"/>
            <w:vAlign w:val="center"/>
          </w:tcPr>
          <w:p w14:paraId="2A383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66" w:type="dxa"/>
            <w:vAlign w:val="center"/>
          </w:tcPr>
          <w:p w14:paraId="3B6D6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36" w:type="dxa"/>
            <w:gridSpan w:val="2"/>
            <w:vAlign w:val="center"/>
          </w:tcPr>
          <w:p w14:paraId="73F7E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228B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973" w:type="dxa"/>
            <w:vMerge w:val="continue"/>
            <w:vAlign w:val="center"/>
          </w:tcPr>
          <w:p w14:paraId="1A474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vAlign w:val="center"/>
          </w:tcPr>
          <w:p w14:paraId="04B44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6" w:type="dxa"/>
            <w:vMerge w:val="continue"/>
            <w:vAlign w:val="center"/>
          </w:tcPr>
          <w:p w14:paraId="5DA8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7C468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协助老干支部开展活动</w:t>
            </w:r>
          </w:p>
        </w:tc>
        <w:tc>
          <w:tcPr>
            <w:tcW w:w="1300" w:type="dxa"/>
            <w:vAlign w:val="center"/>
          </w:tcPr>
          <w:p w14:paraId="04BCF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59" w:type="dxa"/>
            <w:vAlign w:val="center"/>
          </w:tcPr>
          <w:p w14:paraId="2F3BD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710" w:type="dxa"/>
            <w:vAlign w:val="center"/>
          </w:tcPr>
          <w:p w14:paraId="4FDEC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66" w:type="dxa"/>
            <w:vAlign w:val="center"/>
          </w:tcPr>
          <w:p w14:paraId="334E1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36" w:type="dxa"/>
            <w:gridSpan w:val="2"/>
            <w:vAlign w:val="center"/>
          </w:tcPr>
          <w:p w14:paraId="16C41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F8B3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973" w:type="dxa"/>
            <w:vMerge w:val="continue"/>
            <w:vAlign w:val="center"/>
          </w:tcPr>
          <w:p w14:paraId="47749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vAlign w:val="center"/>
          </w:tcPr>
          <w:p w14:paraId="7A0009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6" w:type="dxa"/>
            <w:vMerge w:val="continue"/>
            <w:vAlign w:val="center"/>
          </w:tcPr>
          <w:p w14:paraId="32B60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C603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活动中心各场馆开展经费预算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72927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不超预算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4737B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预算内完成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7303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7F445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36" w:type="dxa"/>
            <w:gridSpan w:val="2"/>
            <w:shd w:val="clear" w:color="auto" w:fill="auto"/>
            <w:vAlign w:val="center"/>
          </w:tcPr>
          <w:p w14:paraId="1804A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FCFE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973" w:type="dxa"/>
            <w:vMerge w:val="continue"/>
            <w:vAlign w:val="center"/>
          </w:tcPr>
          <w:p w14:paraId="11227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vAlign w:val="center"/>
          </w:tcPr>
          <w:p w14:paraId="5CBB1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538E8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60" w:type="dxa"/>
            <w:vAlign w:val="center"/>
          </w:tcPr>
          <w:p w14:paraId="21266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社会反映较好</w:t>
            </w:r>
          </w:p>
        </w:tc>
        <w:tc>
          <w:tcPr>
            <w:tcW w:w="1300" w:type="dxa"/>
            <w:vAlign w:val="center"/>
          </w:tcPr>
          <w:p w14:paraId="67E50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3753B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90%以上</w:t>
            </w:r>
          </w:p>
          <w:p w14:paraId="4C9B4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59" w:type="dxa"/>
            <w:vAlign w:val="center"/>
          </w:tcPr>
          <w:p w14:paraId="78748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176C9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  <w:p w14:paraId="31B8F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10" w:type="dxa"/>
            <w:vAlign w:val="center"/>
          </w:tcPr>
          <w:p w14:paraId="68BD3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5B293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  <w:p w14:paraId="560FB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66" w:type="dxa"/>
            <w:vAlign w:val="center"/>
          </w:tcPr>
          <w:p w14:paraId="5FB3C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214C2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  <w:p w14:paraId="308CD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36" w:type="dxa"/>
            <w:gridSpan w:val="2"/>
            <w:vAlign w:val="center"/>
          </w:tcPr>
          <w:p w14:paraId="70742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6B4A9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730C6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1DDC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73" w:type="dxa"/>
            <w:vMerge w:val="continue"/>
            <w:vAlign w:val="center"/>
          </w:tcPr>
          <w:p w14:paraId="4897E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vAlign w:val="center"/>
          </w:tcPr>
          <w:p w14:paraId="4AAD5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6" w:type="dxa"/>
            <w:vMerge w:val="restart"/>
            <w:vAlign w:val="center"/>
          </w:tcPr>
          <w:p w14:paraId="37ABB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60" w:type="dxa"/>
            <w:vMerge w:val="restart"/>
            <w:vAlign w:val="center"/>
          </w:tcPr>
          <w:p w14:paraId="51365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按各活动进度完成</w:t>
            </w:r>
          </w:p>
        </w:tc>
        <w:tc>
          <w:tcPr>
            <w:tcW w:w="1300" w:type="dxa"/>
            <w:vMerge w:val="restart"/>
            <w:vAlign w:val="center"/>
          </w:tcPr>
          <w:p w14:paraId="2ECD1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7A00E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按预定时间</w:t>
            </w:r>
          </w:p>
          <w:p w14:paraId="1FC0E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59" w:type="dxa"/>
            <w:vMerge w:val="restart"/>
            <w:vAlign w:val="center"/>
          </w:tcPr>
          <w:p w14:paraId="580E6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6B082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12月31号前完成</w:t>
            </w:r>
          </w:p>
          <w:p w14:paraId="18F8B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10" w:type="dxa"/>
            <w:vMerge w:val="restart"/>
            <w:vAlign w:val="center"/>
          </w:tcPr>
          <w:p w14:paraId="64C2E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2C7AC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  <w:p w14:paraId="06227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66" w:type="dxa"/>
            <w:vMerge w:val="restart"/>
            <w:vAlign w:val="center"/>
          </w:tcPr>
          <w:p w14:paraId="4F5F3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72D7C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  <w:p w14:paraId="345F7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36" w:type="dxa"/>
            <w:gridSpan w:val="2"/>
            <w:vAlign w:val="center"/>
          </w:tcPr>
          <w:p w14:paraId="3FB1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6A2AD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4ED92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6259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973" w:type="dxa"/>
            <w:vMerge w:val="continue"/>
            <w:vAlign w:val="center"/>
          </w:tcPr>
          <w:p w14:paraId="24DDD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vAlign w:val="center"/>
          </w:tcPr>
          <w:p w14:paraId="4D2CA8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6" w:type="dxa"/>
            <w:vMerge w:val="restart"/>
            <w:vAlign w:val="center"/>
          </w:tcPr>
          <w:p w14:paraId="26D3A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60" w:type="dxa"/>
            <w:vAlign w:val="center"/>
          </w:tcPr>
          <w:p w14:paraId="0E852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成本控制在预算范围内</w:t>
            </w:r>
          </w:p>
        </w:tc>
        <w:tc>
          <w:tcPr>
            <w:tcW w:w="1300" w:type="dxa"/>
            <w:vAlign w:val="center"/>
          </w:tcPr>
          <w:p w14:paraId="3384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20949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不超预算范围</w:t>
            </w:r>
          </w:p>
          <w:p w14:paraId="2168B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59" w:type="dxa"/>
            <w:vAlign w:val="center"/>
          </w:tcPr>
          <w:p w14:paraId="3E16E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不超预算</w:t>
            </w:r>
          </w:p>
          <w:p w14:paraId="14EBB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04D76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10" w:type="dxa"/>
            <w:vAlign w:val="center"/>
          </w:tcPr>
          <w:p w14:paraId="44243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  <w:p w14:paraId="29AF4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60AC0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66" w:type="dxa"/>
            <w:vAlign w:val="center"/>
          </w:tcPr>
          <w:p w14:paraId="7719D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  <w:p w14:paraId="51411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0990F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36" w:type="dxa"/>
            <w:gridSpan w:val="2"/>
            <w:vAlign w:val="center"/>
          </w:tcPr>
          <w:p w14:paraId="3F9A0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64752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0B430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654A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973" w:type="dxa"/>
            <w:vMerge w:val="continue"/>
            <w:vAlign w:val="center"/>
          </w:tcPr>
          <w:p w14:paraId="498F1C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restart"/>
            <w:vAlign w:val="center"/>
          </w:tcPr>
          <w:p w14:paraId="6B80D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7D5BB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E0D5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1A464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6" w:type="dxa"/>
            <w:vAlign w:val="center"/>
          </w:tcPr>
          <w:p w14:paraId="26EF4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6676E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60" w:type="dxa"/>
            <w:vAlign w:val="center"/>
          </w:tcPr>
          <w:p w14:paraId="6909D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  <w:tc>
          <w:tcPr>
            <w:tcW w:w="1300" w:type="dxa"/>
            <w:vAlign w:val="center"/>
          </w:tcPr>
          <w:p w14:paraId="0F195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  <w:tc>
          <w:tcPr>
            <w:tcW w:w="1259" w:type="dxa"/>
            <w:vAlign w:val="center"/>
          </w:tcPr>
          <w:p w14:paraId="2C52B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  <w:tc>
          <w:tcPr>
            <w:tcW w:w="710" w:type="dxa"/>
            <w:vAlign w:val="center"/>
          </w:tcPr>
          <w:p w14:paraId="2D804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  <w:tc>
          <w:tcPr>
            <w:tcW w:w="866" w:type="dxa"/>
            <w:vAlign w:val="center"/>
          </w:tcPr>
          <w:p w14:paraId="1FB3E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  <w:tc>
          <w:tcPr>
            <w:tcW w:w="1436" w:type="dxa"/>
            <w:gridSpan w:val="2"/>
            <w:vAlign w:val="center"/>
          </w:tcPr>
          <w:p w14:paraId="21667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4D13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973" w:type="dxa"/>
            <w:vMerge w:val="continue"/>
            <w:vAlign w:val="center"/>
          </w:tcPr>
          <w:p w14:paraId="3E8BE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vAlign w:val="center"/>
          </w:tcPr>
          <w:p w14:paraId="3B415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6C6CF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7650D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  <w:p w14:paraId="708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3AA84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60" w:type="dxa"/>
            <w:vAlign w:val="center"/>
          </w:tcPr>
          <w:p w14:paraId="641DE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维护社会稳定</w:t>
            </w:r>
          </w:p>
        </w:tc>
        <w:tc>
          <w:tcPr>
            <w:tcW w:w="1300" w:type="dxa"/>
            <w:vAlign w:val="center"/>
          </w:tcPr>
          <w:p w14:paraId="7C823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社会效益好</w:t>
            </w:r>
          </w:p>
          <w:p w14:paraId="4E465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1BD7E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59" w:type="dxa"/>
            <w:vAlign w:val="center"/>
          </w:tcPr>
          <w:p w14:paraId="1A8C3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助力社会稳定</w:t>
            </w:r>
          </w:p>
          <w:p w14:paraId="116B0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5463D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10" w:type="dxa"/>
            <w:vAlign w:val="center"/>
          </w:tcPr>
          <w:p w14:paraId="223D3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5B31E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66" w:type="dxa"/>
            <w:vAlign w:val="center"/>
          </w:tcPr>
          <w:p w14:paraId="44AA0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14</w:t>
            </w:r>
          </w:p>
          <w:p w14:paraId="7B93E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6CA19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36" w:type="dxa"/>
            <w:gridSpan w:val="2"/>
            <w:vAlign w:val="center"/>
          </w:tcPr>
          <w:p w14:paraId="2550E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5F2C1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629A8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EA57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973" w:type="dxa"/>
            <w:vMerge w:val="continue"/>
            <w:vAlign w:val="center"/>
          </w:tcPr>
          <w:p w14:paraId="1AA61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vAlign w:val="center"/>
          </w:tcPr>
          <w:p w14:paraId="4F50A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6" w:type="dxa"/>
            <w:vMerge w:val="restart"/>
            <w:vAlign w:val="center"/>
          </w:tcPr>
          <w:p w14:paraId="79CA5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  <w:p w14:paraId="63929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60" w:type="dxa"/>
            <w:vAlign w:val="center"/>
          </w:tcPr>
          <w:p w14:paraId="596A4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维护社会稳定</w:t>
            </w:r>
          </w:p>
        </w:tc>
        <w:tc>
          <w:tcPr>
            <w:tcW w:w="1300" w:type="dxa"/>
            <w:vAlign w:val="center"/>
          </w:tcPr>
          <w:p w14:paraId="4612E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助力大美岳阳建设</w:t>
            </w:r>
          </w:p>
        </w:tc>
        <w:tc>
          <w:tcPr>
            <w:tcW w:w="1259" w:type="dxa"/>
            <w:vAlign w:val="center"/>
          </w:tcPr>
          <w:p w14:paraId="573E6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助力大美岳阳建设</w:t>
            </w:r>
          </w:p>
        </w:tc>
        <w:tc>
          <w:tcPr>
            <w:tcW w:w="710" w:type="dxa"/>
            <w:vAlign w:val="center"/>
          </w:tcPr>
          <w:p w14:paraId="4F510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66" w:type="dxa"/>
            <w:vAlign w:val="center"/>
          </w:tcPr>
          <w:p w14:paraId="72D35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36" w:type="dxa"/>
            <w:gridSpan w:val="2"/>
            <w:vAlign w:val="center"/>
          </w:tcPr>
          <w:p w14:paraId="5E5BA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10273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6948E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6DED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973" w:type="dxa"/>
            <w:vMerge w:val="continue"/>
            <w:vAlign w:val="center"/>
          </w:tcPr>
          <w:p w14:paraId="5DDD4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Align w:val="center"/>
          </w:tcPr>
          <w:p w14:paraId="169B3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7D602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00C03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136" w:type="dxa"/>
            <w:vMerge w:val="continue"/>
            <w:vAlign w:val="center"/>
          </w:tcPr>
          <w:p w14:paraId="755C31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B1A1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社会公众或服务对象满意度</w:t>
            </w:r>
          </w:p>
        </w:tc>
        <w:tc>
          <w:tcPr>
            <w:tcW w:w="1300" w:type="dxa"/>
            <w:vAlign w:val="center"/>
          </w:tcPr>
          <w:p w14:paraId="0CEB5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95%以上</w:t>
            </w:r>
          </w:p>
        </w:tc>
        <w:tc>
          <w:tcPr>
            <w:tcW w:w="1259" w:type="dxa"/>
            <w:vAlign w:val="center"/>
          </w:tcPr>
          <w:p w14:paraId="24D24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97%</w:t>
            </w:r>
          </w:p>
        </w:tc>
        <w:tc>
          <w:tcPr>
            <w:tcW w:w="710" w:type="dxa"/>
            <w:vAlign w:val="center"/>
          </w:tcPr>
          <w:p w14:paraId="3C373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6" w:type="dxa"/>
            <w:vAlign w:val="center"/>
          </w:tcPr>
          <w:p w14:paraId="1337D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36" w:type="dxa"/>
            <w:gridSpan w:val="2"/>
            <w:vAlign w:val="center"/>
          </w:tcPr>
          <w:p w14:paraId="6F9B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6968A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  <w:p w14:paraId="13068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D321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6987" w:type="dxa"/>
            <w:gridSpan w:val="6"/>
            <w:vAlign w:val="center"/>
          </w:tcPr>
          <w:p w14:paraId="756CA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10" w:type="dxa"/>
            <w:vAlign w:val="center"/>
          </w:tcPr>
          <w:p w14:paraId="0A648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90</w:t>
            </w:r>
          </w:p>
        </w:tc>
        <w:tc>
          <w:tcPr>
            <w:tcW w:w="866" w:type="dxa"/>
            <w:vAlign w:val="center"/>
          </w:tcPr>
          <w:p w14:paraId="68689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87</w:t>
            </w:r>
          </w:p>
        </w:tc>
        <w:tc>
          <w:tcPr>
            <w:tcW w:w="1436" w:type="dxa"/>
            <w:gridSpan w:val="2"/>
            <w:vAlign w:val="center"/>
          </w:tcPr>
          <w:p w14:paraId="0C911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5ADA0C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>谭立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填报日期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>2026.6.24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联系电话：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>18673005083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>李成城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br w:type="page"/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</w:t>
      </w:r>
    </w:p>
    <w:p w14:paraId="148B37AF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4"/>
        <w:tblW w:w="98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589"/>
        <w:gridCol w:w="1050"/>
        <w:gridCol w:w="1155"/>
        <w:gridCol w:w="690"/>
        <w:gridCol w:w="885"/>
        <w:gridCol w:w="1242"/>
      </w:tblGrid>
      <w:tr w14:paraId="45D58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96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092A6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835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岳阳市老干部活动服务中心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活动运行经费</w:t>
            </w:r>
          </w:p>
        </w:tc>
      </w:tr>
      <w:tr w14:paraId="4612D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59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A6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中共岳阳市委老干部局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DCE5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8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069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岳阳市老干部活动服务中心</w:t>
            </w:r>
          </w:p>
        </w:tc>
      </w:tr>
      <w:tr w14:paraId="03A53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D6A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33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81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39242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320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461E2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F3F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5EA40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4D5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C7C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ACF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16E1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D04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2E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5D2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24.58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4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24.58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2B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24.58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0E9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139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525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498C9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4CC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AD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69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24.58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D08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24.58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AFF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24.58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2F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9B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60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35621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2F8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90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98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6E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F70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8F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5F3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7F9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50365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CA0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575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A4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ECF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9D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7C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80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80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7022F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ECD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81ED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36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628C8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EE1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343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退休老干部来老干中心参加活动，开展活动。</w:t>
            </w:r>
          </w:p>
        </w:tc>
        <w:tc>
          <w:tcPr>
            <w:tcW w:w="3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93E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退休老干部经常来老干中心活动，开展活动次数多，接待人数多。</w:t>
            </w:r>
          </w:p>
        </w:tc>
      </w:tr>
      <w:tr w14:paraId="55E1F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E4B8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139D6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048FF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77D95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2EF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1B2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1D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E5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1AB04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8B6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50B6D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4E3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CF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FE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6EC37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679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6F480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4CA7C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5C9E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4CA89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FA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协助老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干支部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组织开展活动。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22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0"/>
                <w:szCs w:val="20"/>
                <w:lang w:val="en-US" w:eastAsia="zh-CN" w:bidi="ar"/>
              </w:rPr>
              <w:t>4次以上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04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5次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66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C5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17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6AF7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A95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4625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AAF7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DA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为老干部学习、娱乐、休闲、健身等老年人活动提供了一个安全、舒适、宽松、优美地场所。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7A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0"/>
                <w:szCs w:val="20"/>
                <w:lang w:val="en-US" w:eastAsia="zh-CN" w:bidi="ar"/>
              </w:rPr>
              <w:t>老干部退休生活丰富多彩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BE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0"/>
                <w:szCs w:val="20"/>
                <w:lang w:val="en-US" w:eastAsia="zh-CN" w:bidi="ar"/>
              </w:rPr>
              <w:t>老干部退休生活丰富多彩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99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6A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838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CC6E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9B7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BA46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2FF6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C82B3">
            <w:pPr>
              <w:keepNext w:val="0"/>
              <w:keepLines w:val="0"/>
              <w:widowControl w:val="0"/>
              <w:suppressLineNumbers w:val="0"/>
              <w:autoSpaceDE/>
              <w:autoSpaceDN w:val="0"/>
              <w:spacing w:before="0" w:beforeAutospacing="0" w:after="0" w:afterAutospacing="0" w:line="32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按各活动进度完成            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9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0"/>
                <w:szCs w:val="20"/>
                <w:lang w:val="en-US" w:eastAsia="zh-CN" w:bidi="ar"/>
              </w:rPr>
              <w:t>按预定时间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C2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12月前完成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5A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17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CE7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DA36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1936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1F3B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2A4D0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42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1B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B0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34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DE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B1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750C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4E6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389F4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45757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33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专款专用；在预算内完成工作任务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53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0"/>
                <w:szCs w:val="20"/>
                <w:lang w:val="en-US" w:eastAsia="zh-CN" w:bidi="ar"/>
              </w:rPr>
              <w:t>47.59万元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48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0"/>
                <w:szCs w:val="20"/>
                <w:lang w:val="en-US" w:eastAsia="zh-CN" w:bidi="ar"/>
              </w:rPr>
              <w:t>不超预算范围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87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6A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414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9490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D2D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77370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7C82C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446CB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4CFF4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297BD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0A17F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56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89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27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05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BC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E2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37C6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FA2E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EEE5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56A21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584DA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AC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为符合条件的离退休老干部提供活动场地和服务。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0C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95%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EB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96%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86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F0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30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DA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B472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CDB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B050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1120D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47C38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37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F5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59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76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65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65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DE85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425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38318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81F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85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19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0A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F7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C2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A0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C8BA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7F8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02C40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6A25C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78FEE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534CB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4E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"/>
              </w:rPr>
              <w:t>到活动中心参与活动的老干部的满意程度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A7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54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F1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25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6D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F11C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CC84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E8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C90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DA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36E46E59">
      <w:pP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</w:pPr>
    </w:p>
    <w:p w14:paraId="4D666AA4">
      <w:pPr>
        <w:rPr>
          <w:rFonts w:hint="default" w:ascii="Times New Roman" w:hAnsi="Times New Roman" w:eastAsia="仿宋_GB2312" w:cs="Times New Roman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4F9CE5F8">
      <w:pP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>谭立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填报日期：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>2026.6.24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联系电话：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8880412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>李成城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br w:type="page"/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4</w:t>
      </w:r>
    </w:p>
    <w:p w14:paraId="0B2719E9">
      <w:pPr>
        <w:jc w:val="center"/>
        <w:rPr>
          <w:rFonts w:hint="default" w:ascii="Times New Roman" w:hAnsi="Times New Roman" w:eastAsia="方正小标宋_GBK" w:cs="Times New Roman"/>
          <w:sz w:val="52"/>
          <w:szCs w:val="52"/>
          <w:highlight w:val="none"/>
        </w:rPr>
      </w:pPr>
    </w:p>
    <w:p w14:paraId="30CEFA77">
      <w:pPr>
        <w:jc w:val="center"/>
        <w:rPr>
          <w:rFonts w:hint="default" w:ascii="Times New Roman" w:hAnsi="Times New Roman" w:eastAsia="方正小标宋_GBK" w:cs="Times New Roman"/>
          <w:sz w:val="52"/>
          <w:szCs w:val="52"/>
          <w:highlight w:val="none"/>
        </w:rPr>
      </w:pPr>
    </w:p>
    <w:p w14:paraId="54605246">
      <w:pPr>
        <w:jc w:val="center"/>
        <w:rPr>
          <w:rFonts w:hint="default" w:ascii="Times New Roman" w:hAnsi="Times New Roman" w:eastAsia="方正小标宋_GBK" w:cs="Times New Roman"/>
          <w:sz w:val="52"/>
          <w:szCs w:val="52"/>
          <w:highlight w:val="none"/>
        </w:rPr>
      </w:pPr>
    </w:p>
    <w:p w14:paraId="0DA3A267">
      <w:pPr>
        <w:jc w:val="center"/>
        <w:rPr>
          <w:rFonts w:hint="default" w:ascii="Times New Roman" w:hAnsi="Times New Roman" w:eastAsia="方正小标宋_GBK" w:cs="Times New Roman"/>
          <w:sz w:val="52"/>
          <w:szCs w:val="52"/>
          <w:highlight w:val="none"/>
        </w:rPr>
      </w:pPr>
    </w:p>
    <w:p w14:paraId="7431C009">
      <w:pPr>
        <w:jc w:val="center"/>
        <w:rPr>
          <w:rFonts w:hint="default" w:ascii="Times New Roman" w:hAnsi="Times New Roman" w:eastAsia="方正小标宋_GBK" w:cs="Times New Roman"/>
          <w:sz w:val="52"/>
          <w:szCs w:val="52"/>
          <w:highlight w:val="none"/>
        </w:rPr>
      </w:pPr>
    </w:p>
    <w:p w14:paraId="130699BE">
      <w:pPr>
        <w:jc w:val="center"/>
        <w:rPr>
          <w:rFonts w:hint="default" w:ascii="Times New Roman" w:hAnsi="Times New Roman" w:eastAsia="方正小标宋_GBK" w:cs="Times New Roman"/>
          <w:sz w:val="52"/>
          <w:szCs w:val="52"/>
          <w:highlight w:val="none"/>
        </w:rPr>
      </w:pPr>
    </w:p>
    <w:p w14:paraId="4BE8E5C3">
      <w:pPr>
        <w:jc w:val="both"/>
        <w:rPr>
          <w:rFonts w:hint="default" w:ascii="Times New Roman" w:hAnsi="Times New Roman" w:eastAsia="方正小标宋_GBK" w:cs="Times New Roman"/>
          <w:sz w:val="52"/>
          <w:szCs w:val="52"/>
          <w:highlight w:val="none"/>
        </w:rPr>
      </w:pPr>
    </w:p>
    <w:p w14:paraId="65B13B4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岳阳市老干部活动服务中心</w:t>
      </w:r>
    </w:p>
    <w:p w14:paraId="770C46B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整体支出绩效自评报告</w:t>
      </w:r>
    </w:p>
    <w:p w14:paraId="12D77F2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1560783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0772AEA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5872720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1FDACFC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66648BE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1521BFC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60A9F2A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6998D99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部门（单位）名称：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>岳阳市老干部活动服务中心</w:t>
      </w:r>
    </w:p>
    <w:p w14:paraId="3A089953">
      <w:pPr>
        <w:jc w:val="center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楷体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楷体_GB2312" w:cs="Times New Roman"/>
          <w:sz w:val="32"/>
          <w:szCs w:val="32"/>
          <w:highlight w:val="none"/>
          <w:lang w:val="en-US" w:eastAsia="zh-CN"/>
        </w:rPr>
        <w:t>24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日</w:t>
      </w:r>
    </w:p>
    <w:p w14:paraId="7E954BA9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br w:type="page"/>
      </w:r>
    </w:p>
    <w:p w14:paraId="1FDA053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部门（单位）基本情况</w:t>
      </w:r>
    </w:p>
    <w:p w14:paraId="2B23B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（一）职能职责</w:t>
      </w:r>
    </w:p>
    <w:p w14:paraId="6B1B2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1、负责贯彻执行党和政府关于老干部工作的方针、政策，做好住所离退休干部及遗孀的管理、服务工作。(国发[1978]104号)</w:t>
      </w:r>
    </w:p>
    <w:p w14:paraId="794B6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2、负责加强住所离退休干部和在职工作人员思想政治工作，组织开展健康有益的活动。(国发[1980]253号)</w:t>
      </w:r>
    </w:p>
    <w:p w14:paraId="749C7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3、负责协调住所离休干部与原工作单位的关系，落实好住所离休干部的政治待遇和生活待遇，做好医疗保健工作。(国发[1978]104号)</w:t>
      </w:r>
    </w:p>
    <w:p w14:paraId="448BB59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负责本单位国有资产管理，改善离退休干部活动场所，提高社会化服务保障水平。(国发[1980]253号)</w:t>
      </w:r>
    </w:p>
    <w:p w14:paraId="083434C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服务管理老干部活动中心各场馆，组织全市老干部开展各类娱乐、健身活动等。</w:t>
      </w:r>
    </w:p>
    <w:p w14:paraId="7151C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（二）机构设置 1、内设机构设置 岳阳市老干部活动服务中心属于独立核算全额拨款的（参公）事业二级单位，单位内设机构包括：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综合服务部、</w:t>
      </w:r>
      <w:r>
        <w:rPr>
          <w:rFonts w:hint="eastAsia" w:ascii="仿宋_GB2312" w:hAnsi="仿宋_GB2312" w:eastAsia="仿宋_GB2312" w:cs="仿宋_GB2312"/>
          <w:sz w:val="32"/>
          <w:szCs w:val="32"/>
        </w:rPr>
        <w:t>生活服务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活动服务部</w:t>
      </w:r>
      <w:r>
        <w:rPr>
          <w:rFonts w:hint="eastAsia" w:ascii="仿宋_GB2312" w:hAnsi="仿宋_GB2312" w:eastAsia="仿宋_GB2312" w:cs="仿宋_GB2312"/>
          <w:sz w:val="32"/>
          <w:szCs w:val="32"/>
        </w:rPr>
        <w:t>。现有人员编制1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</w:p>
    <w:p w14:paraId="3FD689B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二、一般公共预算支出情况</w:t>
      </w:r>
    </w:p>
    <w:p w14:paraId="2A902D6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>（一）基本支出情况</w:t>
      </w:r>
    </w:p>
    <w:p w14:paraId="71429D44">
      <w:pPr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基本支出主要是保障机构正常运转、完成日常工作任务而发生的各项支出，包括在职和退休人员工资福利支出、三公经费、水电、办公经费等商品和服务支出。</w:t>
      </w:r>
    </w:p>
    <w:p w14:paraId="010C8A52">
      <w:pPr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、基本支出具体使用情况：工资福利支出为217万；商品和服务支出为84.31万；对个人和家庭的补助为158.31万；资本性支出为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0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万。</w:t>
      </w:r>
    </w:p>
    <w:p w14:paraId="26BF52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、三公经费具体支出情况：我单位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5年三公经费总支出为0万，其中公务接待费0万；公务用车购置及运行维护费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0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万，因公出国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(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境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)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支出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0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万。</w:t>
      </w:r>
    </w:p>
    <w:p w14:paraId="39D5A1B5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>项目支出情况</w:t>
      </w:r>
    </w:p>
    <w:p w14:paraId="01423A53">
      <w:pPr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1、项目资金收支情况分析</w:t>
      </w:r>
    </w:p>
    <w:p w14:paraId="0F48ABEC">
      <w:pPr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2025年年初市财政共安排专项资金24.58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万，其中：活动中心运行费支出24.58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万元，主要用于活动中心运行费；其他类运转项目经费0万元。</w:t>
      </w:r>
    </w:p>
    <w:p w14:paraId="65E1E1C2">
      <w:pPr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2、专项资金实际使用情况分析</w:t>
      </w:r>
    </w:p>
    <w:p w14:paraId="599EDDBD">
      <w:pPr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2025年共支出专项资金24.58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万，主要是活动中心运行费支出24.58万元，主要用于活动中心运行费。</w:t>
      </w:r>
    </w:p>
    <w:p w14:paraId="0799A3FD">
      <w:pPr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3、专项资金管理情况分析</w:t>
      </w:r>
    </w:p>
    <w:p w14:paraId="145D31A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专项资金实行综合预算，量入为出，专款专用，确保工作顺利开展。制定专项资金管理办法，规范专项资金使用；严格政府采购程序，做到按章办事，规范操作。</w:t>
      </w:r>
    </w:p>
    <w:p w14:paraId="533F3A07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政府性基金预算支出情况</w:t>
      </w:r>
    </w:p>
    <w:p w14:paraId="36A0BEE7">
      <w:pPr>
        <w:pStyle w:val="8"/>
        <w:keepNext w:val="0"/>
        <w:keepLines w:val="0"/>
        <w:widowControl/>
        <w:suppressLineNumbers w:val="0"/>
        <w:spacing w:line="560" w:lineRule="exact"/>
        <w:ind w:left="560" w:leftChars="200" w:firstLine="0" w:firstLineChars="0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本单位无政府性基金预算支出。</w:t>
      </w:r>
    </w:p>
    <w:p w14:paraId="0258F14B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国有资本经营预算支出情况</w:t>
      </w:r>
    </w:p>
    <w:p w14:paraId="340C42D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560" w:leftChars="200" w:right="0" w:firstLine="0" w:firstLineChars="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本单位无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国有资本经营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预算支出。</w:t>
      </w:r>
    </w:p>
    <w:p w14:paraId="7C09C53D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社会保险基金预算支出情况</w:t>
      </w:r>
    </w:p>
    <w:p w14:paraId="3C280F6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560" w:leftChars="200" w:right="0" w:firstLine="0" w:firstLineChars="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本单位无社会保险基金预算支出。</w:t>
      </w:r>
    </w:p>
    <w:p w14:paraId="28B157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六、部门整体支出绩效情况</w:t>
      </w:r>
    </w:p>
    <w:p w14:paraId="30C60740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2025年，我中心在市委老干部局的坚强领导下，以习近平新时代中国特色社会主义思想为指导，紧扣落实省政府真抓实干督查激励措施，践行为民服务宗旨，全面履职尽责，守正创新，真抓实干，较好的完成了各项绩效目标。</w:t>
      </w:r>
    </w:p>
    <w:p w14:paraId="7B0C8650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预算控制率98.15%，财政供养人员控制在预算编制以内。预算执行方面：根据“总量控制、计划管理”的要求从严控制行政经费，压缩公务费开支，严格控制“三公”经费，支出总额控制在预算总额以内。</w:t>
      </w:r>
    </w:p>
    <w:p w14:paraId="5A5927C7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预算管理方面：切实有效地执行了各项财务管理制度、车辆、资产内部管理制度，资产配置严格政府采购，按照预算科目规定使用财政资金，保障资金支出的规范化、制度化，项目资金坚持按专项资金管理制度有效执行，确保专款专用；</w:t>
      </w:r>
    </w:p>
    <w:p w14:paraId="788BD29F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履职效能方面：一是坚持党建引领，建设清廉机关，二是全面真抓实干，纵深推进重点改革，三是贴近服务民生，创新拓展经办服务，四是坚持问题导向，全面加强自身建设，群众满意度达到95%以上。</w:t>
      </w:r>
    </w:p>
    <w:p w14:paraId="3C14A3B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七、存在的问题及原因分析</w:t>
      </w:r>
    </w:p>
    <w:p w14:paraId="7ACF22DE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default" w:ascii="Times New Roman" w:hAnsi="Times New Roman" w:eastAsia="楷体_GB2312" w:cs="Times New Roman"/>
          <w:b/>
          <w:bCs w:val="0"/>
          <w:sz w:val="32"/>
          <w:szCs w:val="32"/>
          <w:lang w:val="en-US"/>
        </w:rPr>
      </w:pPr>
      <w:r>
        <w:rPr>
          <w:rFonts w:hint="eastAsia" w:ascii="Times New Roman" w:hAnsi="Times New Roman" w:eastAsia="楷体_GB2312" w:cs="楷体_GB2312"/>
          <w:b/>
          <w:bCs w:val="0"/>
          <w:kern w:val="0"/>
          <w:sz w:val="32"/>
          <w:szCs w:val="32"/>
          <w:lang w:val="en-US" w:eastAsia="zh-CN" w:bidi="ar"/>
        </w:rPr>
        <w:t>（一）履职效能方面：绩效评价人员匮乏，绩效意识薄弱、专业能力不足</w:t>
      </w:r>
    </w:p>
    <w:p w14:paraId="6D5B98AE">
      <w:pPr>
        <w:pStyle w:val="3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480" w:lineRule="atLeast"/>
        <w:ind w:left="0" w:right="0"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目前各级政府部门均未设置预算绩效管理部门，无人员配备，大部分是由财务人员兼职，时间和精力分配不足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/>
        </w:rPr>
        <w:t>;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同时，财务人员大多是会计、财务管理、经济学等专业，而绩效评价工作人员不仅需要掌握财经知识，还要熟悉相关政策、了解财政、预算、项目业务，这就要求必须具备管理学、法学、统计学、工程学等方面的知识，并持续更新知识体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/>
        </w:rPr>
        <w:t>;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另外，第三方评价机构对行业部门业务不熟，技术支撑力量不足，需要积极开展培育并引导规范。</w:t>
      </w:r>
    </w:p>
    <w:p w14:paraId="7A54F086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default" w:ascii="Times New Roman" w:hAnsi="Times New Roman" w:eastAsia="楷体_GB2312" w:cs="Times New Roman"/>
          <w:b/>
          <w:bCs w:val="0"/>
          <w:sz w:val="32"/>
          <w:szCs w:val="32"/>
          <w:lang w:val="en-US"/>
        </w:rPr>
      </w:pPr>
      <w:r>
        <w:rPr>
          <w:rFonts w:hint="eastAsia" w:ascii="Times New Roman" w:hAnsi="Times New Roman" w:eastAsia="楷体_GB2312" w:cs="楷体_GB2312"/>
          <w:b/>
          <w:bCs w:val="0"/>
          <w:kern w:val="0"/>
          <w:sz w:val="32"/>
          <w:szCs w:val="32"/>
          <w:lang w:val="en-US" w:eastAsia="zh-CN" w:bidi="ar"/>
        </w:rPr>
        <w:t>（二）预算和绩效管理方面：绩效目标编制不规范，设定不完整</w:t>
      </w:r>
    </w:p>
    <w:p w14:paraId="1F7C1950">
      <w:pPr>
        <w:pStyle w:val="3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480" w:lineRule="atLeast"/>
        <w:ind w:left="0" w:right="0" w:firstLine="640" w:firstLineChars="200"/>
        <w:rPr>
          <w:rFonts w:hint="default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绩效目标是项目立项、预算执行、绩效评价的依据。现阶段缺乏对资金使用效果、效率、预算执行刚性约束等动态情况具体、有针对性的考量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/>
        </w:rPr>
        <w:t>;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部分资金仍未按要求设定绩效目标或设定不完整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/>
        </w:rPr>
        <w:t>;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绩效目标的设定较为空洞，指标没有细化量化，可衡量性不强，甚至存在不合理现象：如重投入轻效益、关键指标设定低于规划要求、量化指标与项目内容无关、目标设置不能体现总体目标实现程度或与计划数、投资额不匹配。</w:t>
      </w:r>
    </w:p>
    <w:p w14:paraId="578CD42F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default" w:ascii="Times New Roman" w:hAnsi="Times New Roman" w:eastAsia="楷体_GB2312" w:cs="Times New Roman"/>
          <w:b/>
          <w:bCs w:val="0"/>
          <w:sz w:val="32"/>
          <w:szCs w:val="32"/>
          <w:lang w:val="en-US"/>
        </w:rPr>
      </w:pPr>
      <w:r>
        <w:rPr>
          <w:rFonts w:hint="eastAsia" w:ascii="Times New Roman" w:hAnsi="Times New Roman" w:eastAsia="楷体_GB2312" w:cs="楷体_GB2312"/>
          <w:b/>
          <w:bCs w:val="0"/>
          <w:kern w:val="0"/>
          <w:sz w:val="32"/>
          <w:szCs w:val="32"/>
          <w:lang w:val="en-US" w:eastAsia="zh-CN" w:bidi="ar"/>
        </w:rPr>
        <w:t>（三）资金分配使用和管理方面</w:t>
      </w:r>
    </w:p>
    <w:p w14:paraId="57C5D920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资金分配与项目预算不匹配，使用过程中与压缩财政一般性支出要求不相适。资金分配由财政主导，行业部门需根据政府财力获取分配资金，目前各级各部门存在经费保障不足的困境，政府出台了相关措施压缩经费支出，造成与使用过程中不相适应的局面。</w:t>
      </w:r>
    </w:p>
    <w:p w14:paraId="29B90CDC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default" w:ascii="Times New Roman" w:hAnsi="Times New Roman" w:eastAsia="楷体_GB2312" w:cs="Times New Roman"/>
          <w:b/>
          <w:bCs w:val="0"/>
          <w:sz w:val="32"/>
          <w:szCs w:val="32"/>
          <w:lang w:val="en-US"/>
        </w:rPr>
      </w:pPr>
      <w:r>
        <w:rPr>
          <w:rFonts w:hint="eastAsia" w:ascii="Times New Roman" w:hAnsi="Times New Roman" w:eastAsia="楷体_GB2312" w:cs="楷体_GB2312"/>
          <w:b/>
          <w:bCs w:val="0"/>
          <w:kern w:val="0"/>
          <w:sz w:val="32"/>
          <w:szCs w:val="32"/>
          <w:lang w:val="en-US" w:eastAsia="zh-CN" w:bidi="ar"/>
        </w:rPr>
        <w:t>（四）资产和财务管理与政府采购方面</w:t>
      </w:r>
    </w:p>
    <w:p w14:paraId="6E805A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资产采购不够科学。在实际预算执行中，全年实际执行与年初编制预算会存在一定偏差。部分资产管理存在报废年限长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25203BB4"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下一步改进措施</w:t>
      </w:r>
    </w:p>
    <w:p w14:paraId="793C48C1">
      <w:pPr>
        <w:pStyle w:val="3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480" w:lineRule="atLeast"/>
        <w:ind w:left="0" w:right="0" w:firstLine="420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/>
        </w:rPr>
      </w:pPr>
      <w:r>
        <w:rPr>
          <w:rFonts w:hint="eastAsia" w:ascii="Times New Roman" w:hAnsi="Times New Roman" w:eastAsia="楷体_GB2312" w:cs="楷体_GB2312"/>
          <w:b/>
          <w:bCs w:val="0"/>
          <w:color w:val="auto"/>
          <w:sz w:val="32"/>
          <w:szCs w:val="32"/>
          <w:shd w:val="clear" w:color="auto" w:fill="FFFFFF"/>
          <w:lang w:eastAsia="zh-CN"/>
        </w:rPr>
        <w:t>（一）加快基层队伍建设，提高绩效意识和管理人员专业水平。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增设专门的机构来对预算绩效做管理，并配置相应的人员编制，引入第三方机构，并做好专家和第三方机构的交流和监管。强化专业培训，工作调研，学习交流等措施，培养“一专多能”的复合型人才，重点让主要领导和分管负责人参与到培训中来。</w:t>
      </w:r>
    </w:p>
    <w:p w14:paraId="76659745">
      <w:pPr>
        <w:pStyle w:val="3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480" w:lineRule="atLeast"/>
        <w:ind w:left="0" w:right="0" w:firstLine="420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/>
        </w:rPr>
      </w:pPr>
      <w:r>
        <w:rPr>
          <w:rFonts w:hint="eastAsia" w:ascii="Times New Roman" w:hAnsi="Times New Roman" w:eastAsia="楷体_GB2312" w:cs="楷体_GB2312"/>
          <w:b/>
          <w:bCs w:val="0"/>
          <w:color w:val="auto"/>
          <w:sz w:val="32"/>
          <w:szCs w:val="32"/>
          <w:shd w:val="clear" w:color="auto" w:fill="FFFFFF"/>
          <w:lang w:eastAsia="zh-CN"/>
        </w:rPr>
        <w:t>（二）强化绩效目标管理，践行相关程序。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绩效目标要随文下达，有项目就有绩效目标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/>
        </w:rPr>
        <w:t>;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在事前绩效评估和项目评审的基础上，按照具体可衡量、关联可细化、现实可达到、轻重相匹配的原则系统分析，科学设立绩效目标，反映资金活动的范围、方向与效果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/>
        </w:rPr>
        <w:t>;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特别要设计一些反映项目内容与成果的指向性指标，以直观判断项目实施效果，避免项目单位利用已有成果</w:t>
      </w:r>
    </w:p>
    <w:p w14:paraId="157796F5">
      <w:pPr>
        <w:pStyle w:val="3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480" w:lineRule="atLeast"/>
        <w:ind w:left="0" w:right="0" w:firstLine="420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/>
        </w:rPr>
      </w:pPr>
      <w:r>
        <w:rPr>
          <w:rFonts w:hint="eastAsia" w:ascii="Times New Roman" w:hAnsi="Times New Roman" w:eastAsia="楷体_GB2312" w:cs="楷体_GB2312"/>
          <w:b/>
          <w:bCs w:val="0"/>
          <w:color w:val="auto"/>
          <w:sz w:val="32"/>
          <w:szCs w:val="32"/>
          <w:shd w:val="clear" w:color="auto" w:fill="FFFFFF"/>
          <w:lang w:eastAsia="zh-CN"/>
        </w:rPr>
        <w:t>（三）科学分配预算资金，切实有效保障资金供给。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需财政部门加强开源节流，充分保障单位人员经费和公用经费开支，项目设定后严格按年初计划予以保障，以便工作能顺利开展。</w:t>
      </w:r>
    </w:p>
    <w:p w14:paraId="289A23BC">
      <w:pPr>
        <w:pStyle w:val="3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480" w:lineRule="atLeast"/>
        <w:ind w:left="0" w:right="0" w:firstLine="42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楷体_GB2312"/>
          <w:b/>
          <w:bCs w:val="0"/>
          <w:color w:val="auto"/>
          <w:sz w:val="32"/>
          <w:szCs w:val="32"/>
          <w:shd w:val="clear" w:color="auto" w:fill="FFFFFF"/>
          <w:lang w:eastAsia="zh-CN"/>
        </w:rPr>
        <w:t>（四）全面编制预算，充分运用信息化手段不断完善资产管理水平。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严格加强政府采购预算管理工作，政府采购预算编制是否科学、规范，采购项目是否完善、细致直接关系到整个政府采购活动的质量。优化政府采购预算的编制，将预计的省市、其他资金等全口径进行预算，细化采购项目预算的编制工作，制定切实可行的采购计划，增强采购的计划性，减少随意性。</w:t>
      </w:r>
    </w:p>
    <w:p w14:paraId="61C6F5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九、部门整体支出绩效自评结果拟应用和公开情况</w:t>
      </w:r>
    </w:p>
    <w:p w14:paraId="7A9387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按要求予以公开</w:t>
      </w:r>
    </w:p>
    <w:p w14:paraId="0A5924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报告需要以下附件：</w:t>
      </w:r>
    </w:p>
    <w:p w14:paraId="17D33E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部门整体支出绩效评价基础数据表</w:t>
      </w:r>
    </w:p>
    <w:p w14:paraId="65D1A5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部门整体支出绩效自评表</w:t>
      </w:r>
    </w:p>
    <w:p w14:paraId="20C68F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项目支出绩效自评表（一个一级项目支出一张表）</w:t>
      </w:r>
    </w:p>
    <w:p w14:paraId="2A1D94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政府性基金预算支出情况表</w:t>
      </w:r>
    </w:p>
    <w:p w14:paraId="2F00DE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国有资本经营预算支出情况表</w:t>
      </w:r>
    </w:p>
    <w:p w14:paraId="6B3262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社会保险基金预算支出情况表</w:t>
      </w:r>
    </w:p>
    <w:p w14:paraId="325996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br w:type="page"/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5</w:t>
      </w:r>
    </w:p>
    <w:p w14:paraId="6EEF34F5">
      <w:pPr>
        <w:spacing w:before="120" w:beforeLines="50" w:after="120" w:afterLines="50"/>
        <w:jc w:val="center"/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部门整体支出</w:t>
      </w:r>
      <w:r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highlight w:val="none"/>
        </w:rPr>
        <w:t>绩效自评工作考核评分表</w:t>
      </w:r>
    </w:p>
    <w:tbl>
      <w:tblPr>
        <w:tblStyle w:val="4"/>
        <w:tblW w:w="994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174"/>
        <w:gridCol w:w="5000"/>
        <w:gridCol w:w="3022"/>
      </w:tblGrid>
      <w:tr w14:paraId="50A30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C93B7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F5534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5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F186B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highlight w:val="none"/>
              </w:rPr>
              <w:t>评分标准</w:t>
            </w:r>
          </w:p>
        </w:tc>
        <w:tc>
          <w:tcPr>
            <w:tcW w:w="3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630C67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highlight w:val="none"/>
              </w:rPr>
              <w:t>所需佐证材料</w:t>
            </w:r>
          </w:p>
        </w:tc>
      </w:tr>
      <w:tr w14:paraId="4CCE2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54890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布置工作</w:t>
            </w:r>
          </w:p>
          <w:p w14:paraId="4542C3A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</w:p>
          <w:p w14:paraId="77CBFB48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10分</w:t>
            </w:r>
          </w:p>
        </w:tc>
        <w:tc>
          <w:tcPr>
            <w:tcW w:w="1174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BF998C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自评通知</w:t>
            </w:r>
          </w:p>
          <w:p w14:paraId="53424A3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（8分）</w:t>
            </w:r>
          </w:p>
        </w:tc>
        <w:tc>
          <w:tcPr>
            <w:tcW w:w="5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C15596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印发绩效自评通知的得2分，否则不得分。</w:t>
            </w:r>
          </w:p>
          <w:p w14:paraId="1BA15AF4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按照本规程规定，绩效自评通知包括自评范围、自评主要依据、自评主要内容、自评程序和步骤、有关要求等内容，并附有本通知要求的附件的，得6分；否则缺1项扣1分，最多扣6分。</w:t>
            </w:r>
          </w:p>
        </w:tc>
        <w:tc>
          <w:tcPr>
            <w:tcW w:w="3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EAFB1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绩效自评通知盖章的电子版</w:t>
            </w:r>
          </w:p>
        </w:tc>
      </w:tr>
      <w:tr w14:paraId="05059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FB90D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E3E9F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工作小组</w:t>
            </w:r>
          </w:p>
          <w:p w14:paraId="0E47C18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（2分）</w:t>
            </w:r>
          </w:p>
        </w:tc>
        <w:tc>
          <w:tcPr>
            <w:tcW w:w="5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866DD9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成立绩效自评工作小组的得2分，否则不得分。</w:t>
            </w:r>
          </w:p>
        </w:tc>
        <w:tc>
          <w:tcPr>
            <w:tcW w:w="3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488716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本部门、本单位预算绩效管理领导小组</w:t>
            </w:r>
            <w:r>
              <w:rPr>
                <w:rFonts w:hint="default" w:ascii="Times New Roman" w:hAnsi="Times New Roman" w:eastAsia="仿宋_GB2312" w:cs="Times New Roman"/>
                <w:spacing w:val="0"/>
                <w:sz w:val="20"/>
                <w:szCs w:val="20"/>
                <w:highlight w:val="no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绩效评价工作小组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有关</w:t>
            </w:r>
            <w:r>
              <w:rPr>
                <w:rFonts w:hint="default" w:ascii="Times New Roman" w:hAnsi="Times New Roman" w:eastAsia="仿宋_GB2312" w:cs="Times New Roman"/>
                <w:spacing w:val="0"/>
                <w:sz w:val="20"/>
                <w:szCs w:val="20"/>
                <w:highlight w:val="none"/>
              </w:rPr>
              <w:t>文件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盖章的电子版</w:t>
            </w:r>
          </w:p>
        </w:tc>
      </w:tr>
      <w:tr w14:paraId="4C416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AFD68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实施评价</w:t>
            </w:r>
          </w:p>
          <w:p w14:paraId="79EA1C2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</w:p>
          <w:p w14:paraId="457E347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20分</w:t>
            </w: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9247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单位自查</w:t>
            </w:r>
          </w:p>
          <w:p w14:paraId="390EA05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5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6E777A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市级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预算部门本级和所属单位都要开展绩效自查，转移支付项目单位都要开展绩效自查，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县、区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级主管部门都要汇总本区域转移支付情况；以上各项每发现一个单位没有做相应工作的，扣1分，最多扣10分。</w:t>
            </w:r>
          </w:p>
        </w:tc>
        <w:tc>
          <w:tcPr>
            <w:tcW w:w="3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0B118E">
            <w:pPr>
              <w:numPr>
                <w:ilvl w:val="0"/>
                <w:numId w:val="6"/>
              </w:num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转移支付项目单位名称和资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金情况清单</w:t>
            </w:r>
          </w:p>
          <w:p w14:paraId="0867D69F">
            <w:pPr>
              <w:numPr>
                <w:ilvl w:val="0"/>
                <w:numId w:val="6"/>
              </w:num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有转移支付资金的各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县区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主管部门汇总情况的盖章PDF版　</w:t>
            </w:r>
          </w:p>
        </w:tc>
      </w:tr>
      <w:tr w14:paraId="78533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C7A01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AF42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提交报告</w:t>
            </w:r>
          </w:p>
          <w:p w14:paraId="2AAB973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80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25AA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按时向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市财政局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报送报告的得10分；每推迟一个工作日报送报告的扣1分，最多扣10分。</w:t>
            </w:r>
          </w:p>
        </w:tc>
      </w:tr>
      <w:tr w14:paraId="75995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3FCC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自评报告</w:t>
            </w:r>
          </w:p>
          <w:p w14:paraId="1C4D51E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</w:p>
          <w:p w14:paraId="7E5038C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70分</w:t>
            </w: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BE4E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完整性</w:t>
            </w:r>
          </w:p>
          <w:p w14:paraId="5C72870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（15分）</w:t>
            </w:r>
          </w:p>
        </w:tc>
        <w:tc>
          <w:tcPr>
            <w:tcW w:w="80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B65CD3">
            <w:pPr>
              <w:spacing w:line="24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绩效自评报告正文部分内容齐全的，得8分；否则每少一个部分扣2分，最多扣8分。</w:t>
            </w:r>
          </w:p>
          <w:p w14:paraId="4EC12D46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绩效自评报告附件部分内容齐全的，得7分；否则每少一个部分扣2分，最多扣7分。</w:t>
            </w:r>
          </w:p>
        </w:tc>
      </w:tr>
      <w:tr w14:paraId="7CCA9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3" w:hRule="atLeast"/>
          <w:jc w:val="center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1046C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C9995E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绩效</w:t>
            </w:r>
          </w:p>
          <w:p w14:paraId="1A5DC11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自评表</w:t>
            </w:r>
          </w:p>
          <w:p w14:paraId="3709306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（20分）</w:t>
            </w:r>
          </w:p>
        </w:tc>
        <w:tc>
          <w:tcPr>
            <w:tcW w:w="80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125179">
            <w:pPr>
              <w:spacing w:line="24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1、部门整体支出和项目支出绩效指标反映产出、效益、服务对象满意度方面的指标和预算执行率的权重符合《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岳阳市市级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预算部门绩效自评操作规程》要求的，得5分，否则按比例扣除相应的分数。</w:t>
            </w:r>
          </w:p>
          <w:p w14:paraId="7622EE98">
            <w:pPr>
              <w:spacing w:line="24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部门整体支出和项目支出绩效指标全部细化到三级指标的，得5分；部分细化的，酌情扣分；没有细化的，不得分。</w:t>
            </w:r>
          </w:p>
          <w:p w14:paraId="00711665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部门整体支出和项目支出三级绩效指标内涵明确、具体、可衡量的得5分；突出核心指标，精简实用的得3分；指标与部门整体支出和项目支出密切相关，全面反映产出和效益的得2分；否则，每项酌情扣分，最多扣10分。</w:t>
            </w:r>
          </w:p>
        </w:tc>
      </w:tr>
      <w:tr w14:paraId="4B091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  <w:jc w:val="center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ECDD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A4364"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  <w:p w14:paraId="0D24271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反映问</w:t>
            </w:r>
          </w:p>
          <w:p w14:paraId="79F0D0E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题情况</w:t>
            </w:r>
          </w:p>
          <w:p w14:paraId="652A787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（20分）</w:t>
            </w:r>
          </w:p>
        </w:tc>
        <w:tc>
          <w:tcPr>
            <w:tcW w:w="80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85DA14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从预算和预算绩效管理，部门履职效能，资金分配、使用和管理，资产和财务管理，政府采购等方面归纳问题、分析原因全面的，得20分；反映问题、分析原因较全面的，得16—18分；反映问题、分析原因不全面的，得13—15分；问题未归纳且过于简单的，得10—12分；只提出资金不足问题的不得分；其他情况酌情扣分。　</w:t>
            </w:r>
          </w:p>
        </w:tc>
      </w:tr>
      <w:tr w14:paraId="0D5D4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1A212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4A2DA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建议情况</w:t>
            </w:r>
          </w:p>
          <w:p w14:paraId="2B19CC4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（15分）</w:t>
            </w:r>
          </w:p>
        </w:tc>
        <w:tc>
          <w:tcPr>
            <w:tcW w:w="80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1EB338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建议与问题对应且全面的得15分，建议比较全面的得12—14分，建议不全面的得9—11分，建议过于简单的得6—8分，只提出加大资金投入建议的不得分；其他情况酌情扣分。</w:t>
            </w:r>
          </w:p>
        </w:tc>
      </w:tr>
      <w:tr w14:paraId="3ED05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0559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合计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B30B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100分</w:t>
            </w:r>
          </w:p>
        </w:tc>
        <w:tc>
          <w:tcPr>
            <w:tcW w:w="8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16FB6"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</w:tr>
    </w:tbl>
    <w:p w14:paraId="6FDED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36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337B0F"/>
    <w:multiLevelType w:val="singleLevel"/>
    <w:tmpl w:val="93337B0F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464F110"/>
    <w:multiLevelType w:val="singleLevel"/>
    <w:tmpl w:val="3464F110"/>
    <w:lvl w:ilvl="0" w:tentative="0">
      <w:start w:val="4"/>
      <w:numFmt w:val="decimal"/>
      <w:suff w:val="nothing"/>
      <w:lvlText w:val="%1、"/>
      <w:lvlJc w:val="left"/>
    </w:lvl>
  </w:abstractNum>
  <w:abstractNum w:abstractNumId="2">
    <w:nsid w:val="5DDF8822"/>
    <w:multiLevelType w:val="singleLevel"/>
    <w:tmpl w:val="5DDF882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6694D08"/>
    <w:multiLevelType w:val="singleLevel"/>
    <w:tmpl w:val="66694D08"/>
    <w:lvl w:ilvl="0" w:tentative="0">
      <w:start w:val="1"/>
      <w:numFmt w:val="chineseCounting"/>
      <w:suff w:val="nothing"/>
      <w:lvlText w:val="%1、"/>
      <w:lvlJc w:val="left"/>
    </w:lvl>
  </w:abstractNum>
  <w:abstractNum w:abstractNumId="4">
    <w:nsid w:val="66694D6D"/>
    <w:multiLevelType w:val="singleLevel"/>
    <w:tmpl w:val="66694D6D"/>
    <w:lvl w:ilvl="0" w:tentative="0">
      <w:start w:val="2"/>
      <w:numFmt w:val="chineseCounting"/>
      <w:suff w:val="nothing"/>
      <w:lvlText w:val="（%1）"/>
      <w:lvlJc w:val="left"/>
    </w:lvl>
  </w:abstractNum>
  <w:abstractNum w:abstractNumId="5">
    <w:nsid w:val="66694DB5"/>
    <w:multiLevelType w:val="singleLevel"/>
    <w:tmpl w:val="66694DB5"/>
    <w:lvl w:ilvl="0" w:tentative="0">
      <w:start w:val="3"/>
      <w:numFmt w:val="chineseCounting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mYzRiMzI4ZTE5Mzg4NjRkMDhhZTRmNDRmMWE3NWIifQ=="/>
  </w:docVars>
  <w:rsids>
    <w:rsidRoot w:val="59886344"/>
    <w:rsid w:val="00BC423D"/>
    <w:rsid w:val="01777A67"/>
    <w:rsid w:val="06D046E5"/>
    <w:rsid w:val="09BF53FE"/>
    <w:rsid w:val="0AF321F9"/>
    <w:rsid w:val="0FF33810"/>
    <w:rsid w:val="10B97124"/>
    <w:rsid w:val="235E7D4D"/>
    <w:rsid w:val="24376CA0"/>
    <w:rsid w:val="2D0071DC"/>
    <w:rsid w:val="319A6FB8"/>
    <w:rsid w:val="373D289B"/>
    <w:rsid w:val="38885DCA"/>
    <w:rsid w:val="3A7F4DEA"/>
    <w:rsid w:val="41101CBF"/>
    <w:rsid w:val="4394332B"/>
    <w:rsid w:val="46E050BD"/>
    <w:rsid w:val="488D5250"/>
    <w:rsid w:val="4ABD198D"/>
    <w:rsid w:val="4C0B1528"/>
    <w:rsid w:val="502E159E"/>
    <w:rsid w:val="52102545"/>
    <w:rsid w:val="59886344"/>
    <w:rsid w:val="60222654"/>
    <w:rsid w:val="61B14240"/>
    <w:rsid w:val="662E652B"/>
    <w:rsid w:val="6D854812"/>
    <w:rsid w:val="73873811"/>
    <w:rsid w:val="DFEF88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宋体" w:cs="Times New Roman"/>
      <w:kern w:val="0"/>
      <w:sz w:val="28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100" w:beforeAutospacing="1" w:after="100" w:afterAutospacing="1"/>
      <w:ind w:left="0" w:right="0"/>
      <w:jc w:val="left"/>
    </w:pPr>
    <w:rPr>
      <w:rFonts w:hint="eastAsia" w:ascii="仿宋" w:hAnsi="仿宋" w:eastAsia="宋体" w:cs="Times New Roman"/>
      <w:kern w:val="0"/>
      <w:sz w:val="24"/>
      <w:szCs w:val="24"/>
      <w:lang w:val="en-US" w:eastAsia="zh-CN" w:bidi="ar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paragraph" w:customStyle="1" w:styleId="7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8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0"/>
      <w:sz w:val="28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5309</Words>
  <Characters>5726</Characters>
  <Lines>0</Lines>
  <Paragraphs>0</Paragraphs>
  <TotalTime>3</TotalTime>
  <ScaleCrop>false</ScaleCrop>
  <LinksUpToDate>false</LinksUpToDate>
  <CharactersWithSpaces>6009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2024-03-18T08:36:00Z</dcterms:created>
  <dc:creator>Administrator</dc:creator>
  <cp:lastModifiedBy>谭许辰</cp:lastModifiedBy>
  <dcterms:modified xsi:type="dcterms:W3CDTF">2026-09-16T02:30:17Z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882C2706526B461D9718A541FE0A26C0_13</vt:lpwstr>
  </property>
  <property fmtid="{D5CDD505-2E9C-101B-9397-08002B2CF9AE}" pid="4" name="KSOTemplateDocerSaveRecord">
    <vt:lpwstr>eyJoZGlkIjoiMjI4YTgyYWNjNTJjODhkNzVjOTlhMzFlYTdlMDU0YjEiLCJ1c2VySWQiOiIyMDUxNTcyMzEifQ==</vt:lpwstr>
  </property>
</Properties>
</file>