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727D1">
      <w:pPr>
        <w:snapToGrid w:val="0"/>
        <w:spacing w:line="640" w:lineRule="exact"/>
        <w:jc w:val="center"/>
        <w:rPr>
          <w:rFonts w:eastAsia="方正小标宋简体"/>
          <w:sz w:val="44"/>
          <w:szCs w:val="44"/>
        </w:rPr>
      </w:pPr>
    </w:p>
    <w:p w14:paraId="10658E7B">
      <w:pPr>
        <w:snapToGrid w:val="0"/>
        <w:spacing w:line="640" w:lineRule="exact"/>
        <w:jc w:val="center"/>
        <w:rPr>
          <w:rFonts w:eastAsia="方正小标宋简体"/>
          <w:sz w:val="44"/>
          <w:szCs w:val="44"/>
        </w:rPr>
      </w:pPr>
    </w:p>
    <w:p w14:paraId="287A450D">
      <w:pPr>
        <w:snapToGrid w:val="0"/>
        <w:spacing w:line="640" w:lineRule="exact"/>
        <w:jc w:val="center"/>
        <w:rPr>
          <w:rFonts w:eastAsia="方正小标宋简体"/>
          <w:sz w:val="44"/>
          <w:szCs w:val="44"/>
        </w:rPr>
      </w:pPr>
      <w:r>
        <w:rPr>
          <w:rFonts w:eastAsia="方正小标宋简体"/>
          <w:sz w:val="44"/>
          <w:szCs w:val="44"/>
        </w:rPr>
        <w:t>202</w:t>
      </w:r>
      <w:r>
        <w:rPr>
          <w:rFonts w:hint="eastAsia" w:eastAsia="方正小标宋简体"/>
          <w:sz w:val="44"/>
          <w:szCs w:val="44"/>
        </w:rPr>
        <w:t>5</w:t>
      </w:r>
      <w:r>
        <w:rPr>
          <w:rFonts w:eastAsia="方正小标宋简体"/>
          <w:sz w:val="44"/>
          <w:szCs w:val="44"/>
        </w:rPr>
        <w:t>年度岳阳市住房公积金管理中心</w:t>
      </w:r>
    </w:p>
    <w:p w14:paraId="3CE8D81E">
      <w:pPr>
        <w:jc w:val="center"/>
        <w:rPr>
          <w:rFonts w:eastAsia="方正小标宋简体"/>
          <w:sz w:val="44"/>
          <w:szCs w:val="44"/>
        </w:rPr>
      </w:pPr>
      <w:r>
        <w:rPr>
          <w:rFonts w:eastAsia="方正小标宋简体"/>
          <w:sz w:val="44"/>
          <w:szCs w:val="44"/>
        </w:rPr>
        <w:t>整体支出绩效自评报告</w:t>
      </w:r>
    </w:p>
    <w:p w14:paraId="6AA3F7AF">
      <w:pPr>
        <w:jc w:val="center"/>
        <w:rPr>
          <w:rFonts w:eastAsia="方正小标宋_GBK"/>
          <w:b/>
          <w:sz w:val="52"/>
          <w:szCs w:val="52"/>
        </w:rPr>
      </w:pPr>
    </w:p>
    <w:p w14:paraId="4AC1F9F9">
      <w:pPr>
        <w:jc w:val="center"/>
        <w:rPr>
          <w:rFonts w:eastAsia="楷体_GB2312"/>
          <w:b/>
          <w:sz w:val="32"/>
          <w:szCs w:val="32"/>
        </w:rPr>
      </w:pPr>
    </w:p>
    <w:p w14:paraId="31FB61B2">
      <w:pPr>
        <w:jc w:val="center"/>
        <w:rPr>
          <w:rFonts w:eastAsia="楷体_GB2312"/>
          <w:b/>
          <w:sz w:val="32"/>
          <w:szCs w:val="32"/>
        </w:rPr>
      </w:pPr>
    </w:p>
    <w:p w14:paraId="3300CC73">
      <w:pPr>
        <w:jc w:val="center"/>
        <w:rPr>
          <w:rFonts w:eastAsia="楷体_GB2312"/>
          <w:b/>
          <w:sz w:val="32"/>
          <w:szCs w:val="32"/>
        </w:rPr>
      </w:pPr>
    </w:p>
    <w:p w14:paraId="1F0D4759">
      <w:pPr>
        <w:jc w:val="center"/>
        <w:rPr>
          <w:rFonts w:eastAsia="楷体_GB2312"/>
          <w:b/>
          <w:sz w:val="32"/>
          <w:szCs w:val="32"/>
        </w:rPr>
      </w:pPr>
    </w:p>
    <w:p w14:paraId="063576D1">
      <w:pPr>
        <w:jc w:val="center"/>
        <w:rPr>
          <w:rFonts w:eastAsia="楷体_GB2312"/>
          <w:b/>
          <w:sz w:val="32"/>
          <w:szCs w:val="32"/>
        </w:rPr>
      </w:pPr>
    </w:p>
    <w:p w14:paraId="1CBF8FBD">
      <w:pPr>
        <w:jc w:val="center"/>
        <w:rPr>
          <w:rFonts w:eastAsia="楷体_GB2312"/>
          <w:b/>
          <w:sz w:val="32"/>
          <w:szCs w:val="32"/>
        </w:rPr>
      </w:pPr>
    </w:p>
    <w:p w14:paraId="359BCBD6">
      <w:pPr>
        <w:jc w:val="center"/>
        <w:rPr>
          <w:rFonts w:eastAsia="黑体"/>
          <w:sz w:val="32"/>
          <w:szCs w:val="32"/>
        </w:rPr>
      </w:pPr>
    </w:p>
    <w:p w14:paraId="5421C001">
      <w:pPr>
        <w:jc w:val="center"/>
        <w:rPr>
          <w:rFonts w:eastAsia="黑体"/>
          <w:sz w:val="32"/>
          <w:szCs w:val="32"/>
        </w:rPr>
      </w:pPr>
    </w:p>
    <w:p w14:paraId="0E769E3D">
      <w:pPr>
        <w:jc w:val="center"/>
        <w:rPr>
          <w:rFonts w:eastAsia="黑体"/>
          <w:sz w:val="32"/>
          <w:szCs w:val="32"/>
        </w:rPr>
      </w:pPr>
    </w:p>
    <w:p w14:paraId="64618B17">
      <w:pPr>
        <w:jc w:val="center"/>
        <w:rPr>
          <w:rFonts w:eastAsia="黑体"/>
          <w:sz w:val="32"/>
          <w:szCs w:val="32"/>
        </w:rPr>
      </w:pPr>
    </w:p>
    <w:p w14:paraId="6C2D7846">
      <w:pPr>
        <w:jc w:val="center"/>
        <w:rPr>
          <w:rFonts w:eastAsia="黑体"/>
          <w:sz w:val="32"/>
          <w:szCs w:val="32"/>
        </w:rPr>
      </w:pPr>
    </w:p>
    <w:p w14:paraId="6D9D3C72">
      <w:pPr>
        <w:spacing w:line="600" w:lineRule="exact"/>
        <w:jc w:val="center"/>
        <w:rPr>
          <w:rFonts w:eastAsia="仿宋_GB2312"/>
          <w:sz w:val="32"/>
          <w:szCs w:val="32"/>
        </w:rPr>
      </w:pPr>
      <w:r>
        <w:rPr>
          <w:rFonts w:eastAsia="仿宋_GB2312"/>
          <w:sz w:val="32"/>
          <w:szCs w:val="32"/>
        </w:rPr>
        <w:t>岳阳市住房公积金管理中心</w:t>
      </w:r>
    </w:p>
    <w:p w14:paraId="2D765F48">
      <w:pPr>
        <w:spacing w:line="600" w:lineRule="exact"/>
        <w:jc w:val="center"/>
        <w:rPr>
          <w:rFonts w:eastAsia="楷体_GB2312"/>
          <w:sz w:val="32"/>
          <w:szCs w:val="32"/>
        </w:rPr>
      </w:pPr>
      <w:r>
        <w:rPr>
          <w:rFonts w:eastAsia="楷体_GB2312"/>
          <w:sz w:val="32"/>
          <w:szCs w:val="32"/>
        </w:rPr>
        <w:t>202</w:t>
      </w:r>
      <w:r>
        <w:rPr>
          <w:rFonts w:hint="eastAsia" w:ascii="Cambria" w:hAnsi="Cambria" w:eastAsia="楷体_GB2312"/>
          <w:sz w:val="32"/>
          <w:szCs w:val="32"/>
          <w:lang w:val="en-US" w:eastAsia="zh-CN"/>
        </w:rPr>
        <w:t>6</w:t>
      </w:r>
      <w:r>
        <w:rPr>
          <w:rFonts w:eastAsia="楷体_GB2312"/>
          <w:sz w:val="32"/>
          <w:szCs w:val="32"/>
        </w:rPr>
        <w:t>年6月</w:t>
      </w:r>
      <w:r>
        <w:rPr>
          <w:rFonts w:hint="eastAsia" w:eastAsia="楷体_GB2312"/>
          <w:sz w:val="32"/>
          <w:szCs w:val="32"/>
          <w:lang w:val="en-US" w:eastAsia="zh-CN"/>
        </w:rPr>
        <w:t>16</w:t>
      </w:r>
      <w:r>
        <w:rPr>
          <w:rFonts w:eastAsia="楷体_GB2312"/>
          <w:sz w:val="32"/>
          <w:szCs w:val="32"/>
        </w:rPr>
        <w:t>日</w:t>
      </w:r>
    </w:p>
    <w:p w14:paraId="40DEFA65">
      <w:pPr>
        <w:snapToGrid w:val="0"/>
        <w:spacing w:line="640" w:lineRule="exact"/>
        <w:jc w:val="center"/>
        <w:rPr>
          <w:rFonts w:eastAsia="方正小标宋简体"/>
          <w:sz w:val="44"/>
          <w:szCs w:val="44"/>
        </w:rPr>
      </w:pPr>
    </w:p>
    <w:p w14:paraId="4C54B5B1">
      <w:pPr>
        <w:snapToGrid w:val="0"/>
        <w:spacing w:line="640" w:lineRule="exact"/>
        <w:jc w:val="center"/>
        <w:rPr>
          <w:rFonts w:eastAsia="方正小标宋简体"/>
          <w:sz w:val="44"/>
          <w:szCs w:val="44"/>
        </w:rPr>
      </w:pPr>
    </w:p>
    <w:p w14:paraId="088E0847">
      <w:pPr>
        <w:snapToGrid w:val="0"/>
        <w:spacing w:line="640" w:lineRule="exact"/>
        <w:jc w:val="both"/>
        <w:rPr>
          <w:rFonts w:eastAsia="方正小标宋简体"/>
          <w:sz w:val="44"/>
          <w:szCs w:val="44"/>
        </w:rPr>
      </w:pPr>
    </w:p>
    <w:p w14:paraId="34F915F3">
      <w:pPr>
        <w:snapToGrid w:val="0"/>
        <w:spacing w:line="640" w:lineRule="exact"/>
        <w:jc w:val="center"/>
        <w:rPr>
          <w:rFonts w:eastAsia="方正小标宋简体"/>
          <w:sz w:val="44"/>
          <w:szCs w:val="44"/>
        </w:rPr>
      </w:pPr>
      <w:r>
        <w:rPr>
          <w:rFonts w:eastAsia="方正小标宋简体"/>
          <w:sz w:val="44"/>
          <w:szCs w:val="44"/>
        </w:rPr>
        <w:t>202</w:t>
      </w:r>
      <w:r>
        <w:rPr>
          <w:rFonts w:hint="eastAsia" w:eastAsia="方正小标宋简体"/>
          <w:sz w:val="44"/>
          <w:szCs w:val="44"/>
        </w:rPr>
        <w:t>5</w:t>
      </w:r>
      <w:r>
        <w:rPr>
          <w:rFonts w:eastAsia="方正小标宋简体"/>
          <w:sz w:val="44"/>
          <w:szCs w:val="44"/>
        </w:rPr>
        <w:t>年度岳阳市住房公积金管理中心</w:t>
      </w:r>
    </w:p>
    <w:p w14:paraId="321F3B1E">
      <w:pPr>
        <w:jc w:val="center"/>
        <w:rPr>
          <w:rFonts w:eastAsia="方正小标宋简体"/>
          <w:sz w:val="44"/>
          <w:szCs w:val="44"/>
        </w:rPr>
      </w:pPr>
      <w:r>
        <w:rPr>
          <w:rFonts w:eastAsia="方正小标宋简体"/>
          <w:sz w:val="44"/>
          <w:szCs w:val="44"/>
        </w:rPr>
        <w:t>整体支出绩效自评报告</w:t>
      </w:r>
    </w:p>
    <w:p w14:paraId="3BFEA0BE">
      <w:pPr>
        <w:spacing w:line="640" w:lineRule="exact"/>
        <w:ind w:firstLine="640" w:firstLineChars="200"/>
        <w:rPr>
          <w:rFonts w:eastAsia="仿宋_GB2312"/>
          <w:sz w:val="32"/>
          <w:szCs w:val="32"/>
        </w:rPr>
      </w:pPr>
    </w:p>
    <w:p w14:paraId="1BF398BA">
      <w:pPr>
        <w:numPr>
          <w:ilvl w:val="0"/>
          <w:numId w:val="1"/>
        </w:numPr>
        <w:snapToGrid w:val="0"/>
        <w:spacing w:line="578" w:lineRule="exact"/>
        <w:ind w:firstLine="640" w:firstLineChars="200"/>
        <w:rPr>
          <w:rFonts w:eastAsia="黑体"/>
          <w:sz w:val="32"/>
          <w:szCs w:val="32"/>
        </w:rPr>
      </w:pPr>
      <w:r>
        <w:rPr>
          <w:rFonts w:eastAsia="黑体"/>
          <w:sz w:val="32"/>
          <w:szCs w:val="32"/>
        </w:rPr>
        <w:t>部门基本情况</w:t>
      </w:r>
    </w:p>
    <w:p w14:paraId="310DB23A">
      <w:pPr>
        <w:snapToGrid w:val="0"/>
        <w:spacing w:line="578" w:lineRule="exact"/>
        <w:ind w:left="640"/>
        <w:rPr>
          <w:rFonts w:eastAsia="楷体"/>
          <w:sz w:val="32"/>
          <w:szCs w:val="32"/>
        </w:rPr>
      </w:pPr>
      <w:r>
        <w:rPr>
          <w:rFonts w:eastAsia="楷体"/>
          <w:b/>
          <w:bCs/>
          <w:sz w:val="32"/>
          <w:szCs w:val="32"/>
        </w:rPr>
        <w:t>（一）基本</w:t>
      </w:r>
      <w:r>
        <w:rPr>
          <w:rFonts w:hint="eastAsia" w:eastAsia="楷体"/>
          <w:b/>
          <w:bCs/>
          <w:sz w:val="32"/>
          <w:szCs w:val="32"/>
        </w:rPr>
        <w:t>概况</w:t>
      </w:r>
    </w:p>
    <w:p w14:paraId="7CA2D1F8">
      <w:pPr>
        <w:snapToGrid w:val="0"/>
        <w:spacing w:line="578" w:lineRule="exact"/>
        <w:ind w:firstLine="640" w:firstLineChars="200"/>
        <w:rPr>
          <w:rFonts w:eastAsia="黑体"/>
          <w:sz w:val="32"/>
          <w:szCs w:val="32"/>
        </w:rPr>
      </w:pPr>
      <w:r>
        <w:rPr>
          <w:rFonts w:eastAsia="仿宋_GB2312"/>
          <w:sz w:val="32"/>
          <w:szCs w:val="24"/>
        </w:rPr>
        <w:t>岳阳市住房公积金管理中心是岳阳市人民政府直属的正处级公益二类经费自理事业单位，主要负责全市住房公积金的缴存、提取和使用等方面的管理工作，具体职责是：</w:t>
      </w:r>
    </w:p>
    <w:p w14:paraId="391BC54E">
      <w:pPr>
        <w:snapToGrid w:val="0"/>
        <w:spacing w:line="578" w:lineRule="exact"/>
        <w:ind w:firstLine="640" w:firstLineChars="200"/>
        <w:rPr>
          <w:rFonts w:eastAsia="仿宋_GB2312"/>
          <w:sz w:val="32"/>
          <w:szCs w:val="24"/>
        </w:rPr>
      </w:pPr>
      <w:r>
        <w:rPr>
          <w:rFonts w:eastAsia="仿宋_GB2312"/>
          <w:sz w:val="32"/>
          <w:szCs w:val="24"/>
        </w:rPr>
        <w:t>1.编制、执行住房公积金的归集、使用计划；</w:t>
      </w:r>
    </w:p>
    <w:p w14:paraId="388D9B25">
      <w:pPr>
        <w:snapToGrid w:val="0"/>
        <w:spacing w:line="578" w:lineRule="exact"/>
        <w:ind w:firstLine="640" w:firstLineChars="200"/>
        <w:rPr>
          <w:rFonts w:eastAsia="仿宋_GB2312"/>
          <w:sz w:val="32"/>
          <w:szCs w:val="24"/>
        </w:rPr>
      </w:pPr>
      <w:r>
        <w:rPr>
          <w:rFonts w:eastAsia="仿宋_GB2312"/>
          <w:sz w:val="32"/>
          <w:szCs w:val="24"/>
        </w:rPr>
        <w:t>2.负责记载职工住房公积金的缴存、提取、使用等情况；</w:t>
      </w:r>
    </w:p>
    <w:p w14:paraId="07505C08">
      <w:pPr>
        <w:snapToGrid w:val="0"/>
        <w:spacing w:line="578" w:lineRule="exact"/>
        <w:ind w:firstLine="640" w:firstLineChars="200"/>
        <w:rPr>
          <w:rFonts w:eastAsia="仿宋_GB2312"/>
          <w:sz w:val="32"/>
          <w:szCs w:val="24"/>
        </w:rPr>
      </w:pPr>
      <w:r>
        <w:rPr>
          <w:rFonts w:eastAsia="仿宋_GB2312"/>
          <w:sz w:val="32"/>
          <w:szCs w:val="24"/>
        </w:rPr>
        <w:t>3.负责住房公积金的核算；</w:t>
      </w:r>
    </w:p>
    <w:p w14:paraId="7CC12465">
      <w:pPr>
        <w:snapToGrid w:val="0"/>
        <w:spacing w:line="578" w:lineRule="exact"/>
        <w:ind w:firstLine="640" w:firstLineChars="200"/>
        <w:rPr>
          <w:rFonts w:eastAsia="仿宋_GB2312"/>
          <w:sz w:val="32"/>
          <w:szCs w:val="24"/>
        </w:rPr>
      </w:pPr>
      <w:r>
        <w:rPr>
          <w:rFonts w:eastAsia="仿宋_GB2312"/>
          <w:sz w:val="32"/>
          <w:szCs w:val="24"/>
        </w:rPr>
        <w:t>4.审批住房公积金的提取、使用；</w:t>
      </w:r>
    </w:p>
    <w:p w14:paraId="5395AEB7">
      <w:pPr>
        <w:snapToGrid w:val="0"/>
        <w:spacing w:line="578" w:lineRule="exact"/>
        <w:ind w:firstLine="640" w:firstLineChars="200"/>
        <w:rPr>
          <w:rFonts w:eastAsia="仿宋_GB2312"/>
          <w:sz w:val="32"/>
          <w:szCs w:val="24"/>
        </w:rPr>
      </w:pPr>
      <w:r>
        <w:rPr>
          <w:rFonts w:eastAsia="仿宋_GB2312"/>
          <w:sz w:val="32"/>
          <w:szCs w:val="24"/>
        </w:rPr>
        <w:t>5.负责住房公积金的保值和归还；</w:t>
      </w:r>
    </w:p>
    <w:p w14:paraId="6FF5DA1F">
      <w:pPr>
        <w:snapToGrid w:val="0"/>
        <w:spacing w:line="578" w:lineRule="exact"/>
        <w:ind w:firstLine="640" w:firstLineChars="200"/>
        <w:rPr>
          <w:rFonts w:eastAsia="仿宋_GB2312"/>
          <w:sz w:val="32"/>
          <w:szCs w:val="24"/>
        </w:rPr>
      </w:pPr>
      <w:r>
        <w:rPr>
          <w:rFonts w:eastAsia="仿宋_GB2312"/>
          <w:sz w:val="32"/>
          <w:szCs w:val="24"/>
        </w:rPr>
        <w:t>6.编制住房公积金归集、使用计划执行情况的报告；</w:t>
      </w:r>
    </w:p>
    <w:p w14:paraId="7F786BBC">
      <w:pPr>
        <w:snapToGrid w:val="0"/>
        <w:spacing w:line="578" w:lineRule="exact"/>
        <w:ind w:firstLine="640" w:firstLineChars="200"/>
        <w:rPr>
          <w:rFonts w:eastAsia="仿宋_GB2312"/>
          <w:sz w:val="32"/>
          <w:szCs w:val="24"/>
        </w:rPr>
      </w:pPr>
      <w:r>
        <w:rPr>
          <w:rFonts w:eastAsia="仿宋_GB2312"/>
          <w:sz w:val="32"/>
          <w:szCs w:val="24"/>
        </w:rPr>
        <w:t>7.承办住房公积金管理委员会决定的其他事项；</w:t>
      </w:r>
    </w:p>
    <w:p w14:paraId="62F43F91">
      <w:pPr>
        <w:widowControl/>
        <w:snapToGrid w:val="0"/>
        <w:spacing w:line="578" w:lineRule="exact"/>
        <w:ind w:firstLine="640" w:firstLineChars="200"/>
        <w:rPr>
          <w:rFonts w:eastAsia="仿宋_GB2312"/>
          <w:sz w:val="32"/>
          <w:szCs w:val="24"/>
        </w:rPr>
      </w:pPr>
      <w:r>
        <w:rPr>
          <w:rFonts w:eastAsia="仿宋_GB2312"/>
          <w:sz w:val="32"/>
          <w:szCs w:val="24"/>
        </w:rPr>
        <w:t>8.</w:t>
      </w:r>
      <w:r>
        <w:rPr>
          <w:rFonts w:eastAsia="仿宋_GB2312"/>
          <w:bCs/>
          <w:kern w:val="0"/>
          <w:sz w:val="32"/>
          <w:szCs w:val="32"/>
        </w:rPr>
        <w:t>承办市委市政府决定的其他事项。</w:t>
      </w:r>
    </w:p>
    <w:p w14:paraId="2B2965F8">
      <w:pPr>
        <w:snapToGrid w:val="0"/>
        <w:spacing w:line="578" w:lineRule="exact"/>
        <w:ind w:firstLine="643" w:firstLineChars="200"/>
        <w:rPr>
          <w:rFonts w:eastAsia="楷体"/>
          <w:b/>
          <w:bCs/>
          <w:sz w:val="32"/>
          <w:szCs w:val="32"/>
        </w:rPr>
      </w:pPr>
      <w:r>
        <w:rPr>
          <w:rFonts w:eastAsia="楷体"/>
          <w:b/>
          <w:bCs/>
          <w:sz w:val="32"/>
          <w:szCs w:val="32"/>
        </w:rPr>
        <w:t>（二）机构设置情况</w:t>
      </w:r>
    </w:p>
    <w:p w14:paraId="7D2EE570">
      <w:pPr>
        <w:autoSpaceDE w:val="0"/>
        <w:autoSpaceDN w:val="0"/>
        <w:adjustRightInd w:val="0"/>
        <w:snapToGrid w:val="0"/>
        <w:spacing w:line="578" w:lineRule="exact"/>
        <w:ind w:firstLine="640"/>
        <w:rPr>
          <w:rFonts w:eastAsia="仿宋_GB2312"/>
          <w:sz w:val="32"/>
          <w:szCs w:val="24"/>
        </w:rPr>
      </w:pPr>
      <w:r>
        <w:rPr>
          <w:rFonts w:eastAsia="仿宋_GB2312"/>
          <w:sz w:val="32"/>
          <w:szCs w:val="24"/>
        </w:rPr>
        <w:t>岳阳市住房公积金管理中心内设9个部室分别是：综合部（行政保卫部）、客户服务部、资金结算部（会计核算部）、归集提取部（政策法规部）、贷款管理部、风险防控部（内部审计部）、信息管理部、财务部、人事部；并按规定设立机关党委、机关纪委和离退休人员管理服务部，下辖1</w:t>
      </w:r>
      <w:r>
        <w:rPr>
          <w:rFonts w:hint="eastAsia" w:eastAsia="仿宋_GB2312"/>
          <w:sz w:val="32"/>
          <w:szCs w:val="24"/>
        </w:rPr>
        <w:t>2</w:t>
      </w:r>
      <w:r>
        <w:rPr>
          <w:rFonts w:eastAsia="仿宋_GB2312"/>
          <w:sz w:val="32"/>
          <w:szCs w:val="24"/>
        </w:rPr>
        <w:t>个管理部分别是：市直管理部、平江县管理部、岳阳县管理部、华容县管理部、湘阴县管理部、临湘市管理部、汨罗市管理部、岳阳楼区管理部、云溪区管理部、</w:t>
      </w:r>
      <w:r>
        <w:rPr>
          <w:rFonts w:hint="eastAsia" w:eastAsia="仿宋_GB2312"/>
          <w:sz w:val="32"/>
          <w:szCs w:val="24"/>
        </w:rPr>
        <w:t>园区管理部、</w:t>
      </w:r>
      <w:r>
        <w:rPr>
          <w:rFonts w:eastAsia="仿宋_GB2312"/>
          <w:sz w:val="32"/>
          <w:szCs w:val="24"/>
        </w:rPr>
        <w:t>君山区管理部、屈原管理部，各管理部负责为辖区内缴存单位和职工提供各项住房公积金业务办理服务，为落实便民利民要求，在市县两级政务中心分别设立了业务服务窗口。</w:t>
      </w:r>
    </w:p>
    <w:p w14:paraId="4C91C182">
      <w:pPr>
        <w:snapToGrid w:val="0"/>
        <w:spacing w:line="578" w:lineRule="exact"/>
        <w:ind w:firstLine="643" w:firstLineChars="200"/>
        <w:rPr>
          <w:rFonts w:eastAsia="楷体"/>
          <w:b/>
          <w:bCs/>
          <w:sz w:val="32"/>
          <w:szCs w:val="32"/>
        </w:rPr>
      </w:pPr>
      <w:r>
        <w:rPr>
          <w:rFonts w:eastAsia="楷体"/>
          <w:b/>
          <w:bCs/>
          <w:sz w:val="32"/>
          <w:szCs w:val="32"/>
        </w:rPr>
        <w:t>（三）人员编制情况</w:t>
      </w:r>
    </w:p>
    <w:p w14:paraId="1878D7D2">
      <w:pPr>
        <w:autoSpaceDE w:val="0"/>
        <w:autoSpaceDN w:val="0"/>
        <w:adjustRightInd w:val="0"/>
        <w:snapToGrid w:val="0"/>
        <w:spacing w:line="578" w:lineRule="exact"/>
        <w:ind w:firstLine="640"/>
      </w:pPr>
      <w:r>
        <w:rPr>
          <w:rFonts w:eastAsia="仿宋_GB2312"/>
          <w:sz w:val="32"/>
          <w:szCs w:val="32"/>
        </w:rPr>
        <w:t>机构编制部门核定管理中心事业编制</w:t>
      </w:r>
      <w:r>
        <w:rPr>
          <w:rFonts w:hint="eastAsia" w:eastAsia="仿宋_GB2312"/>
          <w:sz w:val="32"/>
          <w:szCs w:val="32"/>
          <w:lang w:val="en-US" w:eastAsia="zh-CN"/>
        </w:rPr>
        <w:t>128</w:t>
      </w:r>
      <w:r>
        <w:rPr>
          <w:rFonts w:eastAsia="仿宋_GB2312"/>
          <w:sz w:val="32"/>
          <w:szCs w:val="32"/>
        </w:rPr>
        <w:t>名，劳务派遣用工</w:t>
      </w:r>
      <w:r>
        <w:rPr>
          <w:rFonts w:hint="eastAsia" w:eastAsia="仿宋_GB2312"/>
          <w:sz w:val="32"/>
          <w:szCs w:val="32"/>
          <w:lang w:val="en-US" w:eastAsia="zh-CN"/>
        </w:rPr>
        <w:t>90</w:t>
      </w:r>
      <w:r>
        <w:rPr>
          <w:rFonts w:eastAsia="仿宋_GB2312"/>
          <w:sz w:val="32"/>
          <w:szCs w:val="32"/>
        </w:rPr>
        <w:t>名。202</w:t>
      </w:r>
      <w:r>
        <w:rPr>
          <w:rFonts w:hint="eastAsia" w:eastAsia="仿宋_GB2312"/>
          <w:sz w:val="32"/>
          <w:szCs w:val="32"/>
        </w:rPr>
        <w:t>5</w:t>
      </w:r>
      <w:r>
        <w:rPr>
          <w:rFonts w:eastAsia="仿宋_GB2312"/>
          <w:sz w:val="32"/>
          <w:szCs w:val="32"/>
        </w:rPr>
        <w:t>年年末从业人员</w:t>
      </w:r>
      <w:r>
        <w:rPr>
          <w:rFonts w:hint="eastAsia" w:eastAsia="仿宋_GB2312"/>
          <w:sz w:val="32"/>
          <w:szCs w:val="32"/>
          <w:lang w:val="en-US" w:eastAsia="zh-CN"/>
        </w:rPr>
        <w:t>203</w:t>
      </w:r>
      <w:r>
        <w:rPr>
          <w:rFonts w:eastAsia="仿宋_GB2312"/>
          <w:sz w:val="32"/>
          <w:szCs w:val="32"/>
        </w:rPr>
        <w:t>人，其中，在编</w:t>
      </w:r>
      <w:r>
        <w:rPr>
          <w:rFonts w:hint="eastAsia" w:eastAsia="仿宋_GB2312"/>
          <w:sz w:val="32"/>
          <w:szCs w:val="32"/>
          <w:lang w:val="en-US" w:eastAsia="zh-CN"/>
        </w:rPr>
        <w:t>125</w:t>
      </w:r>
      <w:r>
        <w:rPr>
          <w:rFonts w:eastAsia="仿宋_GB2312"/>
          <w:sz w:val="32"/>
          <w:szCs w:val="32"/>
        </w:rPr>
        <w:t>人，劳务派遣用工</w:t>
      </w:r>
      <w:r>
        <w:rPr>
          <w:rFonts w:hint="eastAsia" w:eastAsia="仿宋_GB2312"/>
          <w:sz w:val="32"/>
          <w:szCs w:val="32"/>
          <w:lang w:val="en-US" w:eastAsia="zh-CN"/>
        </w:rPr>
        <w:t>78</w:t>
      </w:r>
      <w:r>
        <w:rPr>
          <w:rFonts w:eastAsia="仿宋_GB2312"/>
          <w:sz w:val="32"/>
          <w:szCs w:val="32"/>
        </w:rPr>
        <w:t>人。</w:t>
      </w:r>
    </w:p>
    <w:p w14:paraId="28F65F45">
      <w:pPr>
        <w:pStyle w:val="6"/>
        <w:widowControl/>
        <w:snapToGrid w:val="0"/>
        <w:spacing w:line="578"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70840820">
      <w:pPr>
        <w:pStyle w:val="6"/>
        <w:widowControl/>
        <w:snapToGrid w:val="0"/>
        <w:spacing w:line="578" w:lineRule="exact"/>
        <w:ind w:firstLine="643"/>
        <w:rPr>
          <w:rFonts w:ascii="Times New Roman" w:hAnsi="Times New Roman" w:eastAsia="楷体_GB2312"/>
          <w:b/>
          <w:sz w:val="32"/>
          <w:szCs w:val="32"/>
        </w:rPr>
      </w:pPr>
      <w:r>
        <w:rPr>
          <w:rFonts w:ascii="Times New Roman" w:hAnsi="Times New Roman" w:eastAsia="楷体_GB2312"/>
          <w:b/>
          <w:sz w:val="32"/>
          <w:szCs w:val="32"/>
        </w:rPr>
        <w:t>（一）基本支出情况</w:t>
      </w:r>
    </w:p>
    <w:p w14:paraId="7F245021">
      <w:pPr>
        <w:pStyle w:val="6"/>
        <w:widowControl/>
        <w:snapToGrid w:val="0"/>
        <w:spacing w:line="578" w:lineRule="exact"/>
        <w:ind w:firstLine="640"/>
        <w:rPr>
          <w:rFonts w:ascii="Times New Roman" w:hAnsi="Times New Roman" w:eastAsia="楷体_GB2312"/>
          <w:b/>
          <w:sz w:val="32"/>
          <w:szCs w:val="32"/>
        </w:rPr>
      </w:pPr>
      <w:r>
        <w:rPr>
          <w:rFonts w:ascii="Times New Roman" w:hAnsi="Times New Roman" w:eastAsia="仿宋_GB2312"/>
          <w:sz w:val="32"/>
          <w:szCs w:val="32"/>
        </w:rPr>
        <w:t>本部门全年预算</w:t>
      </w:r>
      <w:r>
        <w:rPr>
          <w:rFonts w:hint="eastAsia" w:ascii="Times New Roman" w:hAnsi="Times New Roman" w:eastAsia="仿宋_GB2312"/>
          <w:sz w:val="32"/>
          <w:szCs w:val="32"/>
          <w:lang w:val="en-US" w:eastAsia="zh-CN"/>
        </w:rPr>
        <w:t>基本支出3451.91</w:t>
      </w:r>
      <w:r>
        <w:rPr>
          <w:rFonts w:ascii="Times New Roman" w:hAnsi="Times New Roman" w:eastAsia="仿宋_GB2312"/>
          <w:sz w:val="32"/>
          <w:szCs w:val="32"/>
        </w:rPr>
        <w:t>万元，其中</w:t>
      </w:r>
      <w:r>
        <w:rPr>
          <w:rFonts w:ascii="Times New Roman" w:hAnsi="Times New Roman" w:eastAsia="仿宋_GB2312"/>
          <w:color w:val="000000"/>
          <w:sz w:val="32"/>
          <w:szCs w:val="32"/>
        </w:rPr>
        <w:t>工资福利支出</w:t>
      </w:r>
      <w:r>
        <w:rPr>
          <w:rFonts w:hint="eastAsia" w:ascii="Times New Roman" w:hAnsi="Times New Roman" w:eastAsia="仿宋_GB2312"/>
          <w:color w:val="000000"/>
          <w:sz w:val="32"/>
          <w:szCs w:val="32"/>
        </w:rPr>
        <w:t>2941.90</w:t>
      </w:r>
      <w:r>
        <w:rPr>
          <w:rFonts w:ascii="Times New Roman" w:hAnsi="Times New Roman" w:eastAsia="仿宋_GB2312"/>
          <w:color w:val="000000"/>
          <w:sz w:val="32"/>
          <w:szCs w:val="32"/>
        </w:rPr>
        <w:t>万元，对个人和家庭的补助</w:t>
      </w:r>
      <w:r>
        <w:rPr>
          <w:rFonts w:hint="eastAsia" w:ascii="Times New Roman" w:hAnsi="Times New Roman" w:eastAsia="仿宋_GB2312"/>
          <w:color w:val="000000"/>
          <w:sz w:val="32"/>
          <w:szCs w:val="32"/>
        </w:rPr>
        <w:t>157.54</w:t>
      </w:r>
      <w:r>
        <w:rPr>
          <w:rFonts w:ascii="Times New Roman" w:hAnsi="Times New Roman" w:eastAsia="仿宋_GB2312"/>
          <w:color w:val="000000"/>
          <w:sz w:val="32"/>
          <w:szCs w:val="32"/>
        </w:rPr>
        <w:t>万元，商品和服务支出</w:t>
      </w:r>
      <w:r>
        <w:rPr>
          <w:rFonts w:hint="eastAsia" w:ascii="Times New Roman" w:hAnsi="Times New Roman" w:eastAsia="仿宋_GB2312"/>
          <w:color w:val="000000"/>
          <w:sz w:val="32"/>
          <w:szCs w:val="32"/>
          <w:lang w:val="en-US" w:eastAsia="zh-CN"/>
        </w:rPr>
        <w:t>352.47</w:t>
      </w:r>
      <w:r>
        <w:rPr>
          <w:rFonts w:ascii="Times New Roman" w:hAnsi="Times New Roman" w:eastAsia="仿宋_GB2312"/>
          <w:color w:val="000000"/>
          <w:sz w:val="32"/>
          <w:szCs w:val="32"/>
        </w:rPr>
        <w:t>万元。</w:t>
      </w:r>
    </w:p>
    <w:p w14:paraId="6BEC6F55">
      <w:pPr>
        <w:pStyle w:val="6"/>
        <w:widowControl/>
        <w:numPr>
          <w:ilvl w:val="0"/>
          <w:numId w:val="2"/>
        </w:numPr>
        <w:snapToGrid w:val="0"/>
        <w:spacing w:line="578" w:lineRule="exact"/>
        <w:ind w:firstLine="643"/>
        <w:rPr>
          <w:rFonts w:ascii="Times New Roman" w:hAnsi="Times New Roman" w:eastAsia="楷体_GB2312"/>
          <w:b/>
          <w:sz w:val="32"/>
          <w:szCs w:val="32"/>
        </w:rPr>
      </w:pPr>
      <w:r>
        <w:rPr>
          <w:rFonts w:ascii="Times New Roman" w:hAnsi="Times New Roman" w:eastAsia="楷体_GB2312"/>
          <w:b/>
          <w:sz w:val="32"/>
          <w:szCs w:val="32"/>
        </w:rPr>
        <w:t>项目支出情况</w:t>
      </w:r>
    </w:p>
    <w:p w14:paraId="222A41EC">
      <w:pPr>
        <w:pStyle w:val="6"/>
        <w:widowControl/>
        <w:snapToGrid w:val="0"/>
        <w:spacing w:line="578" w:lineRule="exact"/>
        <w:ind w:firstLine="640"/>
        <w:rPr>
          <w:rFonts w:ascii="Times New Roman" w:hAnsi="Times New Roman" w:eastAsia="楷体_GB2312"/>
          <w:b/>
          <w:sz w:val="32"/>
          <w:szCs w:val="32"/>
        </w:rPr>
      </w:pPr>
      <w:r>
        <w:rPr>
          <w:rFonts w:ascii="Times New Roman" w:hAnsi="Times New Roman" w:eastAsia="仿宋_GB2312"/>
          <w:sz w:val="32"/>
          <w:szCs w:val="32"/>
        </w:rPr>
        <w:t>本部门全年预算</w:t>
      </w:r>
      <w:r>
        <w:rPr>
          <w:rFonts w:hint="eastAsia" w:ascii="Times New Roman" w:hAnsi="Times New Roman" w:eastAsia="仿宋_GB2312"/>
          <w:sz w:val="32"/>
          <w:szCs w:val="32"/>
          <w:lang w:val="en-US" w:eastAsia="zh-CN"/>
        </w:rPr>
        <w:t>项目</w:t>
      </w:r>
      <w:r>
        <w:rPr>
          <w:rFonts w:ascii="Times New Roman" w:hAnsi="Times New Roman" w:eastAsia="仿宋_GB2312"/>
          <w:sz w:val="32"/>
          <w:szCs w:val="32"/>
        </w:rPr>
        <w:t>支出</w:t>
      </w:r>
      <w:r>
        <w:rPr>
          <w:rFonts w:hint="eastAsia" w:ascii="Times New Roman" w:hAnsi="Times New Roman" w:eastAsia="仿宋_GB2312"/>
          <w:sz w:val="32"/>
          <w:szCs w:val="32"/>
          <w:lang w:val="en-US" w:eastAsia="zh-CN"/>
        </w:rPr>
        <w:t>1521.45</w:t>
      </w:r>
      <w:r>
        <w:rPr>
          <w:rFonts w:ascii="Times New Roman" w:hAnsi="Times New Roman" w:eastAsia="仿宋_GB2312"/>
          <w:sz w:val="32"/>
          <w:szCs w:val="32"/>
        </w:rPr>
        <w:t>万元，其中</w:t>
      </w:r>
      <w:r>
        <w:rPr>
          <w:rFonts w:ascii="Times New Roman" w:hAnsi="Times New Roman" w:eastAsia="仿宋_GB2312"/>
          <w:color w:val="000000"/>
          <w:sz w:val="32"/>
          <w:szCs w:val="32"/>
        </w:rPr>
        <w:t>商品和服务支出</w:t>
      </w:r>
      <w:r>
        <w:rPr>
          <w:rFonts w:hint="eastAsia" w:ascii="Times New Roman" w:hAnsi="Times New Roman" w:eastAsia="仿宋_GB2312"/>
          <w:color w:val="000000"/>
          <w:sz w:val="32"/>
          <w:szCs w:val="32"/>
          <w:lang w:val="en-US" w:eastAsia="zh-CN"/>
        </w:rPr>
        <w:t>1382.46</w:t>
      </w:r>
      <w:r>
        <w:rPr>
          <w:rFonts w:ascii="Times New Roman" w:hAnsi="Times New Roman" w:eastAsia="仿宋_GB2312"/>
          <w:color w:val="000000"/>
          <w:sz w:val="32"/>
          <w:szCs w:val="32"/>
        </w:rPr>
        <w:t>万元，资本性支出</w:t>
      </w:r>
      <w:r>
        <w:rPr>
          <w:rFonts w:hint="eastAsia" w:ascii="Times New Roman" w:hAnsi="Times New Roman" w:eastAsia="仿宋_GB2312"/>
          <w:color w:val="000000"/>
          <w:sz w:val="32"/>
          <w:szCs w:val="32"/>
        </w:rPr>
        <w:t>138.9</w:t>
      </w:r>
      <w:r>
        <w:rPr>
          <w:rFonts w:hint="eastAsia" w:ascii="Times New Roman" w:hAnsi="Times New Roman" w:eastAsia="仿宋_GB2312"/>
          <w:color w:val="000000"/>
          <w:sz w:val="32"/>
          <w:szCs w:val="32"/>
          <w:lang w:val="en-US" w:eastAsia="zh-CN"/>
        </w:rPr>
        <w:t>9</w:t>
      </w:r>
      <w:r>
        <w:rPr>
          <w:rFonts w:ascii="Times New Roman" w:hAnsi="Times New Roman" w:eastAsia="仿宋_GB2312"/>
          <w:color w:val="000000"/>
          <w:sz w:val="32"/>
          <w:szCs w:val="32"/>
        </w:rPr>
        <w:t>万元。</w:t>
      </w:r>
    </w:p>
    <w:p w14:paraId="00A9B5D1">
      <w:pPr>
        <w:pStyle w:val="6"/>
        <w:widowControl/>
        <w:snapToGrid w:val="0"/>
        <w:spacing w:line="578" w:lineRule="exact"/>
        <w:ind w:firstLine="640"/>
        <w:rPr>
          <w:rFonts w:ascii="Times New Roman" w:hAnsi="Times New Roman" w:eastAsia="黑体"/>
          <w:sz w:val="32"/>
          <w:szCs w:val="32"/>
        </w:rPr>
      </w:pPr>
      <w:r>
        <w:rPr>
          <w:rFonts w:ascii="Times New Roman" w:hAnsi="Times New Roman" w:eastAsia="黑体"/>
          <w:sz w:val="32"/>
          <w:szCs w:val="32"/>
        </w:rPr>
        <w:t>三、政府性基金预算支出情况（无）</w:t>
      </w:r>
    </w:p>
    <w:p w14:paraId="1E86C11D">
      <w:pPr>
        <w:pStyle w:val="6"/>
        <w:widowControl/>
        <w:snapToGrid w:val="0"/>
        <w:spacing w:line="578" w:lineRule="exact"/>
        <w:ind w:firstLine="640"/>
        <w:rPr>
          <w:rFonts w:ascii="Times New Roman" w:hAnsi="Times New Roman" w:eastAsia="黑体"/>
          <w:sz w:val="32"/>
          <w:szCs w:val="32"/>
        </w:rPr>
      </w:pPr>
      <w:r>
        <w:rPr>
          <w:rFonts w:ascii="Times New Roman" w:hAnsi="Times New Roman" w:eastAsia="黑体"/>
          <w:sz w:val="32"/>
          <w:szCs w:val="32"/>
        </w:rPr>
        <w:t>四、国有资本经营预算支出情况（无）</w:t>
      </w:r>
    </w:p>
    <w:p w14:paraId="6713FE67">
      <w:pPr>
        <w:pStyle w:val="6"/>
        <w:widowControl/>
        <w:snapToGrid w:val="0"/>
        <w:spacing w:line="578" w:lineRule="exact"/>
        <w:ind w:firstLine="640"/>
        <w:rPr>
          <w:rFonts w:ascii="Times New Roman" w:hAnsi="Times New Roman" w:eastAsia="黑体"/>
          <w:sz w:val="32"/>
          <w:szCs w:val="32"/>
        </w:rPr>
      </w:pPr>
      <w:r>
        <w:rPr>
          <w:rFonts w:ascii="Times New Roman" w:hAnsi="Times New Roman" w:eastAsia="黑体"/>
          <w:sz w:val="32"/>
          <w:szCs w:val="32"/>
        </w:rPr>
        <w:t>五、社会保险基金预算支出情况（无）</w:t>
      </w:r>
    </w:p>
    <w:p w14:paraId="288216D7">
      <w:pPr>
        <w:widowControl/>
        <w:snapToGrid w:val="0"/>
        <w:spacing w:line="578" w:lineRule="exact"/>
        <w:ind w:firstLine="640" w:firstLineChars="200"/>
        <w:rPr>
          <w:rFonts w:eastAsia="黑体"/>
          <w:sz w:val="32"/>
          <w:szCs w:val="32"/>
        </w:rPr>
      </w:pPr>
      <w:r>
        <w:rPr>
          <w:rFonts w:eastAsia="黑体"/>
          <w:sz w:val="32"/>
          <w:szCs w:val="32"/>
        </w:rPr>
        <w:t>六、部门整体支出绩效情况</w:t>
      </w:r>
    </w:p>
    <w:p w14:paraId="3B9CF324">
      <w:pPr>
        <w:snapToGrid w:val="0"/>
        <w:spacing w:line="578" w:lineRule="exact"/>
        <w:ind w:firstLine="640" w:firstLineChars="200"/>
        <w:rPr>
          <w:rFonts w:eastAsia="楷体"/>
          <w:color w:val="000000"/>
          <w:sz w:val="32"/>
          <w:szCs w:val="32"/>
        </w:rPr>
      </w:pPr>
      <w:r>
        <w:rPr>
          <w:rFonts w:eastAsia="楷体"/>
          <w:color w:val="000000"/>
          <w:sz w:val="32"/>
          <w:szCs w:val="32"/>
        </w:rPr>
        <w:t>（一）全年绩效目标完成情况</w:t>
      </w:r>
    </w:p>
    <w:p w14:paraId="2F33B145">
      <w:pPr>
        <w:snapToGrid w:val="0"/>
        <w:spacing w:line="578" w:lineRule="exact"/>
        <w:ind w:firstLine="640" w:firstLineChars="200"/>
        <w:rPr>
          <w:rFonts w:eastAsia="仿宋_GB2312"/>
          <w:sz w:val="32"/>
          <w:szCs w:val="32"/>
        </w:rPr>
      </w:pPr>
      <w:r>
        <w:rPr>
          <w:rFonts w:eastAsia="仿宋_GB2312"/>
          <w:sz w:val="32"/>
          <w:szCs w:val="32"/>
        </w:rPr>
        <w:t>1.归集扩面稳根基。全年归集资金</w:t>
      </w:r>
      <w:r>
        <w:rPr>
          <w:rFonts w:hint="eastAsia" w:eastAsia="仿宋_GB2312"/>
          <w:sz w:val="32"/>
          <w:szCs w:val="32"/>
        </w:rPr>
        <w:t>57.79</w:t>
      </w:r>
      <w:r>
        <w:rPr>
          <w:rFonts w:eastAsia="仿宋_GB2312"/>
          <w:sz w:val="32"/>
          <w:szCs w:val="32"/>
        </w:rPr>
        <w:t>亿元，同比增长</w:t>
      </w:r>
      <w:r>
        <w:rPr>
          <w:rFonts w:hint="eastAsia" w:eastAsia="仿宋_GB2312"/>
          <w:sz w:val="32"/>
          <w:szCs w:val="32"/>
        </w:rPr>
        <w:t>1.65</w:t>
      </w:r>
      <w:r>
        <w:rPr>
          <w:rFonts w:eastAsia="仿宋_GB2312"/>
          <w:sz w:val="32"/>
          <w:szCs w:val="32"/>
        </w:rPr>
        <w:t>%，资金活水持续充盈；新增缴存单位</w:t>
      </w:r>
      <w:r>
        <w:rPr>
          <w:rFonts w:hint="eastAsia" w:eastAsia="仿宋_GB2312"/>
          <w:sz w:val="32"/>
          <w:szCs w:val="32"/>
        </w:rPr>
        <w:t>372</w:t>
      </w:r>
      <w:r>
        <w:rPr>
          <w:rFonts w:eastAsia="仿宋_GB2312"/>
          <w:sz w:val="32"/>
          <w:szCs w:val="32"/>
        </w:rPr>
        <w:t>家，新增缴存职工</w:t>
      </w:r>
      <w:r>
        <w:rPr>
          <w:rFonts w:hint="eastAsia" w:eastAsia="仿宋_GB2312"/>
          <w:sz w:val="32"/>
          <w:szCs w:val="32"/>
        </w:rPr>
        <w:t>1.88</w:t>
      </w:r>
      <w:r>
        <w:rPr>
          <w:rFonts w:eastAsia="仿宋_GB2312"/>
          <w:sz w:val="32"/>
          <w:szCs w:val="32"/>
        </w:rPr>
        <w:t>万人，制度覆盖面持续扩大。</w:t>
      </w:r>
    </w:p>
    <w:p w14:paraId="25F4C1A2">
      <w:pPr>
        <w:snapToGrid w:val="0"/>
        <w:spacing w:line="578" w:lineRule="exact"/>
        <w:ind w:firstLine="640" w:firstLineChars="200"/>
        <w:rPr>
          <w:rFonts w:eastAsia="仿宋_GB2312"/>
          <w:sz w:val="32"/>
          <w:szCs w:val="32"/>
        </w:rPr>
      </w:pPr>
      <w:r>
        <w:rPr>
          <w:rFonts w:eastAsia="仿宋_GB2312"/>
          <w:sz w:val="32"/>
          <w:szCs w:val="32"/>
        </w:rPr>
        <w:t>2.保障民生显温度。精准释放住房消费潜力，全年办理提取42.</w:t>
      </w:r>
      <w:r>
        <w:rPr>
          <w:rFonts w:hint="eastAsia" w:eastAsia="仿宋_GB2312"/>
          <w:sz w:val="32"/>
          <w:szCs w:val="32"/>
        </w:rPr>
        <w:t>83</w:t>
      </w:r>
      <w:r>
        <w:rPr>
          <w:rFonts w:eastAsia="仿宋_GB2312"/>
          <w:sz w:val="32"/>
          <w:szCs w:val="32"/>
        </w:rPr>
        <w:t>亿元，同比增长</w:t>
      </w:r>
      <w:r>
        <w:rPr>
          <w:rFonts w:hint="eastAsia" w:eastAsia="仿宋_GB2312"/>
          <w:sz w:val="32"/>
          <w:szCs w:val="32"/>
        </w:rPr>
        <w:t>0.99</w:t>
      </w:r>
      <w:r>
        <w:rPr>
          <w:rFonts w:eastAsia="仿宋_GB2312"/>
          <w:sz w:val="32"/>
          <w:szCs w:val="32"/>
        </w:rPr>
        <w:t>%，提取额占当年缴存额的74.</w:t>
      </w:r>
      <w:r>
        <w:rPr>
          <w:rFonts w:hint="eastAsia" w:eastAsia="仿宋_GB2312"/>
          <w:sz w:val="32"/>
          <w:szCs w:val="32"/>
        </w:rPr>
        <w:t>11</w:t>
      </w:r>
      <w:r>
        <w:rPr>
          <w:rFonts w:eastAsia="仿宋_GB2312"/>
          <w:sz w:val="32"/>
          <w:szCs w:val="32"/>
        </w:rPr>
        <w:t>%；发放政策性低息贷款</w:t>
      </w:r>
      <w:r>
        <w:rPr>
          <w:rFonts w:hint="eastAsia" w:eastAsia="仿宋_GB2312"/>
          <w:sz w:val="32"/>
          <w:szCs w:val="32"/>
        </w:rPr>
        <w:t>9.78</w:t>
      </w:r>
      <w:r>
        <w:rPr>
          <w:rFonts w:eastAsia="仿宋_GB2312"/>
          <w:sz w:val="32"/>
          <w:szCs w:val="32"/>
        </w:rPr>
        <w:t>亿元，助力2</w:t>
      </w:r>
      <w:r>
        <w:rPr>
          <w:rFonts w:hint="eastAsia" w:eastAsia="仿宋_GB2312"/>
          <w:sz w:val="32"/>
          <w:szCs w:val="32"/>
        </w:rPr>
        <w:t>277</w:t>
      </w:r>
      <w:r>
        <w:rPr>
          <w:rFonts w:eastAsia="仿宋_GB2312"/>
          <w:sz w:val="32"/>
          <w:szCs w:val="32"/>
        </w:rPr>
        <w:t>户家庭圆梦安居。</w:t>
      </w:r>
    </w:p>
    <w:p w14:paraId="494B055A">
      <w:pPr>
        <w:snapToGrid w:val="0"/>
        <w:spacing w:line="578" w:lineRule="exact"/>
        <w:ind w:firstLine="640" w:firstLineChars="200"/>
        <w:rPr>
          <w:rFonts w:eastAsia="仿宋_GB2312"/>
          <w:sz w:val="32"/>
          <w:szCs w:val="32"/>
        </w:rPr>
      </w:pPr>
      <w:r>
        <w:rPr>
          <w:rFonts w:eastAsia="仿宋_GB2312"/>
          <w:sz w:val="32"/>
          <w:szCs w:val="32"/>
        </w:rPr>
        <w:t>3.风险防控守底线。逾期率0.</w:t>
      </w:r>
      <w:r>
        <w:rPr>
          <w:rFonts w:hint="eastAsia" w:eastAsia="仿宋_GB2312"/>
          <w:sz w:val="32"/>
          <w:szCs w:val="32"/>
        </w:rPr>
        <w:t>21</w:t>
      </w:r>
      <w:r>
        <w:rPr>
          <w:rFonts w:eastAsia="仿宋_GB2312"/>
          <w:sz w:val="32"/>
          <w:szCs w:val="32"/>
        </w:rPr>
        <w:t>%；存贷比</w:t>
      </w:r>
      <w:r>
        <w:rPr>
          <w:rFonts w:hint="eastAsia" w:eastAsia="仿宋_GB2312"/>
          <w:sz w:val="32"/>
          <w:szCs w:val="32"/>
        </w:rPr>
        <w:t>44.83</w:t>
      </w:r>
      <w:r>
        <w:rPr>
          <w:rFonts w:eastAsia="仿宋_GB2312"/>
          <w:sz w:val="32"/>
          <w:szCs w:val="32"/>
        </w:rPr>
        <w:t>%，资金运行安全稳健。</w:t>
      </w:r>
    </w:p>
    <w:p w14:paraId="71861B14">
      <w:pPr>
        <w:snapToGrid w:val="0"/>
        <w:spacing w:line="578" w:lineRule="exact"/>
        <w:ind w:firstLine="640" w:firstLineChars="200"/>
        <w:rPr>
          <w:rFonts w:eastAsia="仿宋_GB2312"/>
          <w:sz w:val="32"/>
          <w:szCs w:val="32"/>
        </w:rPr>
      </w:pPr>
      <w:r>
        <w:rPr>
          <w:rFonts w:eastAsia="仿宋_GB2312"/>
          <w:sz w:val="32"/>
          <w:szCs w:val="32"/>
        </w:rPr>
        <w:t>4.增值收益强支撑。202</w:t>
      </w:r>
      <w:r>
        <w:rPr>
          <w:rFonts w:hint="eastAsia" w:eastAsia="仿宋_GB2312"/>
          <w:sz w:val="32"/>
          <w:szCs w:val="32"/>
        </w:rPr>
        <w:t>5</w:t>
      </w:r>
      <w:r>
        <w:rPr>
          <w:rFonts w:eastAsia="仿宋_GB2312"/>
          <w:sz w:val="32"/>
          <w:szCs w:val="32"/>
        </w:rPr>
        <w:t>年，实现增值收益3.</w:t>
      </w:r>
      <w:r>
        <w:rPr>
          <w:rFonts w:hint="eastAsia" w:eastAsia="仿宋_GB2312"/>
          <w:sz w:val="32"/>
          <w:szCs w:val="32"/>
        </w:rPr>
        <w:t>11</w:t>
      </w:r>
      <w:r>
        <w:rPr>
          <w:rFonts w:eastAsia="仿宋_GB2312"/>
          <w:sz w:val="32"/>
          <w:szCs w:val="32"/>
        </w:rPr>
        <w:t>亿元，上缴财政城市廉租住房（公共租赁住房）建设补充资金</w:t>
      </w:r>
      <w:r>
        <w:rPr>
          <w:rFonts w:hint="eastAsia" w:eastAsia="仿宋_GB2312"/>
          <w:sz w:val="32"/>
          <w:szCs w:val="32"/>
        </w:rPr>
        <w:t>2</w:t>
      </w:r>
      <w:r>
        <w:rPr>
          <w:rFonts w:eastAsia="仿宋_GB2312"/>
          <w:sz w:val="32"/>
          <w:szCs w:val="32"/>
        </w:rPr>
        <w:t>.</w:t>
      </w:r>
      <w:r>
        <w:rPr>
          <w:rFonts w:hint="eastAsia" w:eastAsia="仿宋_GB2312"/>
          <w:sz w:val="32"/>
          <w:szCs w:val="32"/>
        </w:rPr>
        <w:t>54</w:t>
      </w:r>
      <w:r>
        <w:rPr>
          <w:rFonts w:eastAsia="仿宋_GB2312"/>
          <w:sz w:val="32"/>
          <w:szCs w:val="32"/>
        </w:rPr>
        <w:t>亿元。</w:t>
      </w:r>
    </w:p>
    <w:p w14:paraId="4E4EB618">
      <w:pPr>
        <w:snapToGrid w:val="0"/>
        <w:spacing w:line="578" w:lineRule="exact"/>
        <w:ind w:firstLine="640" w:firstLineChars="200"/>
        <w:rPr>
          <w:rFonts w:eastAsia="楷体"/>
          <w:color w:val="000000"/>
          <w:sz w:val="32"/>
          <w:szCs w:val="32"/>
        </w:rPr>
      </w:pPr>
      <w:r>
        <w:rPr>
          <w:rFonts w:eastAsia="楷体"/>
          <w:color w:val="000000"/>
          <w:sz w:val="32"/>
          <w:szCs w:val="32"/>
        </w:rPr>
        <w:t>（二）职能履行及社会效益情况</w:t>
      </w:r>
    </w:p>
    <w:p w14:paraId="336BA831">
      <w:pPr>
        <w:snapToGrid w:val="0"/>
        <w:spacing w:line="578" w:lineRule="exact"/>
        <w:ind w:firstLine="640" w:firstLineChars="200"/>
        <w:rPr>
          <w:rFonts w:eastAsia="仿宋_GB2312"/>
          <w:bCs/>
          <w:sz w:val="32"/>
          <w:szCs w:val="32"/>
        </w:rPr>
      </w:pPr>
      <w:r>
        <w:rPr>
          <w:rFonts w:eastAsia="仿宋_GB2312"/>
          <w:bCs/>
          <w:sz w:val="32"/>
          <w:szCs w:val="32"/>
        </w:rPr>
        <w:t>一年来，中心各项工作积极、有序开展，社会效益明显。</w:t>
      </w:r>
    </w:p>
    <w:p w14:paraId="17C1B7A3">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1.</w:t>
      </w:r>
      <w:r>
        <w:rPr>
          <w:rFonts w:ascii="Times New Roman" w:hAnsi="Times New Roman"/>
          <w:sz w:val="32"/>
          <w:szCs w:val="32"/>
        </w:rPr>
        <w:t>深挖归集潜力，注重宣传引导，资金归集规模持续扩大</w:t>
      </w:r>
    </w:p>
    <w:p w14:paraId="74119DB0">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（1）</w:t>
      </w:r>
      <w:r>
        <w:rPr>
          <w:rFonts w:ascii="Times New Roman" w:hAnsi="Times New Roman"/>
          <w:sz w:val="32"/>
          <w:szCs w:val="32"/>
        </w:rPr>
        <w:t>聚焦重点，拓宽归集新途径。以行政事业单位劳务派遣人员为重点，精准对接未建缴单位，通过实地走访150余家单位，摸排并建立涉及2800名人员的动态管理台账，实现归集工作的精准施策和靶向突破。2025年，全市归集住房公积金57.79亿元，新增缴存单位372个、缴存职工1.88万人。</w:t>
      </w:r>
    </w:p>
    <w:p w14:paraId="6BFABCF7">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（2）</w:t>
      </w:r>
      <w:r>
        <w:rPr>
          <w:rFonts w:ascii="Times New Roman" w:hAnsi="Times New Roman"/>
          <w:sz w:val="32"/>
          <w:szCs w:val="32"/>
        </w:rPr>
        <w:t>协同创新，覆盖缴存新群体。深化“金银协作”，出台专门激励方案，通过归集业务手续费和定期存款配置等激励措施，引导商业银行发挥网点与客户资源优势，共同拓展灵活就业群体缴存业务。创新推出“指尖缴存”服务，依托微信公众号实现业务“掌上办、随时办”。2025年，全市缴存住房公积金的灵活就业人员已达3000多人。</w:t>
      </w:r>
    </w:p>
    <w:p w14:paraId="134ED697">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（3）</w:t>
      </w:r>
      <w:r>
        <w:rPr>
          <w:rFonts w:ascii="Times New Roman" w:hAnsi="Times New Roman"/>
          <w:sz w:val="32"/>
          <w:szCs w:val="32"/>
        </w:rPr>
        <w:t>多维宣传，营造参与新氛围。通过深入企业、走访楼盘、对接银行等多渠道，并借助招聘会、房交会等重要平台，组织开展政策集中宣讲55余场，覆盖受众超十万人次，有效提升了住房公积金政策的社会知晓度和群众参与度。</w:t>
      </w:r>
    </w:p>
    <w:p w14:paraId="4F5B545C">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2.</w:t>
      </w:r>
      <w:r>
        <w:rPr>
          <w:rFonts w:ascii="Times New Roman" w:hAnsi="Times New Roman"/>
          <w:sz w:val="32"/>
          <w:szCs w:val="32"/>
        </w:rPr>
        <w:t>聚力改革创新，强化协同赋能，服务大局成效持续显现</w:t>
      </w:r>
    </w:p>
    <w:p w14:paraId="27DCE4EF">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（1）</w:t>
      </w:r>
      <w:r>
        <w:rPr>
          <w:rFonts w:ascii="Times New Roman" w:hAnsi="Times New Roman"/>
          <w:sz w:val="32"/>
          <w:szCs w:val="32"/>
        </w:rPr>
        <w:t>聚焦住房民生，推动惠民政策精准直达。一是全力保障刚需与改善。严格落实“湘十条”政策，细化执行要点、优化服务流程，确保红利精准直达缴存职工。2025年发放个人住房贷款2300笔、9.78亿元，其中为41户多子女家庭发放贷款1717万元，为42名高层次人才发放贷款3172万元。二是主动创新回应新需求。出台支付购房首付款、家庭代际互助等9项突破性政策。特别是首创零材料物业费提取，大幅简化流程，政策实施以来已办理业务32625笔、提取金额9627万元，有效减轻职工负担，获得广泛好评。</w:t>
      </w:r>
    </w:p>
    <w:p w14:paraId="35484945">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（2）</w:t>
      </w:r>
      <w:r>
        <w:rPr>
          <w:rFonts w:ascii="Times New Roman" w:hAnsi="Times New Roman"/>
          <w:sz w:val="32"/>
          <w:szCs w:val="32"/>
        </w:rPr>
        <w:t>聚焦发展大局，引导金融活水精准灌溉。主动发挥资金规模优势，精准配置金融资源，服务地方经济发展。一是定向激励稳定经济发展。积极落实市政府决策部署，向服务地方经济表现优异的银行配置住房公积金增量资金10亿元，引导和激励银行进一步加大对我市重点领域、重点项目、重点产业的支持力度。二是主动协同支持重大活动。全力对接全国第一届青少年三大球运动会及第四届省旅发大会，分别向合作办赛、办会银行配置住房公积金增量资金6.35亿元、9亿元，以切实的金融支持推动文体旅事业融合发展。</w:t>
      </w:r>
    </w:p>
    <w:p w14:paraId="1C5D75AA">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（3）</w:t>
      </w:r>
      <w:r>
        <w:rPr>
          <w:rFonts w:ascii="Times New Roman" w:hAnsi="Times New Roman"/>
          <w:sz w:val="32"/>
          <w:szCs w:val="32"/>
        </w:rPr>
        <w:t>聚焦存款激励，创新机制力促“保交楼”。建立“金融激励+资源倾斜”机制，对支持“白名单”项目融资的银行，按融资额一定比例给予存款资源配置激励，已为2家银行新增存款支持1.02亿元，撬动2个“白名单”项目融资5.4亿元，有效提振市场信心。</w:t>
      </w:r>
    </w:p>
    <w:p w14:paraId="33BABFA9">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（4）</w:t>
      </w:r>
      <w:r>
        <w:rPr>
          <w:rFonts w:ascii="Times New Roman" w:hAnsi="Times New Roman"/>
          <w:sz w:val="32"/>
          <w:szCs w:val="32"/>
        </w:rPr>
        <w:t>聚焦资产活用，拓展保障性住房供给。一是强化住房保障，夯实资金基础。2025年在管委会报告中已统筹安排保障性住房资金，重点支持恒大养生谷、湘北雅园等项目购建，并覆盖公租房运维、利息补贴、加装电梯补助等配套支出，为房源收储与改造提供稳定资金支持。二是聚焦定向收购，形成闭环机制。联合住建、司法、财政、住保等部门组建专班，运用保障性住房建设补充资金，定向收储住房公积金法拍流拍房源，转化为保障性住房，形成“收储—改造—供给”一体化路径，相关方案已获市政府批准，为抵押资产处置与住房保障提供了“岳阳经验”。</w:t>
      </w:r>
    </w:p>
    <w:p w14:paraId="4BDA34DD">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3.</w:t>
      </w:r>
      <w:r>
        <w:rPr>
          <w:rFonts w:ascii="Times New Roman" w:hAnsi="Times New Roman"/>
          <w:sz w:val="32"/>
          <w:szCs w:val="32"/>
        </w:rPr>
        <w:t>着力法治建设，加强风险防控，资金安全底线持续巩固</w:t>
      </w:r>
    </w:p>
    <w:p w14:paraId="7F8FD6EF">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（1）</w:t>
      </w:r>
      <w:r>
        <w:rPr>
          <w:rFonts w:ascii="Times New Roman" w:hAnsi="Times New Roman"/>
          <w:sz w:val="32"/>
          <w:szCs w:val="32"/>
        </w:rPr>
        <w:t>健全制度体系，在“规范运行”上筑牢根基。高效完成《岳阳市住房公积金缴存管理办法》《岳阳市住房公积金个人住房贷款管理办法》《岳阳市住房公积金提取管理办法》《岳阳市住房公积金行政执法管理办法》等4项规范性文件的起草修订工作，为各项工作依法依规开展提供了根本遵循。上述文件已按规定程序报送市政府审批，后续将推动加快落地实施。</w:t>
      </w:r>
    </w:p>
    <w:p w14:paraId="1EA9680F">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（2）</w:t>
      </w:r>
      <w:r>
        <w:rPr>
          <w:rFonts w:ascii="Times New Roman" w:hAnsi="Times New Roman"/>
          <w:sz w:val="32"/>
          <w:szCs w:val="32"/>
        </w:rPr>
        <w:t>夯实依法处置，在“维权化解”上规范高效。依法妥善处理涉法涉诉及信访维权案件，研究制定《岳阳市住房公积金化解处置涉法涉诉信访案件工作方案》，通过组建工作专班、强化法治培训、引入专业法律顾问，提升矛盾调处的专业化、规范化水平。全年依法妥善处置各类维权案件98起，有效保障了缴存职工合法权益，维护了制度公信力。</w:t>
      </w:r>
    </w:p>
    <w:p w14:paraId="32967CCB">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（3）</w:t>
      </w:r>
      <w:r>
        <w:rPr>
          <w:rFonts w:ascii="Times New Roman" w:hAnsi="Times New Roman"/>
          <w:sz w:val="32"/>
          <w:szCs w:val="32"/>
        </w:rPr>
        <w:t>探索公证赋能，在“诉源压降”上主动作为。着力破解住房公积金贷款涉诉案件周期长、执行难问题，率先推行“住房公积金贷款+赋强公证”模式。与市湘北公证处签订《公证法律服务协议书》，联合建立“失联修复、诉前调解、公证参与执行联动”三大机制，从制度前端有效防范了金融纠纷，实现了诉讼案件的源头减量。</w:t>
      </w:r>
    </w:p>
    <w:p w14:paraId="26A10423">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（4）</w:t>
      </w:r>
      <w:r>
        <w:rPr>
          <w:rFonts w:ascii="Times New Roman" w:hAnsi="Times New Roman"/>
          <w:sz w:val="32"/>
          <w:szCs w:val="32"/>
        </w:rPr>
        <w:t>构建协同治理，在“贷后清收”上实现突破。在首创“公积金+银行+律所+法院”贷后清收机制的基础上，着力推动机制深化与效能转化，基本摸清了运行规律。出台《岳阳市住房公积金个人住房贷款受托银行贷后管理考核办法》，与6家银行建立契约化协作，实现催收流程标准化、责任具体化。2025年已催收至正常还款32户，有效控制逾期金额882.8万元，处置不良贷款20笔、579.17万元，存量风险化解取得实质性进展。针对市直、楼区及市政务中心窗口贷款逾期笔数多、金额持续攀升的情况，集中开展“百日攻坚”专项行动，通过重点攻坚、精准催收和多部门协同，已成功催收逾期贷款24笔、214.9万元，有效遏制了逾期风险蔓延势头，为全年逾期率控制在省厅规定标准万分之三以下奠定了坚实基础。</w:t>
      </w:r>
    </w:p>
    <w:p w14:paraId="212ACC2A">
      <w:pPr>
        <w:pStyle w:val="2"/>
        <w:snapToGrid w:val="0"/>
        <w:spacing w:line="578" w:lineRule="exact"/>
        <w:ind w:firstLine="640"/>
        <w:rPr>
          <w:rFonts w:ascii="Times New Roman" w:hAnsi="Times New Roman"/>
          <w:sz w:val="32"/>
          <w:szCs w:val="32"/>
        </w:rPr>
      </w:pPr>
      <w:r>
        <w:rPr>
          <w:rFonts w:hint="eastAsia" w:ascii="Times New Roman" w:hAnsi="Times New Roman"/>
          <w:sz w:val="32"/>
          <w:szCs w:val="32"/>
        </w:rPr>
        <w:t>（5）</w:t>
      </w:r>
      <w:r>
        <w:rPr>
          <w:rFonts w:ascii="Times New Roman" w:hAnsi="Times New Roman"/>
          <w:sz w:val="32"/>
          <w:szCs w:val="32"/>
        </w:rPr>
        <w:t>深化数据治理，在“数字监管”上提质增效。创新实践数据治理“五步工作法”，深入开展“数据质量提升专项行动”，通过引入专业平台、建立协同机制、攻坚历史数据，我中心在住建部数据治理评估中位列全省第一。在此基础上，制定出台《住房公积金数据安全管理办法》等3项核心制度，形成数据质量与安全闭环管理。</w:t>
      </w:r>
    </w:p>
    <w:p w14:paraId="62D9A1DB">
      <w:pPr>
        <w:pStyle w:val="2"/>
        <w:snapToGrid w:val="0"/>
        <w:spacing w:line="578" w:lineRule="exact"/>
        <w:ind w:firstLine="640"/>
        <w:rPr>
          <w:rFonts w:ascii="Times New Roman" w:hAnsi="Times New Roman" w:eastAsia="楷体"/>
          <w:color w:val="000000"/>
          <w:sz w:val="32"/>
          <w:szCs w:val="32"/>
        </w:rPr>
      </w:pPr>
      <w:r>
        <w:rPr>
          <w:rFonts w:ascii="Times New Roman" w:hAnsi="Times New Roman" w:eastAsia="楷体"/>
          <w:color w:val="000000"/>
          <w:sz w:val="32"/>
          <w:szCs w:val="32"/>
        </w:rPr>
        <w:t>（三）社会公众和服务对象满意度</w:t>
      </w:r>
    </w:p>
    <w:p w14:paraId="02F2D1CC">
      <w:pPr>
        <w:pStyle w:val="2"/>
        <w:snapToGrid w:val="0"/>
        <w:spacing w:line="578" w:lineRule="exact"/>
        <w:ind w:firstLine="642" w:firstLineChars="0"/>
        <w:rPr>
          <w:rFonts w:ascii="Times New Roman" w:hAnsi="Times New Roman"/>
          <w:sz w:val="32"/>
          <w:szCs w:val="32"/>
        </w:rPr>
      </w:pPr>
      <w:r>
        <w:rPr>
          <w:rFonts w:ascii="Times New Roman" w:hAnsi="Times New Roman"/>
          <w:sz w:val="32"/>
          <w:szCs w:val="32"/>
        </w:rPr>
        <w:t>发放问卷调查</w:t>
      </w:r>
      <w:r>
        <w:rPr>
          <w:rFonts w:hint="eastAsia" w:ascii="Times New Roman" w:hAnsi="Times New Roman"/>
          <w:sz w:val="32"/>
          <w:szCs w:val="32"/>
          <w:lang w:val="en-US" w:eastAsia="zh-CN"/>
        </w:rPr>
        <w:t>100</w:t>
      </w:r>
      <w:r>
        <w:rPr>
          <w:rFonts w:ascii="Times New Roman" w:hAnsi="Times New Roman"/>
          <w:sz w:val="32"/>
          <w:szCs w:val="32"/>
        </w:rPr>
        <w:t>份，收回有效问卷</w:t>
      </w:r>
      <w:r>
        <w:rPr>
          <w:rFonts w:hint="eastAsia" w:ascii="Times New Roman" w:hAnsi="Times New Roman"/>
          <w:sz w:val="32"/>
          <w:szCs w:val="32"/>
          <w:lang w:val="en-US" w:eastAsia="zh-CN"/>
        </w:rPr>
        <w:t>100</w:t>
      </w:r>
      <w:r>
        <w:rPr>
          <w:rFonts w:ascii="Times New Roman" w:hAnsi="Times New Roman"/>
          <w:sz w:val="32"/>
          <w:szCs w:val="32"/>
        </w:rPr>
        <w:t>份，根据评分标准统计满意度为</w:t>
      </w:r>
      <w:r>
        <w:rPr>
          <w:rFonts w:hint="eastAsia" w:ascii="Times New Roman" w:hAnsi="Times New Roman"/>
          <w:sz w:val="32"/>
          <w:szCs w:val="32"/>
          <w:lang w:val="en-US" w:eastAsia="zh-CN"/>
        </w:rPr>
        <w:t>99</w:t>
      </w:r>
      <w:r>
        <w:rPr>
          <w:rFonts w:ascii="Times New Roman" w:hAnsi="Times New Roman"/>
          <w:sz w:val="32"/>
          <w:szCs w:val="32"/>
        </w:rPr>
        <w:t>分，满意度高。</w:t>
      </w:r>
    </w:p>
    <w:p w14:paraId="04A179BB">
      <w:pPr>
        <w:pStyle w:val="2"/>
        <w:snapToGrid w:val="0"/>
        <w:spacing w:line="578" w:lineRule="exact"/>
        <w:ind w:firstLine="642" w:firstLineChars="0"/>
        <w:rPr>
          <w:rFonts w:ascii="Times New Roman" w:hAnsi="Times New Roman" w:eastAsia="楷体"/>
          <w:b/>
          <w:bCs/>
          <w:color w:val="000000"/>
          <w:sz w:val="32"/>
          <w:szCs w:val="32"/>
        </w:rPr>
      </w:pPr>
      <w:r>
        <w:rPr>
          <w:rFonts w:ascii="Times New Roman" w:hAnsi="Times New Roman" w:eastAsia="楷体"/>
          <w:b/>
          <w:bCs/>
          <w:color w:val="000000"/>
          <w:sz w:val="32"/>
          <w:szCs w:val="32"/>
        </w:rPr>
        <w:t>（四）综合评价结果</w:t>
      </w:r>
    </w:p>
    <w:p w14:paraId="524FBDD0">
      <w:pPr>
        <w:snapToGrid w:val="0"/>
        <w:spacing w:line="578" w:lineRule="exact"/>
        <w:ind w:firstLine="640" w:firstLineChars="200"/>
        <w:rPr>
          <w:rFonts w:eastAsia="仿宋_GB2312"/>
          <w:bCs/>
          <w:color w:val="666666"/>
          <w:sz w:val="32"/>
          <w:szCs w:val="32"/>
          <w:shd w:val="clear" w:color="auto" w:fill="FFFFFF"/>
        </w:rPr>
      </w:pPr>
      <w:r>
        <w:rPr>
          <w:rFonts w:eastAsia="仿宋_GB2312"/>
          <w:sz w:val="32"/>
          <w:szCs w:val="32"/>
        </w:rPr>
        <w:t>根据《岳阳市市级预算部门绩效自评操作规程》要求，自评小组认为岳阳市住房公积金管理中心202</w:t>
      </w:r>
      <w:r>
        <w:rPr>
          <w:rFonts w:hint="eastAsia" w:eastAsia="仿宋_GB2312"/>
          <w:sz w:val="32"/>
          <w:szCs w:val="32"/>
        </w:rPr>
        <w:t>5</w:t>
      </w:r>
      <w:r>
        <w:rPr>
          <w:rFonts w:eastAsia="仿宋_GB2312"/>
          <w:sz w:val="32"/>
          <w:szCs w:val="32"/>
        </w:rPr>
        <w:t>年度部门整体支出绩效</w:t>
      </w:r>
      <w:r>
        <w:rPr>
          <w:rFonts w:eastAsia="仿宋_GB2312"/>
          <w:bCs/>
          <w:sz w:val="32"/>
          <w:szCs w:val="32"/>
        </w:rPr>
        <w:t>符合财务会计管理规定</w:t>
      </w:r>
      <w:r>
        <w:rPr>
          <w:rFonts w:hint="eastAsia" w:eastAsia="仿宋_GB2312"/>
          <w:bCs/>
          <w:sz w:val="32"/>
          <w:szCs w:val="32"/>
        </w:rPr>
        <w:t>。</w:t>
      </w:r>
      <w:r>
        <w:rPr>
          <w:rFonts w:eastAsia="仿宋_GB2312"/>
          <w:bCs/>
          <w:sz w:val="32"/>
          <w:szCs w:val="32"/>
        </w:rPr>
        <w:t>在经费管理上，内部控制机制健全，办公设备购置和政府采购流程规范，实现预算执行与资金使用全过程有效监督，确保了支出合规、高效。在业务运营上，通过科学管理实现了住房公积金的安全增值，资金运作效益明显。在服务民生上，积极发挥住房保障作用，有效满足缴存职工基本与改善性住房需求，助力我市住房市场平稳健康发展。总体来看，2025年度部门整体支出绩效目标实现程度较好，取得了较好的经济效益和社会效益。</w:t>
      </w:r>
    </w:p>
    <w:p w14:paraId="443FF41E">
      <w:pPr>
        <w:pStyle w:val="6"/>
        <w:widowControl/>
        <w:snapToGrid w:val="0"/>
        <w:spacing w:line="578"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1D07022F">
      <w:pPr>
        <w:widowControl/>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扩面工作面临较大困境。当前行政、事业单位已基本实现制度全覆盖，扩面重点转向非公企业。但受经济环境影响，部分企业经营困难，断缴、缓缴现象增多，加之人员流动频繁，归集扩面信心明显不足，工作推进难度加大。</w:t>
      </w:r>
    </w:p>
    <w:p w14:paraId="70DD9062">
      <w:pPr>
        <w:widowControl/>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贷款发放业务持续低迷。受房地产市场低迷、需求不足及商业贷款利率下调等因素叠加影响，各管理部贷款业务量持续下滑。尽管已出台多项政策加以纾解，但职工更倾向选择提取业务，贷款市场整体仍趋冷清。</w:t>
      </w:r>
    </w:p>
    <w:p w14:paraId="7E7E38DD">
      <w:pPr>
        <w:widowControl/>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维权投诉情况逐渐凸显。职工维权意识提升，不缴、少缴或欠缴公积金的群体性投诉有所增加，个别甚至演变为信访问题。在优化营商环境的背景下，相关纠纷调处较为被动，不利于快速化解矛盾和保障职工权益。</w:t>
      </w:r>
    </w:p>
    <w:p w14:paraId="32714285">
      <w:pPr>
        <w:widowControl/>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（四）逾期防范压力逐年加大。随着</w:t>
      </w:r>
      <w:r>
        <w:rPr>
          <w:rFonts w:hint="eastAsia" w:ascii="仿宋_GB2312" w:hAnsi="仿宋_GB2312" w:eastAsia="仿宋_GB2312" w:cs="仿宋_GB2312"/>
          <w:sz w:val="32"/>
          <w:szCs w:val="32"/>
          <w:lang w:val="en-US" w:eastAsia="zh-CN"/>
        </w:rPr>
        <w:t>经济结构持续调整</w:t>
      </w:r>
      <w:r>
        <w:rPr>
          <w:rFonts w:hint="eastAsia" w:ascii="仿宋_GB2312" w:hAnsi="仿宋_GB2312" w:eastAsia="仿宋_GB2312" w:cs="仿宋_GB2312"/>
          <w:sz w:val="32"/>
          <w:szCs w:val="32"/>
        </w:rPr>
        <w:t>，逾期风险预计逐步上升。当前虽已探索贷后管理新机制，但因司法流程较长、多方协作机制尚未完全畅通，难以迅速见效。尤其在当前市场环境下，即便进入司法处置，资产变现也可能面临流拍风险。</w:t>
      </w:r>
    </w:p>
    <w:p w14:paraId="6ACBF806">
      <w:pPr>
        <w:pStyle w:val="2"/>
        <w:ind w:firstLine="640"/>
        <w:rPr>
          <w:rFonts w:hint="eastAsia"/>
        </w:rPr>
      </w:pPr>
      <w:r>
        <w:rPr>
          <w:rFonts w:hint="eastAsia" w:ascii="仿宋_GB2312" w:hAnsi="仿宋_GB2312" w:cs="仿宋_GB2312"/>
          <w:sz w:val="32"/>
          <w:szCs w:val="32"/>
        </w:rPr>
        <w:t>（五）预算管理</w:t>
      </w:r>
      <w:r>
        <w:rPr>
          <w:rFonts w:ascii="仿宋_GB2312" w:hAnsi="仿宋_GB2312" w:cs="仿宋_GB2312"/>
          <w:sz w:val="32"/>
          <w:szCs w:val="32"/>
        </w:rPr>
        <w:t>跨部门协同有待提升。</w:t>
      </w:r>
      <w:r>
        <w:rPr>
          <w:rFonts w:cs="Calibri"/>
          <w:sz w:val="32"/>
          <w:szCs w:val="32"/>
        </w:rPr>
        <w:t> </w:t>
      </w:r>
      <w:r>
        <w:rPr>
          <w:rFonts w:ascii="仿宋_GB2312" w:hAnsi="仿宋_GB2312" w:cs="仿宋_GB2312"/>
          <w:sz w:val="32"/>
          <w:szCs w:val="32"/>
        </w:rPr>
        <w:t>在预算编制与执行过程中，与业务部门的沟通联动有时不够充分、及时，导致部分项目预算与实际业务需求的契合度、支出进度的预见性有待增强。</w:t>
      </w:r>
      <w:r>
        <w:rPr>
          <w:rFonts w:hint="eastAsia" w:ascii="仿宋_GB2312" w:hAnsi="仿宋_GB2312" w:cs="仿宋_GB2312"/>
          <w:sz w:val="32"/>
          <w:szCs w:val="32"/>
        </w:rPr>
        <w:t>后续将建立常态化协同机制，强化财务与业务的联动衔接。</w:t>
      </w:r>
    </w:p>
    <w:p w14:paraId="7A3A6E81">
      <w:pPr>
        <w:widowControl/>
        <w:snapToGrid w:val="0"/>
        <w:spacing w:line="578" w:lineRule="exact"/>
        <w:ind w:firstLine="640" w:firstLineChars="200"/>
        <w:rPr>
          <w:rFonts w:eastAsia="黑体"/>
          <w:sz w:val="32"/>
          <w:szCs w:val="32"/>
        </w:rPr>
      </w:pPr>
      <w:r>
        <w:rPr>
          <w:rFonts w:eastAsia="黑体"/>
          <w:sz w:val="32"/>
          <w:szCs w:val="32"/>
        </w:rPr>
        <w:t>八、下一步改进措施</w:t>
      </w:r>
    </w:p>
    <w:p w14:paraId="44F529A8">
      <w:pPr>
        <w:widowControl/>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聚焦形势研判与需求响应，优化政策供给体系。认真落实中央经济工作会议精神和省、市政府工作报告中“深化住房公积金制度改革”的要求，加强前瞻性政策储备，优化住房公积金使用政策，加强其与住房保障、住房市场的协同联动。聚焦新市民、青年人等住房困难群体，加大对租赁住房、购买保障性住房、老旧小区改造等的消费支持，助力城市更新与“好房子”建设。围绕居民全生命周期多样化需求，探索建立适应不同人生阶段的政策支持体系，推动实现从“住有所居”到“住有宜居”“住有优居”的梯次升级。</w:t>
      </w:r>
    </w:p>
    <w:p w14:paraId="782D581C">
      <w:pPr>
        <w:widowControl/>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聚焦制度扩面与权益维护，着力补齐覆盖短板。落实“投资于人”导向，以灵活就业人员和新就业形态劳动者为重点，完善适应其特点的缴存使用机制，稳步扩大制度覆盖范围，提升制度的普惠性、共享性和可及性。严格执行《岳阳市住房公积金缴存管理办法》《岳阳市住房公积金个人住房贷款管理办法》《岳阳市住房公积金提取管理办法》《岳阳市住房公积金行政执法管理办法》，配套制定实施细则，健全维权案件受理、调查、处理的闭环工作机制，依托专业力量提升调处能力，妥善处理各类维权案件，以实际行动维护职工合法权益。</w:t>
      </w:r>
    </w:p>
    <w:p w14:paraId="27A3490E">
      <w:pPr>
        <w:widowControl/>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聚焦数字赋能与业务协同，加快智慧场景升级。持续推进住房公积金数字化发展，深化人工智能、大数据、大模型等技术的应用，强化数据资源利用，丰富数字化场景，推动运行方式、业务流程和服务模式向数字化、智能化转型。加强跨部门数据共享与业务协同，持续落实“高效办成一件事”以及“一网通办”服务事项。</w:t>
      </w:r>
    </w:p>
    <w:p w14:paraId="39617599">
      <w:pPr>
        <w:widowControl/>
        <w:snapToGrid w:val="0"/>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聚焦风险化解与前瞻防范，筑牢资金安全屏障。健全贷后风险监测预警机制，加强对贷款资金流向、借款人履约情况、抵押物价值波动等关键指标的实时追踪与动态监测，确保各类风险隐患早识别、早预警、早处置。加快推进利用保障性住房建设补充资金收购住房公积金抵押贷款法拍流拍房用作保障性住房工作，为逾期贷款清收的后续处置工作提供坚实保障。</w:t>
      </w:r>
    </w:p>
    <w:p w14:paraId="04677CAA">
      <w:pPr>
        <w:pStyle w:val="2"/>
        <w:ind w:firstLineChars="0"/>
        <w:rPr>
          <w:rFonts w:ascii="仿宋_GB2312" w:hAnsi="仿宋_GB2312" w:cs="仿宋_GB2312"/>
          <w:sz w:val="32"/>
          <w:szCs w:val="32"/>
        </w:rPr>
      </w:pPr>
      <w:r>
        <w:rPr>
          <w:rFonts w:hint="eastAsia" w:ascii="仿宋_GB2312" w:hAnsi="仿宋_GB2312" w:cs="仿宋_GB2312"/>
          <w:sz w:val="32"/>
          <w:szCs w:val="32"/>
        </w:rPr>
        <w:t>（五）</w:t>
      </w:r>
      <w:r>
        <w:rPr>
          <w:rFonts w:ascii="仿宋_GB2312" w:hAnsi="仿宋_GB2312" w:cs="仿宋_GB2312"/>
          <w:sz w:val="32"/>
          <w:szCs w:val="32"/>
        </w:rPr>
        <w:t>构建常态化协同机制</w:t>
      </w:r>
      <w:r>
        <w:rPr>
          <w:rFonts w:hint="eastAsia" w:ascii="仿宋_GB2312" w:hAnsi="仿宋_GB2312" w:cs="仿宋_GB2312"/>
          <w:sz w:val="32"/>
          <w:szCs w:val="32"/>
        </w:rPr>
        <w:t>，强化财务与业务的联动衔接。</w:t>
      </w:r>
      <w:r>
        <w:rPr>
          <w:rFonts w:ascii="仿宋_GB2312" w:hAnsi="仿宋_GB2312" w:cs="仿宋_GB2312"/>
          <w:sz w:val="32"/>
          <w:szCs w:val="32"/>
        </w:rPr>
        <w:t>在预算编制阶段，建立业务需求与预算编制的联合评审流程，确保预算指标与业务计划逐项匹配；在预算执行过程中，及时共享项目进展与资金支出进度数据，提升支出进度的预见性与可控性</w:t>
      </w:r>
      <w:r>
        <w:rPr>
          <w:rFonts w:hint="eastAsia" w:ascii="仿宋_GB2312" w:hAnsi="仿宋_GB2312" w:cs="仿宋_GB2312"/>
          <w:sz w:val="32"/>
          <w:szCs w:val="32"/>
        </w:rPr>
        <w:t>。</w:t>
      </w:r>
    </w:p>
    <w:p w14:paraId="74FA96B1">
      <w:pPr>
        <w:widowControl/>
        <w:snapToGrid w:val="0"/>
        <w:spacing w:line="578" w:lineRule="exact"/>
        <w:ind w:firstLine="640" w:firstLineChars="200"/>
        <w:rPr>
          <w:rFonts w:eastAsia="黑体"/>
          <w:sz w:val="32"/>
          <w:szCs w:val="32"/>
        </w:rPr>
      </w:pPr>
      <w:r>
        <w:rPr>
          <w:rFonts w:eastAsia="黑体"/>
          <w:sz w:val="32"/>
          <w:szCs w:val="32"/>
        </w:rPr>
        <w:t>九、部门整体支出绩效自评结果拟应用和公开情况</w:t>
      </w:r>
    </w:p>
    <w:p w14:paraId="5701BA64">
      <w:pPr>
        <w:snapToGrid w:val="0"/>
        <w:spacing w:line="578" w:lineRule="exact"/>
        <w:ind w:firstLine="640" w:firstLineChars="200"/>
      </w:pPr>
      <w:r>
        <w:rPr>
          <w:rFonts w:eastAsia="仿宋_GB2312"/>
          <w:sz w:val="32"/>
          <w:szCs w:val="32"/>
        </w:rPr>
        <w:t>采取项目预期绩效目标申报制度，强化绩效评价结果在部门预算编制和执行中的应用，做好绩效评价与部门预算的有机结合，促进财政资金的合理分配与有效使用。同时将评价结果按照政府信息公开的方式进行公开，加强社会公众对财政资金使用效益的监督。</w:t>
      </w:r>
    </w:p>
    <w:p w14:paraId="32EA5716">
      <w:pPr>
        <w:widowControl/>
        <w:snapToGrid w:val="0"/>
        <w:spacing w:line="578" w:lineRule="exact"/>
        <w:ind w:firstLine="643" w:firstLineChars="200"/>
        <w:rPr>
          <w:rFonts w:eastAsia="黑体"/>
          <w:sz w:val="32"/>
          <w:szCs w:val="32"/>
        </w:rPr>
      </w:pPr>
      <w:r>
        <w:rPr>
          <w:rFonts w:eastAsia="黑体"/>
          <w:b/>
          <w:bCs/>
          <w:sz w:val="32"/>
          <w:szCs w:val="32"/>
        </w:rPr>
        <w:t>十、</w:t>
      </w:r>
      <w:r>
        <w:rPr>
          <w:rFonts w:eastAsia="黑体"/>
          <w:sz w:val="32"/>
          <w:szCs w:val="32"/>
        </w:rPr>
        <w:t>其他需要说明的情况（无）</w:t>
      </w:r>
    </w:p>
    <w:p w14:paraId="29BFE8B4">
      <w:pPr>
        <w:widowControl/>
        <w:spacing w:line="640" w:lineRule="exact"/>
        <w:ind w:firstLine="640" w:firstLineChars="200"/>
        <w:rPr>
          <w:rFonts w:eastAsia="仿宋_GB2312"/>
          <w:sz w:val="32"/>
          <w:szCs w:val="32"/>
        </w:rPr>
      </w:pPr>
    </w:p>
    <w:p w14:paraId="089FE4A8">
      <w:pPr>
        <w:widowControl/>
        <w:spacing w:line="640" w:lineRule="exact"/>
        <w:ind w:firstLine="640" w:firstLineChars="200"/>
        <w:rPr>
          <w:rFonts w:eastAsia="仿宋_GB2312"/>
          <w:sz w:val="32"/>
          <w:szCs w:val="32"/>
        </w:rPr>
      </w:pPr>
      <w:r>
        <w:rPr>
          <w:rFonts w:eastAsia="仿宋_GB2312"/>
          <w:sz w:val="32"/>
          <w:szCs w:val="32"/>
        </w:rPr>
        <w:t>附件：</w:t>
      </w:r>
    </w:p>
    <w:p w14:paraId="54BA6C22">
      <w:pPr>
        <w:widowControl/>
        <w:spacing w:line="640" w:lineRule="exact"/>
        <w:ind w:firstLine="640" w:firstLineChars="200"/>
        <w:rPr>
          <w:rFonts w:eastAsia="仿宋_GB2312"/>
          <w:sz w:val="32"/>
          <w:szCs w:val="32"/>
        </w:rPr>
      </w:pPr>
      <w:r>
        <w:rPr>
          <w:rFonts w:eastAsia="仿宋_GB2312"/>
          <w:sz w:val="32"/>
          <w:szCs w:val="32"/>
        </w:rPr>
        <w:t>1.部门整体支出绩效评价基础数据表</w:t>
      </w:r>
    </w:p>
    <w:p w14:paraId="39ECC7B8">
      <w:pPr>
        <w:widowControl/>
        <w:spacing w:line="640" w:lineRule="exact"/>
        <w:ind w:firstLine="640" w:firstLineChars="200"/>
        <w:rPr>
          <w:rFonts w:eastAsia="仿宋_GB2312"/>
          <w:sz w:val="32"/>
          <w:szCs w:val="32"/>
        </w:rPr>
      </w:pPr>
      <w:r>
        <w:rPr>
          <w:rFonts w:eastAsia="仿宋_GB2312"/>
          <w:sz w:val="32"/>
          <w:szCs w:val="32"/>
        </w:rPr>
        <w:t>2.部门整体支出绩效自评表</w:t>
      </w:r>
    </w:p>
    <w:p w14:paraId="7525E576">
      <w:pPr>
        <w:widowControl/>
        <w:spacing w:line="640" w:lineRule="exact"/>
        <w:ind w:firstLine="640" w:firstLineChars="200"/>
        <w:rPr>
          <w:rFonts w:eastAsia="仿宋_GB2312"/>
          <w:sz w:val="32"/>
          <w:szCs w:val="32"/>
        </w:rPr>
      </w:pPr>
      <w:r>
        <w:rPr>
          <w:rFonts w:eastAsia="仿宋_GB2312"/>
          <w:sz w:val="32"/>
          <w:szCs w:val="32"/>
        </w:rPr>
        <w:t>3.项目支出绩效自评表</w:t>
      </w:r>
    </w:p>
    <w:p w14:paraId="18ADD026">
      <w:pPr>
        <w:pStyle w:val="2"/>
        <w:rPr>
          <w:rFonts w:eastAsia="仿宋_GB2312"/>
          <w:sz w:val="32"/>
          <w:szCs w:val="32"/>
        </w:rPr>
      </w:pPr>
    </w:p>
    <w:p w14:paraId="605B5F9C">
      <w:pPr>
        <w:pStyle w:val="2"/>
        <w:rPr>
          <w:rFonts w:eastAsia="仿宋_GB2312"/>
          <w:sz w:val="32"/>
          <w:szCs w:val="32"/>
        </w:rPr>
      </w:pPr>
    </w:p>
    <w:p w14:paraId="60A0C6BC">
      <w:pPr>
        <w:pStyle w:val="2"/>
        <w:rPr>
          <w:rFonts w:eastAsia="仿宋_GB2312"/>
          <w:sz w:val="32"/>
          <w:szCs w:val="32"/>
        </w:rPr>
      </w:pPr>
    </w:p>
    <w:p w14:paraId="54821224">
      <w:pPr>
        <w:pStyle w:val="2"/>
        <w:rPr>
          <w:rFonts w:eastAsia="仿宋_GB2312"/>
          <w:sz w:val="32"/>
          <w:szCs w:val="32"/>
        </w:rPr>
      </w:pPr>
    </w:p>
    <w:p w14:paraId="17E8F3D1">
      <w:pPr>
        <w:pStyle w:val="2"/>
        <w:rPr>
          <w:rFonts w:eastAsia="仿宋_GB2312"/>
          <w:sz w:val="32"/>
          <w:szCs w:val="32"/>
        </w:rPr>
      </w:pPr>
    </w:p>
    <w:p w14:paraId="0355B0AA">
      <w:pPr>
        <w:pStyle w:val="2"/>
        <w:rPr>
          <w:rFonts w:eastAsia="仿宋_GB2312"/>
          <w:sz w:val="32"/>
          <w:szCs w:val="32"/>
        </w:rPr>
      </w:pPr>
    </w:p>
    <w:p w14:paraId="17D5E467">
      <w:pPr>
        <w:pStyle w:val="2"/>
        <w:rPr>
          <w:rFonts w:eastAsia="仿宋_GB2312"/>
          <w:sz w:val="32"/>
          <w:szCs w:val="32"/>
        </w:rPr>
      </w:pPr>
    </w:p>
    <w:p w14:paraId="49D52979">
      <w:pPr>
        <w:pStyle w:val="2"/>
        <w:rPr>
          <w:rFonts w:eastAsia="仿宋_GB2312"/>
          <w:sz w:val="32"/>
          <w:szCs w:val="32"/>
        </w:rPr>
      </w:pPr>
    </w:p>
    <w:p w14:paraId="4BB4CA4E">
      <w:pPr>
        <w:pStyle w:val="2"/>
        <w:rPr>
          <w:rFonts w:eastAsia="仿宋_GB2312"/>
          <w:sz w:val="32"/>
          <w:szCs w:val="32"/>
        </w:rPr>
      </w:pPr>
    </w:p>
    <w:p w14:paraId="09591D6C">
      <w:pPr>
        <w:pStyle w:val="2"/>
        <w:rPr>
          <w:rFonts w:eastAsia="仿宋_GB2312"/>
          <w:sz w:val="32"/>
          <w:szCs w:val="32"/>
        </w:rPr>
      </w:pPr>
    </w:p>
    <w:p w14:paraId="3BCF2B67">
      <w:pPr>
        <w:pStyle w:val="2"/>
        <w:rPr>
          <w:rFonts w:eastAsia="仿宋_GB2312"/>
          <w:sz w:val="32"/>
          <w:szCs w:val="32"/>
        </w:rPr>
      </w:pPr>
    </w:p>
    <w:p w14:paraId="50A8442C">
      <w:pPr>
        <w:pStyle w:val="2"/>
        <w:rPr>
          <w:rFonts w:eastAsia="仿宋_GB2312"/>
          <w:sz w:val="32"/>
          <w:szCs w:val="32"/>
        </w:rPr>
      </w:pPr>
    </w:p>
    <w:p w14:paraId="59F4F561">
      <w:pPr>
        <w:pStyle w:val="2"/>
        <w:rPr>
          <w:rFonts w:eastAsia="仿宋_GB2312"/>
          <w:sz w:val="32"/>
          <w:szCs w:val="32"/>
        </w:rPr>
      </w:pPr>
    </w:p>
    <w:p w14:paraId="238439AB">
      <w:pPr>
        <w:pStyle w:val="2"/>
        <w:rPr>
          <w:rFonts w:eastAsia="仿宋_GB2312"/>
          <w:sz w:val="32"/>
          <w:szCs w:val="32"/>
        </w:rPr>
      </w:pPr>
    </w:p>
    <w:p w14:paraId="28D9FE86">
      <w:pPr>
        <w:pStyle w:val="2"/>
        <w:rPr>
          <w:rFonts w:eastAsia="仿宋_GB2312"/>
          <w:sz w:val="32"/>
          <w:szCs w:val="32"/>
        </w:rPr>
      </w:pPr>
    </w:p>
    <w:p w14:paraId="4254C3D1">
      <w:pPr>
        <w:pStyle w:val="2"/>
        <w:rPr>
          <w:rFonts w:eastAsia="仿宋_GB2312"/>
          <w:sz w:val="32"/>
          <w:szCs w:val="32"/>
        </w:rPr>
      </w:pPr>
    </w:p>
    <w:p w14:paraId="1D9A989B">
      <w:pPr>
        <w:pStyle w:val="2"/>
        <w:rPr>
          <w:rFonts w:eastAsia="仿宋_GB2312"/>
          <w:sz w:val="32"/>
          <w:szCs w:val="32"/>
        </w:rPr>
      </w:pPr>
    </w:p>
    <w:p w14:paraId="4857C8B0">
      <w:pPr>
        <w:pStyle w:val="2"/>
        <w:rPr>
          <w:rFonts w:eastAsia="仿宋_GB2312"/>
          <w:sz w:val="32"/>
          <w:szCs w:val="32"/>
        </w:rPr>
      </w:pPr>
    </w:p>
    <w:p w14:paraId="7EC897C6">
      <w:pPr>
        <w:pStyle w:val="2"/>
        <w:rPr>
          <w:rFonts w:eastAsia="仿宋_GB2312"/>
          <w:sz w:val="32"/>
          <w:szCs w:val="32"/>
        </w:rPr>
      </w:pPr>
    </w:p>
    <w:tbl>
      <w:tblPr>
        <w:tblStyle w:val="4"/>
        <w:tblW w:w="137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0"/>
        <w:gridCol w:w="1163"/>
        <w:gridCol w:w="1112"/>
        <w:gridCol w:w="1231"/>
        <w:gridCol w:w="1116"/>
        <w:gridCol w:w="942"/>
        <w:gridCol w:w="1213"/>
      </w:tblGrid>
      <w:tr w14:paraId="618F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1580" w:type="dxa"/>
            <w:tcBorders>
              <w:top w:val="nil"/>
              <w:left w:val="nil"/>
              <w:bottom w:val="nil"/>
              <w:right w:val="nil"/>
            </w:tcBorders>
            <w:shd w:val="clear" w:color="auto" w:fill="auto"/>
            <w:vAlign w:val="center"/>
          </w:tcPr>
          <w:p w14:paraId="1D3CA1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附件1</w:t>
            </w:r>
          </w:p>
        </w:tc>
        <w:tc>
          <w:tcPr>
            <w:tcW w:w="1163" w:type="dxa"/>
            <w:tcBorders>
              <w:top w:val="nil"/>
              <w:left w:val="nil"/>
              <w:bottom w:val="nil"/>
              <w:right w:val="nil"/>
            </w:tcBorders>
            <w:shd w:val="clear" w:color="auto" w:fill="auto"/>
            <w:noWrap/>
            <w:vAlign w:val="center"/>
          </w:tcPr>
          <w:p w14:paraId="4E12521D">
            <w:pPr>
              <w:rPr>
                <w:rFonts w:hint="eastAsia" w:ascii="宋体" w:hAnsi="宋体" w:eastAsia="宋体" w:cs="宋体"/>
                <w:i w:val="0"/>
                <w:iCs w:val="0"/>
                <w:color w:val="000000"/>
                <w:sz w:val="22"/>
                <w:szCs w:val="22"/>
                <w:u w:val="none"/>
              </w:rPr>
            </w:pPr>
          </w:p>
        </w:tc>
        <w:tc>
          <w:tcPr>
            <w:tcW w:w="1112" w:type="dxa"/>
            <w:tcBorders>
              <w:top w:val="nil"/>
              <w:left w:val="nil"/>
              <w:bottom w:val="nil"/>
              <w:right w:val="nil"/>
            </w:tcBorders>
            <w:shd w:val="clear" w:color="auto" w:fill="auto"/>
            <w:noWrap/>
            <w:vAlign w:val="center"/>
          </w:tcPr>
          <w:p w14:paraId="64D7A89F">
            <w:pPr>
              <w:rPr>
                <w:rFonts w:hint="eastAsia" w:ascii="宋体" w:hAnsi="宋体" w:eastAsia="宋体" w:cs="宋体"/>
                <w:i w:val="0"/>
                <w:iCs w:val="0"/>
                <w:color w:val="000000"/>
                <w:sz w:val="22"/>
                <w:szCs w:val="22"/>
                <w:u w:val="none"/>
              </w:rPr>
            </w:pPr>
          </w:p>
        </w:tc>
        <w:tc>
          <w:tcPr>
            <w:tcW w:w="1231" w:type="dxa"/>
            <w:tcBorders>
              <w:top w:val="nil"/>
              <w:left w:val="nil"/>
              <w:bottom w:val="nil"/>
              <w:right w:val="nil"/>
            </w:tcBorders>
            <w:shd w:val="clear" w:color="auto" w:fill="auto"/>
            <w:noWrap/>
            <w:vAlign w:val="center"/>
          </w:tcPr>
          <w:p w14:paraId="7A6A426F">
            <w:pPr>
              <w:rPr>
                <w:rFonts w:hint="eastAsia" w:ascii="宋体" w:hAnsi="宋体" w:eastAsia="宋体" w:cs="宋体"/>
                <w:i w:val="0"/>
                <w:iCs w:val="0"/>
                <w:color w:val="000000"/>
                <w:sz w:val="22"/>
                <w:szCs w:val="22"/>
                <w:u w:val="none"/>
              </w:rPr>
            </w:pPr>
          </w:p>
        </w:tc>
        <w:tc>
          <w:tcPr>
            <w:tcW w:w="1116" w:type="dxa"/>
            <w:tcBorders>
              <w:top w:val="nil"/>
              <w:left w:val="nil"/>
              <w:bottom w:val="nil"/>
              <w:right w:val="nil"/>
            </w:tcBorders>
            <w:shd w:val="clear" w:color="auto" w:fill="auto"/>
            <w:noWrap/>
            <w:vAlign w:val="center"/>
          </w:tcPr>
          <w:p w14:paraId="2475A006">
            <w:pPr>
              <w:rPr>
                <w:rFonts w:hint="eastAsia" w:ascii="宋体" w:hAnsi="宋体" w:eastAsia="宋体" w:cs="宋体"/>
                <w:i w:val="0"/>
                <w:iCs w:val="0"/>
                <w:color w:val="000000"/>
                <w:sz w:val="22"/>
                <w:szCs w:val="22"/>
                <w:u w:val="none"/>
              </w:rPr>
            </w:pPr>
          </w:p>
        </w:tc>
        <w:tc>
          <w:tcPr>
            <w:tcW w:w="942" w:type="dxa"/>
            <w:tcBorders>
              <w:top w:val="nil"/>
              <w:left w:val="nil"/>
              <w:bottom w:val="nil"/>
              <w:right w:val="nil"/>
            </w:tcBorders>
            <w:shd w:val="clear" w:color="auto" w:fill="auto"/>
            <w:noWrap/>
            <w:vAlign w:val="center"/>
          </w:tcPr>
          <w:p w14:paraId="62BCA0A2">
            <w:pPr>
              <w:rPr>
                <w:rFonts w:hint="eastAsia" w:ascii="宋体" w:hAnsi="宋体" w:eastAsia="宋体" w:cs="宋体"/>
                <w:i w:val="0"/>
                <w:iCs w:val="0"/>
                <w:color w:val="000000"/>
                <w:sz w:val="22"/>
                <w:szCs w:val="22"/>
                <w:u w:val="none"/>
              </w:rPr>
            </w:pPr>
          </w:p>
        </w:tc>
        <w:tc>
          <w:tcPr>
            <w:tcW w:w="1213" w:type="dxa"/>
            <w:tcBorders>
              <w:top w:val="nil"/>
              <w:left w:val="nil"/>
              <w:bottom w:val="nil"/>
              <w:right w:val="nil"/>
            </w:tcBorders>
            <w:shd w:val="clear" w:color="auto" w:fill="auto"/>
            <w:noWrap/>
            <w:vAlign w:val="center"/>
          </w:tcPr>
          <w:p w14:paraId="5BD3DAF2">
            <w:pPr>
              <w:rPr>
                <w:rFonts w:hint="eastAsia" w:ascii="宋体" w:hAnsi="宋体" w:eastAsia="宋体" w:cs="宋体"/>
                <w:i w:val="0"/>
                <w:iCs w:val="0"/>
                <w:color w:val="000000"/>
                <w:sz w:val="22"/>
                <w:szCs w:val="22"/>
                <w:u w:val="none"/>
              </w:rPr>
            </w:pPr>
          </w:p>
        </w:tc>
      </w:tr>
      <w:tr w14:paraId="4E95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8357" w:type="dxa"/>
            <w:gridSpan w:val="7"/>
            <w:tcBorders>
              <w:top w:val="nil"/>
              <w:left w:val="nil"/>
              <w:bottom w:val="nil"/>
              <w:right w:val="nil"/>
            </w:tcBorders>
            <w:shd w:val="clear" w:color="auto" w:fill="auto"/>
            <w:vAlign w:val="center"/>
          </w:tcPr>
          <w:p w14:paraId="36CF58C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2025年度部门整体支出绩效评价基础数据表</w:t>
            </w:r>
          </w:p>
        </w:tc>
      </w:tr>
      <w:tr w14:paraId="44BA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CC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财政供养人员情况</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2F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编制数</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6F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2025年实际在职人数</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12F0D2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控制率</w:t>
            </w:r>
          </w:p>
        </w:tc>
      </w:tr>
      <w:tr w14:paraId="2CA0E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66960">
            <w:pPr>
              <w:jc w:val="center"/>
              <w:rPr>
                <w:rFonts w:hint="eastAsia" w:ascii="宋体" w:hAnsi="宋体" w:eastAsia="宋体" w:cs="宋体"/>
                <w:i w:val="0"/>
                <w:iCs w:val="0"/>
                <w:color w:val="000000"/>
                <w:sz w:val="20"/>
                <w:szCs w:val="20"/>
                <w:u w:val="none"/>
              </w:rPr>
            </w:pP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0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E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13E94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r>
      <w:tr w14:paraId="20693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E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经费控制情况(万元)</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3E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2024年决算数</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6F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2025年预算数</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6C1EAB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2025年决算数</w:t>
            </w:r>
          </w:p>
        </w:tc>
      </w:tr>
      <w:tr w14:paraId="66D8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B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0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EAA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10</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3412E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5.43</w:t>
            </w:r>
          </w:p>
        </w:tc>
      </w:tr>
      <w:tr w14:paraId="4E116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E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1、公务用车购置和维护经费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6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6C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7</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0E241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w:t>
            </w:r>
          </w:p>
        </w:tc>
      </w:tr>
      <w:tr w14:paraId="72992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C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其中：公车购置</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9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2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3E836883">
            <w:pPr>
              <w:jc w:val="center"/>
              <w:rPr>
                <w:rFonts w:hint="eastAsia" w:ascii="宋体" w:hAnsi="宋体" w:eastAsia="宋体" w:cs="宋体"/>
                <w:i w:val="0"/>
                <w:iCs w:val="0"/>
                <w:color w:val="000000"/>
                <w:sz w:val="20"/>
                <w:szCs w:val="20"/>
                <w:u w:val="none"/>
              </w:rPr>
            </w:pPr>
          </w:p>
        </w:tc>
      </w:tr>
      <w:tr w14:paraId="56671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9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公车运行维护</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6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7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7</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11BB1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w:t>
            </w:r>
          </w:p>
        </w:tc>
      </w:tr>
      <w:tr w14:paraId="5F1E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9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2、出国经费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F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B5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1ED1E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r>
      <w:tr w14:paraId="5CC14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9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3、公务接待</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3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16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2E303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0.34</w:t>
            </w:r>
          </w:p>
        </w:tc>
      </w:tr>
      <w:tr w14:paraId="3AE02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B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C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1701.93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F0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2092.24</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3C989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r>
      <w:tr w14:paraId="4811C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2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1、业务工作经费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042D">
            <w:pPr>
              <w:jc w:val="center"/>
              <w:rPr>
                <w:rFonts w:hint="eastAsia" w:ascii="宋体" w:hAnsi="宋体" w:eastAsia="宋体" w:cs="宋体"/>
                <w:i w:val="0"/>
                <w:iCs w:val="0"/>
                <w:color w:val="000000"/>
                <w:sz w:val="20"/>
                <w:szCs w:val="20"/>
                <w:u w:val="none"/>
              </w:rPr>
            </w:pP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007C">
            <w:pPr>
              <w:jc w:val="center"/>
              <w:rPr>
                <w:rFonts w:hint="eastAsia" w:ascii="宋体" w:hAnsi="宋体" w:eastAsia="宋体" w:cs="宋体"/>
                <w:i w:val="0"/>
                <w:iCs w:val="0"/>
                <w:color w:val="000000"/>
                <w:sz w:val="20"/>
                <w:szCs w:val="20"/>
                <w:u w:val="none"/>
              </w:rPr>
            </w:pP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398B22D4">
            <w:pPr>
              <w:jc w:val="center"/>
              <w:rPr>
                <w:rFonts w:hint="eastAsia" w:ascii="宋体" w:hAnsi="宋体" w:eastAsia="宋体" w:cs="宋体"/>
                <w:i w:val="0"/>
                <w:iCs w:val="0"/>
                <w:color w:val="000000"/>
                <w:sz w:val="20"/>
                <w:szCs w:val="20"/>
                <w:u w:val="none"/>
              </w:rPr>
            </w:pPr>
          </w:p>
        </w:tc>
      </w:tr>
      <w:tr w14:paraId="3E8BB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3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2、运行维护经费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F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1701.93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32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2092.24</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32521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r>
      <w:tr w14:paraId="1A5D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8"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E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3、本级专项资金（一个专项一行）</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CC70">
            <w:pPr>
              <w:jc w:val="center"/>
              <w:rPr>
                <w:rFonts w:hint="eastAsia" w:ascii="宋体" w:hAnsi="宋体" w:eastAsia="宋体" w:cs="宋体"/>
                <w:i w:val="0"/>
                <w:iCs w:val="0"/>
                <w:color w:val="000000"/>
                <w:sz w:val="20"/>
                <w:szCs w:val="20"/>
                <w:u w:val="none"/>
              </w:rPr>
            </w:pP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3B3B">
            <w:pPr>
              <w:jc w:val="center"/>
              <w:rPr>
                <w:rFonts w:hint="eastAsia" w:ascii="宋体" w:hAnsi="宋体" w:eastAsia="宋体" w:cs="宋体"/>
                <w:i w:val="0"/>
                <w:iCs w:val="0"/>
                <w:color w:val="000000"/>
                <w:sz w:val="20"/>
                <w:szCs w:val="20"/>
                <w:u w:val="none"/>
              </w:rPr>
            </w:pP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0EC103D6">
            <w:pPr>
              <w:jc w:val="center"/>
              <w:rPr>
                <w:rFonts w:hint="eastAsia" w:ascii="宋体" w:hAnsi="宋体" w:eastAsia="宋体" w:cs="宋体"/>
                <w:i w:val="0"/>
                <w:iCs w:val="0"/>
                <w:color w:val="000000"/>
                <w:sz w:val="20"/>
                <w:szCs w:val="20"/>
                <w:u w:val="none"/>
              </w:rPr>
            </w:pPr>
          </w:p>
        </w:tc>
      </w:tr>
      <w:tr w14:paraId="1707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5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DC25">
            <w:pPr>
              <w:jc w:val="center"/>
              <w:rPr>
                <w:rFonts w:hint="eastAsia" w:ascii="宋体" w:hAnsi="宋体" w:eastAsia="宋体" w:cs="宋体"/>
                <w:i w:val="0"/>
                <w:iCs w:val="0"/>
                <w:color w:val="000000"/>
                <w:sz w:val="20"/>
                <w:szCs w:val="20"/>
                <w:u w:val="none"/>
              </w:rPr>
            </w:pP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55AF">
            <w:pPr>
              <w:jc w:val="center"/>
              <w:rPr>
                <w:rFonts w:hint="eastAsia" w:ascii="宋体" w:hAnsi="宋体" w:eastAsia="宋体" w:cs="宋体"/>
                <w:i w:val="0"/>
                <w:iCs w:val="0"/>
                <w:color w:val="000000"/>
                <w:sz w:val="20"/>
                <w:szCs w:val="20"/>
                <w:u w:val="none"/>
              </w:rPr>
            </w:pP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1B6EE42B">
            <w:pPr>
              <w:jc w:val="center"/>
              <w:rPr>
                <w:rFonts w:hint="eastAsia" w:ascii="宋体" w:hAnsi="宋体" w:eastAsia="宋体" w:cs="宋体"/>
                <w:i w:val="0"/>
                <w:iCs w:val="0"/>
                <w:color w:val="000000"/>
                <w:sz w:val="20"/>
                <w:szCs w:val="20"/>
                <w:u w:val="none"/>
              </w:rPr>
            </w:pPr>
          </w:p>
        </w:tc>
      </w:tr>
      <w:tr w14:paraId="4C639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D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其中：办公经费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B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58.86</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D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64FB7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70.7</w:t>
            </w:r>
          </w:p>
        </w:tc>
      </w:tr>
      <w:tr w14:paraId="04C4C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D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水费、电费、差旅费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B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131.76</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4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36803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126.92</w:t>
            </w:r>
          </w:p>
        </w:tc>
      </w:tr>
      <w:tr w14:paraId="4C7C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6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会议费、培训费</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B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7.04</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2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28.52</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70C0F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13.13</w:t>
            </w:r>
          </w:p>
        </w:tc>
      </w:tr>
      <w:tr w14:paraId="499A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1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政府采购金额</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9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833</w:t>
            </w: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A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2013.7</w:t>
            </w: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0F729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893.53</w:t>
            </w:r>
          </w:p>
        </w:tc>
      </w:tr>
      <w:tr w14:paraId="64B06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1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部门基本支出预算调整 </w:t>
            </w:r>
          </w:p>
        </w:tc>
        <w:tc>
          <w:tcPr>
            <w:tcW w:w="22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88C5">
            <w:pPr>
              <w:jc w:val="center"/>
              <w:rPr>
                <w:rFonts w:hint="eastAsia" w:ascii="宋体" w:hAnsi="宋体" w:eastAsia="宋体" w:cs="宋体"/>
                <w:i w:val="0"/>
                <w:iCs w:val="0"/>
                <w:color w:val="000000"/>
                <w:sz w:val="20"/>
                <w:szCs w:val="20"/>
                <w:u w:val="none"/>
              </w:rPr>
            </w:pPr>
          </w:p>
        </w:tc>
        <w:tc>
          <w:tcPr>
            <w:tcW w:w="234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1E53">
            <w:pPr>
              <w:jc w:val="center"/>
              <w:rPr>
                <w:rFonts w:hint="eastAsia" w:ascii="宋体" w:hAnsi="宋体" w:eastAsia="宋体" w:cs="宋体"/>
                <w:i w:val="0"/>
                <w:iCs w:val="0"/>
                <w:color w:val="000000"/>
                <w:sz w:val="20"/>
                <w:szCs w:val="20"/>
                <w:u w:val="none"/>
              </w:rPr>
            </w:pPr>
          </w:p>
        </w:tc>
        <w:tc>
          <w:tcPr>
            <w:tcW w:w="2155" w:type="dxa"/>
            <w:gridSpan w:val="2"/>
            <w:tcBorders>
              <w:top w:val="single" w:color="000000" w:sz="4" w:space="0"/>
              <w:left w:val="nil"/>
              <w:bottom w:val="single" w:color="000000" w:sz="4" w:space="0"/>
              <w:right w:val="single" w:color="000000" w:sz="4" w:space="0"/>
            </w:tcBorders>
            <w:shd w:val="clear" w:color="auto" w:fill="auto"/>
            <w:noWrap/>
            <w:vAlign w:val="center"/>
          </w:tcPr>
          <w:p w14:paraId="067C48C4">
            <w:pPr>
              <w:jc w:val="center"/>
              <w:rPr>
                <w:rFonts w:hint="eastAsia" w:ascii="宋体" w:hAnsi="宋体" w:eastAsia="宋体" w:cs="宋体"/>
                <w:i w:val="0"/>
                <w:iCs w:val="0"/>
                <w:color w:val="000000"/>
                <w:sz w:val="20"/>
                <w:szCs w:val="20"/>
                <w:u w:val="none"/>
              </w:rPr>
            </w:pPr>
          </w:p>
        </w:tc>
      </w:tr>
      <w:tr w14:paraId="641F3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8" w:hRule="atLeast"/>
        </w:trPr>
        <w:tc>
          <w:tcPr>
            <w:tcW w:w="15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98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楼堂馆所控制情况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（2025年完工项目）</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9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批复规模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2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实际规模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15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规模控制率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D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实际投资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E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实际投资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6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投资概算控制率</w:t>
            </w:r>
          </w:p>
        </w:tc>
      </w:tr>
      <w:tr w14:paraId="0FCCB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2FDD1">
            <w:pPr>
              <w:jc w:val="center"/>
              <w:rPr>
                <w:rFonts w:hint="eastAsia" w:ascii="宋体" w:hAnsi="宋体" w:eastAsia="宋体" w:cs="宋体"/>
                <w:i w:val="0"/>
                <w:iCs w:val="0"/>
                <w:color w:val="000000"/>
                <w:sz w:val="20"/>
                <w:szCs w:val="20"/>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C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6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B7B5">
            <w:pPr>
              <w:jc w:val="center"/>
              <w:rPr>
                <w:rFonts w:hint="eastAsia" w:ascii="宋体" w:hAnsi="宋体" w:eastAsia="宋体" w:cs="宋体"/>
                <w:i w:val="0"/>
                <w:iCs w:val="0"/>
                <w:color w:val="000000"/>
                <w:sz w:val="20"/>
                <w:szCs w:val="20"/>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6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1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1BCD">
            <w:pPr>
              <w:jc w:val="center"/>
              <w:rPr>
                <w:rFonts w:hint="eastAsia" w:ascii="宋体" w:hAnsi="宋体" w:eastAsia="宋体" w:cs="宋体"/>
                <w:i w:val="0"/>
                <w:iCs w:val="0"/>
                <w:color w:val="000000"/>
                <w:sz w:val="20"/>
                <w:szCs w:val="20"/>
                <w:u w:val="none"/>
              </w:rPr>
            </w:pPr>
          </w:p>
        </w:tc>
      </w:tr>
      <w:tr w14:paraId="18038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3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厉行节约保障措施</w:t>
            </w:r>
          </w:p>
        </w:tc>
        <w:tc>
          <w:tcPr>
            <w:tcW w:w="677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7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严控费用支出标准，严格执行报账流程，培育节约自觉，降低运行成本。</w:t>
            </w:r>
          </w:p>
        </w:tc>
      </w:tr>
      <w:tr w14:paraId="51F9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8357" w:type="dxa"/>
            <w:gridSpan w:val="7"/>
            <w:tcBorders>
              <w:top w:val="nil"/>
              <w:left w:val="nil"/>
              <w:bottom w:val="nil"/>
              <w:right w:val="nil"/>
            </w:tcBorders>
            <w:shd w:val="clear" w:color="auto" w:fill="auto"/>
            <w:vAlign w:val="center"/>
          </w:tcPr>
          <w:p w14:paraId="14300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说明：“项目支出”需要填报基本支以外的所有项目支出情况，“公用经费”填报基本支出中的一般商品和服务支出。</w:t>
            </w:r>
          </w:p>
        </w:tc>
      </w:tr>
      <w:tr w14:paraId="042D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8357" w:type="dxa"/>
            <w:gridSpan w:val="7"/>
            <w:tcBorders>
              <w:top w:val="nil"/>
              <w:left w:val="nil"/>
              <w:bottom w:val="nil"/>
              <w:right w:val="nil"/>
            </w:tcBorders>
            <w:shd w:val="clear" w:color="auto" w:fill="auto"/>
            <w:vAlign w:val="center"/>
          </w:tcPr>
          <w:p w14:paraId="20977E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          填报日期：           联系电话：             单位负责人签名：</w:t>
            </w:r>
          </w:p>
        </w:tc>
      </w:tr>
    </w:tbl>
    <w:p w14:paraId="6688A8CF"/>
    <w:tbl>
      <w:tblPr>
        <w:tblStyle w:val="4"/>
        <w:tblW w:w="818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8"/>
        <w:gridCol w:w="375"/>
        <w:gridCol w:w="240"/>
        <w:gridCol w:w="488"/>
        <w:gridCol w:w="1102"/>
        <w:gridCol w:w="724"/>
        <w:gridCol w:w="761"/>
        <w:gridCol w:w="405"/>
        <w:gridCol w:w="584"/>
        <w:gridCol w:w="415"/>
        <w:gridCol w:w="786"/>
        <w:gridCol w:w="900"/>
        <w:gridCol w:w="870"/>
      </w:tblGrid>
      <w:tr w14:paraId="41E21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3" w:type="dxa"/>
            <w:gridSpan w:val="2"/>
            <w:tcBorders>
              <w:top w:val="nil"/>
              <w:left w:val="nil"/>
              <w:bottom w:val="nil"/>
              <w:right w:val="nil"/>
            </w:tcBorders>
            <w:shd w:val="clear" w:color="auto" w:fill="auto"/>
            <w:noWrap/>
            <w:vAlign w:val="center"/>
          </w:tcPr>
          <w:p w14:paraId="51409B4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附件2</w:t>
            </w:r>
          </w:p>
        </w:tc>
        <w:tc>
          <w:tcPr>
            <w:tcW w:w="240" w:type="dxa"/>
            <w:tcBorders>
              <w:top w:val="nil"/>
              <w:left w:val="nil"/>
              <w:bottom w:val="nil"/>
              <w:right w:val="nil"/>
            </w:tcBorders>
            <w:shd w:val="clear" w:color="auto" w:fill="auto"/>
            <w:noWrap/>
            <w:vAlign w:val="center"/>
          </w:tcPr>
          <w:p w14:paraId="6C9ACB61">
            <w:pPr>
              <w:rPr>
                <w:rFonts w:hint="eastAsia" w:ascii="宋体" w:hAnsi="宋体" w:eastAsia="宋体" w:cs="宋体"/>
                <w:i w:val="0"/>
                <w:iCs w:val="0"/>
                <w:color w:val="000000"/>
                <w:sz w:val="20"/>
                <w:szCs w:val="20"/>
                <w:u w:val="none"/>
              </w:rPr>
            </w:pPr>
          </w:p>
        </w:tc>
        <w:tc>
          <w:tcPr>
            <w:tcW w:w="488" w:type="dxa"/>
            <w:tcBorders>
              <w:top w:val="nil"/>
              <w:left w:val="nil"/>
              <w:bottom w:val="nil"/>
              <w:right w:val="nil"/>
            </w:tcBorders>
            <w:shd w:val="clear" w:color="auto" w:fill="auto"/>
            <w:vAlign w:val="center"/>
          </w:tcPr>
          <w:p w14:paraId="15B3CE1A">
            <w:pPr>
              <w:rPr>
                <w:rFonts w:hint="eastAsia" w:ascii="宋体" w:hAnsi="宋体" w:eastAsia="宋体" w:cs="宋体"/>
                <w:i w:val="0"/>
                <w:iCs w:val="0"/>
                <w:color w:val="000000"/>
                <w:sz w:val="20"/>
                <w:szCs w:val="20"/>
                <w:u w:val="none"/>
              </w:rPr>
            </w:pPr>
          </w:p>
        </w:tc>
        <w:tc>
          <w:tcPr>
            <w:tcW w:w="1102" w:type="dxa"/>
            <w:tcBorders>
              <w:top w:val="nil"/>
              <w:left w:val="nil"/>
              <w:bottom w:val="nil"/>
              <w:right w:val="nil"/>
            </w:tcBorders>
            <w:shd w:val="clear" w:color="auto" w:fill="auto"/>
            <w:noWrap/>
            <w:vAlign w:val="center"/>
          </w:tcPr>
          <w:p w14:paraId="7C93356C">
            <w:pPr>
              <w:rPr>
                <w:rFonts w:hint="eastAsia" w:ascii="宋体" w:hAnsi="宋体" w:eastAsia="宋体" w:cs="宋体"/>
                <w:i w:val="0"/>
                <w:iCs w:val="0"/>
                <w:color w:val="000000"/>
                <w:sz w:val="20"/>
                <w:szCs w:val="20"/>
                <w:u w:val="none"/>
              </w:rPr>
            </w:pPr>
          </w:p>
        </w:tc>
        <w:tc>
          <w:tcPr>
            <w:tcW w:w="724" w:type="dxa"/>
            <w:tcBorders>
              <w:top w:val="nil"/>
              <w:left w:val="nil"/>
              <w:bottom w:val="nil"/>
              <w:right w:val="nil"/>
            </w:tcBorders>
            <w:shd w:val="clear" w:color="auto" w:fill="auto"/>
            <w:noWrap/>
            <w:vAlign w:val="center"/>
          </w:tcPr>
          <w:p w14:paraId="234AA8AF">
            <w:pPr>
              <w:rPr>
                <w:rFonts w:hint="eastAsia" w:ascii="宋体" w:hAnsi="宋体" w:eastAsia="宋体" w:cs="宋体"/>
                <w:i w:val="0"/>
                <w:iCs w:val="0"/>
                <w:color w:val="000000"/>
                <w:sz w:val="20"/>
                <w:szCs w:val="20"/>
                <w:u w:val="none"/>
              </w:rPr>
            </w:pPr>
          </w:p>
        </w:tc>
        <w:tc>
          <w:tcPr>
            <w:tcW w:w="761" w:type="dxa"/>
            <w:tcBorders>
              <w:top w:val="nil"/>
              <w:left w:val="nil"/>
              <w:bottom w:val="nil"/>
              <w:right w:val="nil"/>
            </w:tcBorders>
            <w:shd w:val="clear" w:color="auto" w:fill="auto"/>
            <w:noWrap/>
            <w:vAlign w:val="center"/>
          </w:tcPr>
          <w:p w14:paraId="3FD848D7">
            <w:pPr>
              <w:rPr>
                <w:rFonts w:hint="eastAsia" w:ascii="宋体" w:hAnsi="宋体" w:eastAsia="宋体" w:cs="宋体"/>
                <w:i w:val="0"/>
                <w:iCs w:val="0"/>
                <w:color w:val="000000"/>
                <w:sz w:val="20"/>
                <w:szCs w:val="20"/>
                <w:u w:val="none"/>
              </w:rPr>
            </w:pPr>
          </w:p>
        </w:tc>
        <w:tc>
          <w:tcPr>
            <w:tcW w:w="405" w:type="dxa"/>
            <w:tcBorders>
              <w:top w:val="nil"/>
              <w:left w:val="nil"/>
              <w:bottom w:val="nil"/>
              <w:right w:val="nil"/>
            </w:tcBorders>
            <w:shd w:val="clear" w:color="auto" w:fill="auto"/>
            <w:noWrap/>
            <w:vAlign w:val="center"/>
          </w:tcPr>
          <w:p w14:paraId="2C80821B">
            <w:pPr>
              <w:rPr>
                <w:rFonts w:hint="eastAsia" w:ascii="宋体" w:hAnsi="宋体" w:eastAsia="宋体" w:cs="宋体"/>
                <w:i w:val="0"/>
                <w:iCs w:val="0"/>
                <w:color w:val="000000"/>
                <w:sz w:val="20"/>
                <w:szCs w:val="20"/>
                <w:u w:val="none"/>
              </w:rPr>
            </w:pPr>
          </w:p>
        </w:tc>
        <w:tc>
          <w:tcPr>
            <w:tcW w:w="584" w:type="dxa"/>
            <w:tcBorders>
              <w:top w:val="nil"/>
              <w:left w:val="nil"/>
              <w:bottom w:val="nil"/>
              <w:right w:val="nil"/>
            </w:tcBorders>
            <w:shd w:val="clear" w:color="auto" w:fill="auto"/>
            <w:noWrap/>
            <w:vAlign w:val="center"/>
          </w:tcPr>
          <w:p w14:paraId="58F1A339">
            <w:pPr>
              <w:rPr>
                <w:rFonts w:hint="eastAsia" w:ascii="宋体" w:hAnsi="宋体" w:eastAsia="宋体" w:cs="宋体"/>
                <w:i w:val="0"/>
                <w:iCs w:val="0"/>
                <w:color w:val="000000"/>
                <w:sz w:val="20"/>
                <w:szCs w:val="20"/>
                <w:u w:val="none"/>
              </w:rPr>
            </w:pPr>
          </w:p>
        </w:tc>
        <w:tc>
          <w:tcPr>
            <w:tcW w:w="415" w:type="dxa"/>
            <w:tcBorders>
              <w:top w:val="nil"/>
              <w:left w:val="nil"/>
              <w:bottom w:val="nil"/>
              <w:right w:val="nil"/>
            </w:tcBorders>
            <w:shd w:val="clear" w:color="auto" w:fill="auto"/>
            <w:noWrap/>
            <w:vAlign w:val="center"/>
          </w:tcPr>
          <w:p w14:paraId="0FDEEC00">
            <w:pPr>
              <w:rPr>
                <w:rFonts w:hint="eastAsia" w:ascii="宋体" w:hAnsi="宋体" w:eastAsia="宋体" w:cs="宋体"/>
                <w:i w:val="0"/>
                <w:iCs w:val="0"/>
                <w:color w:val="000000"/>
                <w:sz w:val="20"/>
                <w:szCs w:val="20"/>
                <w:u w:val="none"/>
              </w:rPr>
            </w:pPr>
          </w:p>
        </w:tc>
        <w:tc>
          <w:tcPr>
            <w:tcW w:w="786" w:type="dxa"/>
            <w:tcBorders>
              <w:top w:val="nil"/>
              <w:left w:val="nil"/>
              <w:bottom w:val="nil"/>
              <w:right w:val="nil"/>
            </w:tcBorders>
            <w:shd w:val="clear" w:color="auto" w:fill="auto"/>
            <w:noWrap/>
            <w:vAlign w:val="center"/>
          </w:tcPr>
          <w:p w14:paraId="1E59D2EE">
            <w:pPr>
              <w:rPr>
                <w:rFonts w:hint="eastAsia" w:ascii="宋体" w:hAnsi="宋体" w:eastAsia="宋体" w:cs="宋体"/>
                <w:i w:val="0"/>
                <w:iCs w:val="0"/>
                <w:color w:val="000000"/>
                <w:sz w:val="20"/>
                <w:szCs w:val="20"/>
                <w:u w:val="none"/>
              </w:rPr>
            </w:pPr>
          </w:p>
        </w:tc>
        <w:tc>
          <w:tcPr>
            <w:tcW w:w="900" w:type="dxa"/>
            <w:tcBorders>
              <w:top w:val="nil"/>
              <w:left w:val="nil"/>
              <w:bottom w:val="nil"/>
              <w:right w:val="nil"/>
            </w:tcBorders>
            <w:shd w:val="clear" w:color="auto" w:fill="auto"/>
            <w:noWrap/>
            <w:vAlign w:val="center"/>
          </w:tcPr>
          <w:p w14:paraId="7268F5DA">
            <w:pPr>
              <w:rPr>
                <w:rFonts w:hint="eastAsia" w:ascii="宋体" w:hAnsi="宋体" w:eastAsia="宋体" w:cs="宋体"/>
                <w:i w:val="0"/>
                <w:iCs w:val="0"/>
                <w:color w:val="000000"/>
                <w:sz w:val="20"/>
                <w:szCs w:val="20"/>
                <w:u w:val="none"/>
              </w:rPr>
            </w:pPr>
          </w:p>
        </w:tc>
        <w:tc>
          <w:tcPr>
            <w:tcW w:w="870" w:type="dxa"/>
            <w:tcBorders>
              <w:top w:val="nil"/>
              <w:left w:val="nil"/>
              <w:bottom w:val="nil"/>
              <w:right w:val="nil"/>
            </w:tcBorders>
            <w:shd w:val="clear" w:color="auto" w:fill="auto"/>
            <w:noWrap/>
            <w:vAlign w:val="center"/>
          </w:tcPr>
          <w:p w14:paraId="34111FB5">
            <w:pPr>
              <w:rPr>
                <w:rFonts w:hint="eastAsia" w:ascii="宋体" w:hAnsi="宋体" w:eastAsia="宋体" w:cs="宋体"/>
                <w:i w:val="0"/>
                <w:iCs w:val="0"/>
                <w:color w:val="000000"/>
                <w:sz w:val="20"/>
                <w:szCs w:val="20"/>
                <w:u w:val="none"/>
              </w:rPr>
            </w:pPr>
          </w:p>
        </w:tc>
      </w:tr>
      <w:tr w14:paraId="10BD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188" w:type="dxa"/>
            <w:gridSpan w:val="13"/>
            <w:tcBorders>
              <w:top w:val="nil"/>
              <w:left w:val="nil"/>
              <w:bottom w:val="nil"/>
              <w:right w:val="nil"/>
            </w:tcBorders>
            <w:shd w:val="clear" w:color="auto" w:fill="auto"/>
            <w:noWrap/>
            <w:vAlign w:val="center"/>
          </w:tcPr>
          <w:p w14:paraId="612531C4">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44"/>
                <w:szCs w:val="44"/>
                <w:u w:val="none"/>
                <w:lang w:val="en-US" w:eastAsia="zh-CN" w:bidi="ar"/>
              </w:rPr>
              <w:t>2025年度部门整体支出绩效自评表</w:t>
            </w:r>
          </w:p>
        </w:tc>
      </w:tr>
      <w:tr w14:paraId="20DEA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4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1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预算部门名称</w:t>
            </w:r>
          </w:p>
        </w:tc>
        <w:tc>
          <w:tcPr>
            <w:tcW w:w="654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74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岳阳市住房公积金管理中心本级</w:t>
            </w:r>
          </w:p>
        </w:tc>
      </w:tr>
      <w:tr w14:paraId="6166B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4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C7E75">
            <w:pPr>
              <w:keepNext w:val="0"/>
              <w:keepLines w:val="0"/>
              <w:widowControl/>
              <w:suppressLineNumbers w:val="0"/>
              <w:jc w:val="center"/>
              <w:textAlignment w:val="center"/>
              <w:rPr>
                <w:rFonts w:ascii="Microsoft YaHei UI" w:hAnsi="Microsoft YaHei UI" w:eastAsia="Microsoft YaHei UI" w:cs="Microsoft YaHei UI"/>
                <w:i w:val="0"/>
                <w:iCs w:val="0"/>
                <w:color w:val="000000"/>
                <w:sz w:val="20"/>
                <w:szCs w:val="20"/>
                <w:u w:val="none"/>
              </w:rPr>
            </w:pPr>
            <w:r>
              <w:rPr>
                <w:rFonts w:hint="eastAsia" w:ascii="Microsoft YaHei UI" w:hAnsi="Microsoft YaHei UI" w:eastAsia="Microsoft YaHei UI" w:cs="Microsoft YaHei UI"/>
                <w:i w:val="0"/>
                <w:iCs w:val="0"/>
                <w:color w:val="000000"/>
                <w:kern w:val="0"/>
                <w:sz w:val="20"/>
                <w:szCs w:val="20"/>
                <w:u w:val="none"/>
                <w:lang w:val="en-US" w:eastAsia="zh-CN" w:bidi="ar"/>
              </w:rPr>
              <w:t>年度预算申请</w:t>
            </w:r>
            <w:r>
              <w:rPr>
                <w:rFonts w:hint="eastAsia" w:ascii="Microsoft YaHei UI" w:hAnsi="Microsoft YaHei UI" w:eastAsia="Microsoft YaHei UI" w:cs="Microsoft YaHei UI"/>
                <w:i w:val="0"/>
                <w:iCs w:val="0"/>
                <w:color w:val="000000"/>
                <w:kern w:val="0"/>
                <w:sz w:val="20"/>
                <w:szCs w:val="20"/>
                <w:u w:val="none"/>
                <w:lang w:val="en-US" w:eastAsia="zh-CN" w:bidi="ar"/>
              </w:rPr>
              <w:br w:type="textWrapping"/>
            </w:r>
            <w:r>
              <w:rPr>
                <w:rFonts w:hint="eastAsia" w:ascii="Microsoft YaHei UI" w:hAnsi="Microsoft YaHei UI" w:eastAsia="Microsoft YaHei UI" w:cs="Microsoft YaHei UI"/>
                <w:i w:val="0"/>
                <w:iCs w:val="0"/>
                <w:color w:val="000000"/>
                <w:kern w:val="0"/>
                <w:sz w:val="20"/>
                <w:szCs w:val="20"/>
                <w:u w:val="none"/>
                <w:lang w:val="en-US" w:eastAsia="zh-CN" w:bidi="ar"/>
              </w:rPr>
              <w:t>(万元)</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39A8">
            <w:pPr>
              <w:jc w:val="center"/>
              <w:rPr>
                <w:rFonts w:hint="eastAsia" w:ascii="宋体" w:hAnsi="宋体" w:eastAsia="宋体" w:cs="宋体"/>
                <w:i w:val="0"/>
                <w:iCs w:val="0"/>
                <w:color w:val="000000"/>
                <w:sz w:val="20"/>
                <w:szCs w:val="20"/>
                <w:u w:val="none"/>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AB97">
            <w:pPr>
              <w:keepNext w:val="0"/>
              <w:keepLines w:val="0"/>
              <w:widowControl/>
              <w:suppressLineNumbers w:val="0"/>
              <w:jc w:val="center"/>
              <w:textAlignment w:val="center"/>
              <w:rPr>
                <w:rFonts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年初预算数</w:t>
            </w:r>
            <w:r>
              <w:rPr>
                <w:rFonts w:hint="default" w:ascii="仿宋_GB2312" w:hAnsi="宋体" w:eastAsia="仿宋_GB2312" w:cs="仿宋_GB2312"/>
                <w:i w:val="0"/>
                <w:iCs w:val="0"/>
                <w:color w:val="000000"/>
                <w:kern w:val="0"/>
                <w:sz w:val="20"/>
                <w:szCs w:val="20"/>
                <w:u w:val="none"/>
                <w:lang w:val="en-US" w:eastAsia="zh-CN" w:bidi="ar"/>
              </w:rPr>
              <w:br w:type="textWrapping"/>
            </w:r>
            <w:r>
              <w:rPr>
                <w:rFonts w:hint="default" w:ascii="仿宋_GB2312" w:hAnsi="宋体" w:eastAsia="仿宋_GB2312" w:cs="仿宋_GB2312"/>
                <w:i w:val="0"/>
                <w:iCs w:val="0"/>
                <w:color w:val="000000"/>
                <w:kern w:val="0"/>
                <w:sz w:val="20"/>
                <w:szCs w:val="20"/>
                <w:u w:val="none"/>
                <w:lang w:val="en-US" w:eastAsia="zh-CN" w:bidi="ar"/>
              </w:rPr>
              <w:t>(万元)</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9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44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6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7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F37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得分</w:t>
            </w:r>
          </w:p>
        </w:tc>
      </w:tr>
      <w:tr w14:paraId="7636A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382F8">
            <w:pPr>
              <w:jc w:val="center"/>
              <w:rPr>
                <w:rFonts w:hint="eastAsia" w:ascii="Microsoft YaHei UI" w:hAnsi="Microsoft YaHei UI" w:eastAsia="Microsoft YaHei UI" w:cs="Microsoft YaHei UI"/>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FDE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年度资金总额：</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67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5181.08</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5B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4973.36</w:t>
            </w: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341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4973.36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C2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78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28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14:paraId="7D44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B468D">
            <w:pPr>
              <w:jc w:val="center"/>
              <w:rPr>
                <w:rFonts w:hint="eastAsia" w:ascii="Microsoft YaHei UI" w:hAnsi="Microsoft YaHei UI" w:eastAsia="Microsoft YaHei UI" w:cs="Microsoft YaHei UI"/>
                <w:i w:val="0"/>
                <w:iCs w:val="0"/>
                <w:color w:val="000000"/>
                <w:sz w:val="20"/>
                <w:szCs w:val="20"/>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F9DE1">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按收入性质分：</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6A7D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按支出性质分：</w:t>
            </w:r>
          </w:p>
        </w:tc>
      </w:tr>
      <w:tr w14:paraId="578F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AF12">
            <w:pPr>
              <w:jc w:val="center"/>
              <w:rPr>
                <w:rFonts w:hint="eastAsia" w:ascii="Microsoft YaHei UI" w:hAnsi="Microsoft YaHei UI" w:eastAsia="Microsoft YaHei UI" w:cs="Microsoft YaHei UI"/>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565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一般公共预算：</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3AE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4973.36</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4619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其中:基本支出： 3451.91</w:t>
            </w:r>
          </w:p>
        </w:tc>
      </w:tr>
      <w:tr w14:paraId="15E23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CA2CC">
            <w:pPr>
              <w:jc w:val="center"/>
              <w:rPr>
                <w:rFonts w:hint="eastAsia" w:ascii="Microsoft YaHei UI" w:hAnsi="Microsoft YaHei UI" w:eastAsia="Microsoft YaHei UI" w:cs="Microsoft YaHei UI"/>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AA2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政府性基金拨款：</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B10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92EE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项目支出： 1521.45</w:t>
            </w:r>
          </w:p>
        </w:tc>
      </w:tr>
      <w:tr w14:paraId="4252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29B32">
            <w:pPr>
              <w:jc w:val="center"/>
              <w:rPr>
                <w:rFonts w:hint="eastAsia" w:ascii="Microsoft YaHei UI" w:hAnsi="Microsoft YaHei UI" w:eastAsia="Microsoft YaHei UI" w:cs="Microsoft YaHei UI"/>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13B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纳入专户管理的非税收入拨款：</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E40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17CD7D">
            <w:pPr>
              <w:jc w:val="center"/>
              <w:rPr>
                <w:rFonts w:hint="default" w:ascii="Times New Roman" w:hAnsi="Times New Roman" w:eastAsia="宋体" w:cs="Times New Roman"/>
                <w:i w:val="0"/>
                <w:iCs w:val="0"/>
                <w:color w:val="000000"/>
                <w:sz w:val="20"/>
                <w:szCs w:val="20"/>
                <w:u w:val="none"/>
              </w:rPr>
            </w:pPr>
          </w:p>
        </w:tc>
      </w:tr>
      <w:tr w14:paraId="408C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36A50">
            <w:pPr>
              <w:jc w:val="center"/>
              <w:rPr>
                <w:rFonts w:hint="eastAsia" w:ascii="Microsoft YaHei UI" w:hAnsi="Microsoft YaHei UI" w:eastAsia="Microsoft YaHei UI" w:cs="Microsoft YaHei UI"/>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62C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其他资金</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60D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401399">
            <w:pPr>
              <w:jc w:val="center"/>
              <w:rPr>
                <w:rFonts w:hint="default" w:ascii="Times New Roman" w:hAnsi="Times New Roman" w:eastAsia="宋体" w:cs="Times New Roman"/>
                <w:i w:val="0"/>
                <w:iCs w:val="0"/>
                <w:color w:val="000000"/>
                <w:sz w:val="20"/>
                <w:szCs w:val="20"/>
                <w:u w:val="none"/>
              </w:rPr>
            </w:pPr>
          </w:p>
        </w:tc>
      </w:tr>
      <w:tr w14:paraId="7A48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4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4B20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年度总体目标</w:t>
            </w: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9637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预期目标</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910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734F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64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23A21">
            <w:pPr>
              <w:jc w:val="center"/>
              <w:rPr>
                <w:rFonts w:hint="default" w:ascii="仿宋_GB2312" w:hAnsi="宋体" w:eastAsia="仿宋_GB2312" w:cs="仿宋_GB2312"/>
                <w:i w:val="0"/>
                <w:iCs w:val="0"/>
                <w:color w:val="000000"/>
                <w:sz w:val="20"/>
                <w:szCs w:val="20"/>
                <w:u w:val="none"/>
              </w:rPr>
            </w:pPr>
          </w:p>
        </w:tc>
        <w:tc>
          <w:tcPr>
            <w:tcW w:w="2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3B35D">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完成省监管办下达的年度各项任务指标，全力推进归集扩面、加大归集建制，切实加强贷后管理、管控个贷风险。</w:t>
            </w:r>
          </w:p>
        </w:tc>
        <w:tc>
          <w:tcPr>
            <w:tcW w:w="3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3A4A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已按省监管办下达的年度各项任务完成各项指标。</w:t>
            </w:r>
          </w:p>
        </w:tc>
      </w:tr>
      <w:tr w14:paraId="50D53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1AA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绩效指标</w:t>
            </w:r>
          </w:p>
        </w:tc>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AFA2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一级指标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7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9C3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三级指标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F75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年度指标值</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8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C16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评扣分标准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511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分值</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050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得分</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E9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偏差原因分析及改进措施</w:t>
            </w:r>
          </w:p>
        </w:tc>
      </w:tr>
      <w:tr w14:paraId="7EFC6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ABADB">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绩效指标</w:t>
            </w:r>
          </w:p>
        </w:tc>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8A4F3">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产出指标</w:t>
            </w:r>
          </w:p>
        </w:tc>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A2E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D2E6">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发放住房公积金贷款</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118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8.5</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572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9.78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9808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CC2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6A1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C238">
            <w:pPr>
              <w:jc w:val="center"/>
              <w:rPr>
                <w:rFonts w:hint="eastAsia" w:ascii="宋体" w:hAnsi="宋体" w:eastAsia="宋体" w:cs="宋体"/>
                <w:i w:val="0"/>
                <w:iCs w:val="0"/>
                <w:color w:val="000000"/>
                <w:sz w:val="20"/>
                <w:szCs w:val="20"/>
                <w:u w:val="none"/>
              </w:rPr>
            </w:pPr>
          </w:p>
        </w:tc>
      </w:tr>
      <w:tr w14:paraId="58C5E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23454">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3BCF2">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0A733">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45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归集住房公积金</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ED7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53</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4EF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57.79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1EB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E23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BB8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D2F3">
            <w:pPr>
              <w:jc w:val="center"/>
              <w:rPr>
                <w:rFonts w:hint="eastAsia" w:ascii="宋体" w:hAnsi="宋体" w:eastAsia="宋体" w:cs="宋体"/>
                <w:i w:val="0"/>
                <w:iCs w:val="0"/>
                <w:color w:val="000000"/>
                <w:sz w:val="20"/>
                <w:szCs w:val="20"/>
                <w:u w:val="none"/>
              </w:rPr>
            </w:pPr>
          </w:p>
        </w:tc>
      </w:tr>
      <w:tr w14:paraId="66587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61FF4">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CE3C7">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7E257">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D6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实现住房公积金增值收益</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08F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7BC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3.11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AFA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117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569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A105">
            <w:pPr>
              <w:jc w:val="center"/>
              <w:rPr>
                <w:rFonts w:hint="eastAsia" w:ascii="宋体" w:hAnsi="宋体" w:eastAsia="宋体" w:cs="宋体"/>
                <w:i w:val="0"/>
                <w:iCs w:val="0"/>
                <w:color w:val="000000"/>
                <w:sz w:val="20"/>
                <w:szCs w:val="20"/>
                <w:u w:val="none"/>
              </w:rPr>
            </w:pPr>
          </w:p>
        </w:tc>
      </w:tr>
      <w:tr w14:paraId="191A4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0F4A">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04EFE">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D0F0E">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16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办理住房公积金提取</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38D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35</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D48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42.83</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52C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828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DD0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580C">
            <w:pPr>
              <w:jc w:val="center"/>
              <w:rPr>
                <w:rFonts w:hint="eastAsia" w:ascii="宋体" w:hAnsi="宋体" w:eastAsia="宋体" w:cs="宋体"/>
                <w:i w:val="0"/>
                <w:iCs w:val="0"/>
                <w:color w:val="000000"/>
                <w:sz w:val="20"/>
                <w:szCs w:val="20"/>
                <w:u w:val="none"/>
              </w:rPr>
            </w:pPr>
          </w:p>
        </w:tc>
      </w:tr>
      <w:tr w14:paraId="0997D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FA94E">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0EBBB">
            <w:pPr>
              <w:rPr>
                <w:rFonts w:hint="default" w:ascii="仿宋_GB2312" w:hAnsi="宋体" w:eastAsia="仿宋_GB2312" w:cs="仿宋_GB2312"/>
                <w:i w:val="0"/>
                <w:iCs w:val="0"/>
                <w:color w:val="000000"/>
                <w:sz w:val="20"/>
                <w:szCs w:val="20"/>
                <w:u w:val="none"/>
              </w:rPr>
            </w:pPr>
          </w:p>
        </w:tc>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5D5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5E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年度个人住房贷款逾期率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176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控制在0.06%以下</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998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0.02%</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A6A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2FD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7F3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58F9C">
            <w:pPr>
              <w:jc w:val="center"/>
              <w:rPr>
                <w:rFonts w:hint="eastAsia" w:ascii="宋体" w:hAnsi="宋体" w:eastAsia="宋体" w:cs="宋体"/>
                <w:i w:val="0"/>
                <w:iCs w:val="0"/>
                <w:color w:val="000000"/>
                <w:sz w:val="20"/>
                <w:szCs w:val="20"/>
                <w:u w:val="none"/>
              </w:rPr>
            </w:pPr>
          </w:p>
        </w:tc>
      </w:tr>
      <w:tr w14:paraId="2B782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5D74D">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6510E">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6A1E6">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84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住房公积金个贷率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686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50%-70%</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D89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44.78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D9B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542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A4BE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0</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3C56E">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受房地产市场影响，购房需求不高。已积极调整相应政策，进一步优化公积金使用政策。</w:t>
            </w:r>
          </w:p>
        </w:tc>
      </w:tr>
      <w:tr w14:paraId="6D34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4A21D">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A7A0D">
            <w:pPr>
              <w:rPr>
                <w:rFonts w:hint="default" w:ascii="仿宋_GB2312" w:hAnsi="宋体" w:eastAsia="仿宋_GB2312" w:cs="仿宋_GB2312"/>
                <w:i w:val="0"/>
                <w:iCs w:val="0"/>
                <w:color w:val="000000"/>
                <w:sz w:val="20"/>
                <w:szCs w:val="20"/>
                <w:u w:val="none"/>
              </w:rPr>
            </w:pPr>
          </w:p>
        </w:tc>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CB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FB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在岳阳市以外湖南省内其它城市购房的，作出准予提取或者不准提取的决定，并告知提取申请人。</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534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20</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A95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按时办理</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527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EB0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1B8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8C4E">
            <w:pPr>
              <w:jc w:val="center"/>
              <w:rPr>
                <w:rFonts w:hint="eastAsia" w:ascii="宋体" w:hAnsi="宋体" w:eastAsia="宋体" w:cs="宋体"/>
                <w:i w:val="0"/>
                <w:iCs w:val="0"/>
                <w:color w:val="000000"/>
                <w:sz w:val="20"/>
                <w:szCs w:val="20"/>
                <w:u w:val="none"/>
              </w:rPr>
            </w:pPr>
          </w:p>
        </w:tc>
      </w:tr>
      <w:tr w14:paraId="02E55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E1A0A">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AD994">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03D61">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F9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作出准予贷款或不准予贷款的决定，并通知借款申请人</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BDC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365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按时办理</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C0B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B34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4F0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CF33">
            <w:pPr>
              <w:jc w:val="center"/>
              <w:rPr>
                <w:rFonts w:hint="eastAsia" w:ascii="宋体" w:hAnsi="宋体" w:eastAsia="宋体" w:cs="宋体"/>
                <w:i w:val="0"/>
                <w:iCs w:val="0"/>
                <w:color w:val="000000"/>
                <w:sz w:val="20"/>
                <w:szCs w:val="20"/>
                <w:u w:val="none"/>
              </w:rPr>
            </w:pPr>
          </w:p>
        </w:tc>
      </w:tr>
      <w:tr w14:paraId="08BC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42BDC">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1F8E4">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E6A6E">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12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自不动产登记机构办结不动产抵押登记手续，出具《不动产登记证明》之日起，5个工作日内办理放款手续。</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64B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553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按时发放</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1F8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BE7D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293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2EDD">
            <w:pPr>
              <w:jc w:val="center"/>
              <w:rPr>
                <w:rFonts w:hint="eastAsia" w:ascii="宋体" w:hAnsi="宋体" w:eastAsia="宋体" w:cs="宋体"/>
                <w:i w:val="0"/>
                <w:iCs w:val="0"/>
                <w:color w:val="000000"/>
                <w:sz w:val="20"/>
                <w:szCs w:val="20"/>
                <w:u w:val="none"/>
              </w:rPr>
            </w:pPr>
          </w:p>
        </w:tc>
      </w:tr>
      <w:tr w14:paraId="37AAB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922E4">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F0F9D">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A4343">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BF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在岳阳市范围内购房的，自受理申请之日起3个工作日内做出准予提取或者不准提取的决定，并告知提取申请人，手续齐全的，即时办理。</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8BA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3</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E84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按时办理</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6D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B52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D6E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2</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B288">
            <w:pPr>
              <w:jc w:val="center"/>
              <w:rPr>
                <w:rFonts w:hint="eastAsia" w:ascii="宋体" w:hAnsi="宋体" w:eastAsia="宋体" w:cs="宋体"/>
                <w:i w:val="0"/>
                <w:iCs w:val="0"/>
                <w:color w:val="000000"/>
                <w:sz w:val="20"/>
                <w:szCs w:val="20"/>
                <w:u w:val="none"/>
              </w:rPr>
            </w:pPr>
          </w:p>
        </w:tc>
      </w:tr>
      <w:tr w14:paraId="0CAC6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EDCB4">
            <w:pPr>
              <w:rPr>
                <w:rFonts w:hint="default" w:ascii="仿宋_GB2312" w:hAnsi="宋体" w:eastAsia="仿宋_GB2312" w:cs="仿宋_GB2312"/>
                <w:i w:val="0"/>
                <w:iCs w:val="0"/>
                <w:color w:val="000000"/>
                <w:sz w:val="20"/>
                <w:szCs w:val="20"/>
                <w:u w:val="none"/>
              </w:rPr>
            </w:pPr>
          </w:p>
        </w:tc>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60962">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效益指标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22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5F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实现公积金保值增值</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B60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D66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2BC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9AB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51F6">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3470">
            <w:pPr>
              <w:jc w:val="center"/>
              <w:rPr>
                <w:rFonts w:hint="eastAsia" w:ascii="宋体" w:hAnsi="宋体" w:eastAsia="宋体" w:cs="宋体"/>
                <w:i w:val="0"/>
                <w:iCs w:val="0"/>
                <w:color w:val="000000"/>
                <w:sz w:val="20"/>
                <w:szCs w:val="20"/>
                <w:u w:val="none"/>
              </w:rPr>
            </w:pPr>
          </w:p>
        </w:tc>
      </w:tr>
      <w:tr w14:paraId="2A6D4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89893">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061EC">
            <w:pPr>
              <w:rPr>
                <w:rFonts w:hint="default" w:ascii="仿宋_GB2312" w:hAnsi="宋体" w:eastAsia="仿宋_GB2312" w:cs="仿宋_GB2312"/>
                <w:i w:val="0"/>
                <w:iCs w:val="0"/>
                <w:color w:val="000000"/>
                <w:sz w:val="20"/>
                <w:szCs w:val="20"/>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D3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42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在完成各项业务指标的基础上，最大程度发挥住房公积金的住房保障作用。</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FC2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B7D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0D5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81E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565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6E43">
            <w:pPr>
              <w:jc w:val="center"/>
              <w:rPr>
                <w:rFonts w:hint="eastAsia" w:ascii="宋体" w:hAnsi="宋体" w:eastAsia="宋体" w:cs="宋体"/>
                <w:i w:val="0"/>
                <w:iCs w:val="0"/>
                <w:color w:val="000000"/>
                <w:sz w:val="20"/>
                <w:szCs w:val="20"/>
                <w:u w:val="none"/>
              </w:rPr>
            </w:pPr>
          </w:p>
        </w:tc>
      </w:tr>
      <w:tr w14:paraId="2042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A280F">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1DAC3">
            <w:pPr>
              <w:rPr>
                <w:rFonts w:hint="default" w:ascii="仿宋_GB2312" w:hAnsi="宋体" w:eastAsia="仿宋_GB2312" w:cs="仿宋_GB2312"/>
                <w:i w:val="0"/>
                <w:iCs w:val="0"/>
                <w:color w:val="000000"/>
                <w:sz w:val="20"/>
                <w:szCs w:val="20"/>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86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C8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ABC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不适用</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158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不适用</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F3D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无</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53C8">
            <w:pPr>
              <w:jc w:val="center"/>
              <w:rPr>
                <w:rFonts w:hint="default" w:ascii="仿宋_GB2312" w:hAnsi="宋体" w:eastAsia="仿宋_GB2312" w:cs="仿宋_GB2312"/>
                <w:i w:val="0"/>
                <w:iCs w:val="0"/>
                <w:color w:val="000000"/>
                <w:sz w:val="20"/>
                <w:szCs w:val="20"/>
                <w:u w:val="none"/>
              </w:rPr>
            </w:pP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FE00">
            <w:pPr>
              <w:jc w:val="center"/>
              <w:rPr>
                <w:rFonts w:hint="default" w:ascii="仿宋_GB2312" w:hAnsi="宋体" w:eastAsia="仿宋_GB2312" w:cs="仿宋_GB2312"/>
                <w:i w:val="0"/>
                <w:iCs w:val="0"/>
                <w:color w:val="000000"/>
                <w:sz w:val="20"/>
                <w:szCs w:val="20"/>
                <w:u w:val="none"/>
              </w:rPr>
            </w:pP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8CCCF">
            <w:pPr>
              <w:jc w:val="center"/>
              <w:rPr>
                <w:rFonts w:hint="eastAsia" w:ascii="宋体" w:hAnsi="宋体" w:eastAsia="宋体" w:cs="宋体"/>
                <w:i w:val="0"/>
                <w:iCs w:val="0"/>
                <w:color w:val="000000"/>
                <w:sz w:val="20"/>
                <w:szCs w:val="20"/>
                <w:u w:val="none"/>
              </w:rPr>
            </w:pPr>
          </w:p>
        </w:tc>
      </w:tr>
      <w:tr w14:paraId="3717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0EB7F">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45138">
            <w:pPr>
              <w:rPr>
                <w:rFonts w:hint="default" w:ascii="仿宋_GB2312" w:hAnsi="宋体" w:eastAsia="仿宋_GB2312" w:cs="仿宋_GB2312"/>
                <w:i w:val="0"/>
                <w:iCs w:val="0"/>
                <w:color w:val="000000"/>
                <w:sz w:val="20"/>
                <w:szCs w:val="20"/>
                <w:u w:val="none"/>
              </w:rPr>
            </w:pPr>
          </w:p>
        </w:tc>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A01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4D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实现公积金保值增值</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AE63">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有效实现</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E1C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有效实现</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F17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570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2CCC">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D9AC">
            <w:pPr>
              <w:jc w:val="center"/>
              <w:rPr>
                <w:rFonts w:hint="eastAsia" w:ascii="宋体" w:hAnsi="宋体" w:eastAsia="宋体" w:cs="宋体"/>
                <w:i w:val="0"/>
                <w:iCs w:val="0"/>
                <w:color w:val="000000"/>
                <w:sz w:val="20"/>
                <w:szCs w:val="20"/>
                <w:u w:val="none"/>
              </w:rPr>
            </w:pPr>
          </w:p>
        </w:tc>
      </w:tr>
      <w:tr w14:paraId="1E32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E6559">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F9C1">
            <w:pPr>
              <w:rPr>
                <w:rFonts w:hint="default" w:ascii="仿宋_GB2312" w:hAnsi="宋体" w:eastAsia="仿宋_GB2312" w:cs="仿宋_GB2312"/>
                <w:i w:val="0"/>
                <w:iCs w:val="0"/>
                <w:color w:val="000000"/>
                <w:sz w:val="20"/>
                <w:szCs w:val="20"/>
                <w:u w:val="none"/>
              </w:rPr>
            </w:pPr>
          </w:p>
        </w:tc>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34C8F">
            <w:pP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AF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降低缴存职工购房压力</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E568">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有效降低</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6F5F">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有效降低</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5992">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2400">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73D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3405">
            <w:pPr>
              <w:jc w:val="center"/>
              <w:rPr>
                <w:rFonts w:hint="eastAsia" w:ascii="宋体" w:hAnsi="宋体" w:eastAsia="宋体" w:cs="宋体"/>
                <w:i w:val="0"/>
                <w:iCs w:val="0"/>
                <w:color w:val="000000"/>
                <w:sz w:val="20"/>
                <w:szCs w:val="20"/>
                <w:u w:val="none"/>
              </w:rPr>
            </w:pPr>
          </w:p>
        </w:tc>
      </w:tr>
      <w:tr w14:paraId="4E16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DC3E7">
            <w:pPr>
              <w:rPr>
                <w:rFonts w:hint="default" w:ascii="仿宋_GB2312" w:hAnsi="宋体" w:eastAsia="仿宋_GB2312" w:cs="仿宋_GB2312"/>
                <w:i w:val="0"/>
                <w:iCs w:val="0"/>
                <w:color w:val="000000"/>
                <w:sz w:val="20"/>
                <w:szCs w:val="20"/>
                <w:u w:val="none"/>
              </w:rPr>
            </w:pPr>
          </w:p>
        </w:tc>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CE11E">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满意度指标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AE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46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住房公积金窗口服务满意度</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1952">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95%</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DBBA">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99%</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912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57E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132D">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E896">
            <w:pPr>
              <w:jc w:val="center"/>
              <w:rPr>
                <w:rFonts w:hint="eastAsia" w:ascii="宋体" w:hAnsi="宋体" w:eastAsia="宋体" w:cs="宋体"/>
                <w:i w:val="0"/>
                <w:iCs w:val="0"/>
                <w:color w:val="000000"/>
                <w:sz w:val="20"/>
                <w:szCs w:val="20"/>
                <w:u w:val="none"/>
              </w:rPr>
            </w:pPr>
          </w:p>
        </w:tc>
      </w:tr>
      <w:tr w14:paraId="384D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AC0EB">
            <w:pPr>
              <w:rPr>
                <w:rFonts w:hint="default" w:ascii="仿宋_GB2312" w:hAnsi="宋体" w:eastAsia="仿宋_GB2312" w:cs="仿宋_GB2312"/>
                <w:i w:val="0"/>
                <w:iCs w:val="0"/>
                <w:color w:val="000000"/>
                <w:sz w:val="20"/>
                <w:szCs w:val="20"/>
                <w:u w:val="none"/>
              </w:rPr>
            </w:pPr>
          </w:p>
        </w:tc>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294A5">
            <w:pPr>
              <w:keepNext w:val="0"/>
              <w:keepLines w:val="0"/>
              <w:widowControl/>
              <w:suppressLineNumbers w:val="0"/>
              <w:jc w:val="left"/>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成本指标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8D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经济成本指标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83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成本控制在预算内</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D5B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5181.08</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B31B">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4973.36</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981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10分</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1447">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4DB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10</w:t>
            </w: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4496">
            <w:pPr>
              <w:jc w:val="center"/>
              <w:rPr>
                <w:rFonts w:hint="eastAsia" w:ascii="宋体" w:hAnsi="宋体" w:eastAsia="宋体" w:cs="宋体"/>
                <w:i w:val="0"/>
                <w:iCs w:val="0"/>
                <w:color w:val="000000"/>
                <w:sz w:val="20"/>
                <w:szCs w:val="20"/>
                <w:u w:val="none"/>
              </w:rPr>
            </w:pPr>
          </w:p>
        </w:tc>
      </w:tr>
      <w:tr w14:paraId="1A2C8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3723B">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C1DAC">
            <w:pPr>
              <w:rPr>
                <w:rFonts w:hint="default" w:ascii="仿宋_GB2312" w:hAnsi="宋体" w:eastAsia="仿宋_GB2312" w:cs="仿宋_GB2312"/>
                <w:i w:val="0"/>
                <w:iCs w:val="0"/>
                <w:color w:val="000000"/>
                <w:sz w:val="20"/>
                <w:szCs w:val="20"/>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DC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社会成本指标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EF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8265">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不适用</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4E2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不适用</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6424">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无</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5FB6">
            <w:pPr>
              <w:jc w:val="center"/>
              <w:rPr>
                <w:rFonts w:hint="default" w:ascii="仿宋_GB2312" w:hAnsi="宋体" w:eastAsia="仿宋_GB2312" w:cs="仿宋_GB2312"/>
                <w:i w:val="0"/>
                <w:iCs w:val="0"/>
                <w:color w:val="000000"/>
                <w:sz w:val="20"/>
                <w:szCs w:val="20"/>
                <w:u w:val="none"/>
              </w:rPr>
            </w:pP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B4BC">
            <w:pPr>
              <w:jc w:val="center"/>
              <w:rPr>
                <w:rFonts w:hint="default" w:ascii="仿宋_GB2312" w:hAnsi="宋体" w:eastAsia="仿宋_GB2312" w:cs="仿宋_GB2312"/>
                <w:i w:val="0"/>
                <w:iCs w:val="0"/>
                <w:color w:val="000000"/>
                <w:sz w:val="20"/>
                <w:szCs w:val="20"/>
                <w:u w:val="none"/>
              </w:rPr>
            </w:pP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82DF">
            <w:pPr>
              <w:jc w:val="center"/>
              <w:rPr>
                <w:rFonts w:hint="eastAsia" w:ascii="宋体" w:hAnsi="宋体" w:eastAsia="宋体" w:cs="宋体"/>
                <w:i w:val="0"/>
                <w:iCs w:val="0"/>
                <w:color w:val="000000"/>
                <w:sz w:val="20"/>
                <w:szCs w:val="20"/>
                <w:u w:val="none"/>
              </w:rPr>
            </w:pPr>
          </w:p>
        </w:tc>
      </w:tr>
      <w:tr w14:paraId="00C1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3382">
            <w:pPr>
              <w:rPr>
                <w:rFonts w:hint="default" w:ascii="仿宋_GB2312" w:hAnsi="宋体" w:eastAsia="仿宋_GB2312" w:cs="仿宋_GB2312"/>
                <w:i w:val="0"/>
                <w:iCs w:val="0"/>
                <w:color w:val="000000"/>
                <w:sz w:val="20"/>
                <w:szCs w:val="20"/>
                <w:u w:val="none"/>
              </w:rPr>
            </w:pPr>
          </w:p>
        </w:tc>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1B093">
            <w:pPr>
              <w:rPr>
                <w:rFonts w:hint="default" w:ascii="仿宋_GB2312" w:hAnsi="宋体" w:eastAsia="仿宋_GB2312" w:cs="仿宋_GB2312"/>
                <w:i w:val="0"/>
                <w:iCs w:val="0"/>
                <w:color w:val="000000"/>
                <w:sz w:val="20"/>
                <w:szCs w:val="20"/>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62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生态环境成本指标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03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不适用</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9C29">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不适用</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010E">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不适用</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65A1">
            <w:pPr>
              <w:keepNext w:val="0"/>
              <w:keepLines w:val="0"/>
              <w:widowControl/>
              <w:suppressLineNumbers w:val="0"/>
              <w:jc w:val="center"/>
              <w:textAlignment w:val="center"/>
              <w:rPr>
                <w:rFonts w:hint="default"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无</w:t>
            </w:r>
          </w:p>
        </w:tc>
        <w:tc>
          <w:tcPr>
            <w:tcW w:w="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C3E0">
            <w:pPr>
              <w:jc w:val="center"/>
              <w:rPr>
                <w:rFonts w:hint="default" w:ascii="仿宋_GB2312" w:hAnsi="宋体" w:eastAsia="仿宋_GB2312" w:cs="仿宋_GB2312"/>
                <w:i w:val="0"/>
                <w:iCs w:val="0"/>
                <w:color w:val="000000"/>
                <w:sz w:val="20"/>
                <w:szCs w:val="20"/>
                <w:u w:val="none"/>
              </w:rPr>
            </w:pP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CE01">
            <w:pPr>
              <w:jc w:val="center"/>
              <w:rPr>
                <w:rFonts w:hint="default" w:ascii="仿宋_GB2312" w:hAnsi="宋体" w:eastAsia="仿宋_GB2312" w:cs="仿宋_GB2312"/>
                <w:i w:val="0"/>
                <w:iCs w:val="0"/>
                <w:color w:val="000000"/>
                <w:sz w:val="20"/>
                <w:szCs w:val="20"/>
                <w:u w:val="none"/>
              </w:rPr>
            </w:pPr>
          </w:p>
        </w:tc>
        <w:tc>
          <w:tcPr>
            <w:tcW w:w="25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9785">
            <w:pPr>
              <w:jc w:val="center"/>
              <w:rPr>
                <w:rFonts w:hint="eastAsia" w:ascii="宋体" w:hAnsi="宋体" w:eastAsia="宋体" w:cs="宋体"/>
                <w:i w:val="0"/>
                <w:iCs w:val="0"/>
                <w:color w:val="000000"/>
                <w:sz w:val="20"/>
                <w:szCs w:val="20"/>
                <w:u w:val="none"/>
              </w:rPr>
            </w:pPr>
          </w:p>
        </w:tc>
      </w:tr>
      <w:tr w14:paraId="29DA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4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C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6547"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30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98.00</w:t>
            </w:r>
          </w:p>
        </w:tc>
      </w:tr>
      <w:tr w14:paraId="09E2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188" w:type="dxa"/>
            <w:gridSpan w:val="13"/>
            <w:tcBorders>
              <w:top w:val="nil"/>
              <w:left w:val="nil"/>
              <w:bottom w:val="nil"/>
              <w:right w:val="nil"/>
            </w:tcBorders>
            <w:shd w:val="clear" w:color="auto" w:fill="auto"/>
            <w:noWrap/>
            <w:vAlign w:val="center"/>
          </w:tcPr>
          <w:p w14:paraId="5E3011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       填报日期：     联系电话：    单位负责人签名：</w:t>
            </w:r>
          </w:p>
        </w:tc>
      </w:tr>
    </w:tbl>
    <w:p w14:paraId="041759E5">
      <w:pPr>
        <w:pStyle w:val="2"/>
        <w:ind w:left="0" w:leftChars="0" w:firstLine="0" w:firstLineChars="0"/>
      </w:pPr>
    </w:p>
    <w:p w14:paraId="0716D961">
      <w:pPr>
        <w:pStyle w:val="2"/>
        <w:ind w:left="0" w:leftChars="0" w:firstLine="0" w:firstLineChars="0"/>
      </w:pPr>
    </w:p>
    <w:p w14:paraId="784830D4">
      <w:pPr>
        <w:pStyle w:val="2"/>
        <w:ind w:left="0" w:leftChars="0" w:firstLine="0" w:firstLineChars="0"/>
      </w:pPr>
    </w:p>
    <w:p w14:paraId="15411B64">
      <w:pPr>
        <w:pStyle w:val="2"/>
        <w:ind w:left="0" w:leftChars="0" w:firstLine="0" w:firstLineChars="0"/>
      </w:pPr>
    </w:p>
    <w:p w14:paraId="132A9F75">
      <w:pPr>
        <w:pStyle w:val="2"/>
        <w:ind w:left="0" w:leftChars="0" w:firstLine="0" w:firstLineChars="0"/>
      </w:pPr>
    </w:p>
    <w:p w14:paraId="75DA6948">
      <w:pPr>
        <w:pStyle w:val="2"/>
        <w:ind w:left="0" w:leftChars="0" w:firstLine="0" w:firstLineChars="0"/>
      </w:pPr>
    </w:p>
    <w:p w14:paraId="0AE74528">
      <w:pPr>
        <w:pStyle w:val="2"/>
        <w:ind w:left="0" w:leftChars="0" w:firstLine="0" w:firstLineChars="0"/>
      </w:pPr>
    </w:p>
    <w:p w14:paraId="4A3B7DD5">
      <w:pPr>
        <w:pStyle w:val="2"/>
        <w:ind w:left="0" w:leftChars="0" w:firstLine="0" w:firstLineChars="0"/>
      </w:pPr>
    </w:p>
    <w:p w14:paraId="26D57030">
      <w:pPr>
        <w:pStyle w:val="2"/>
        <w:ind w:left="0" w:leftChars="0" w:firstLine="0" w:firstLineChars="0"/>
      </w:pPr>
    </w:p>
    <w:tbl>
      <w:tblPr>
        <w:tblStyle w:val="4"/>
        <w:tblW w:w="89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6"/>
        <w:gridCol w:w="1000"/>
        <w:gridCol w:w="735"/>
        <w:gridCol w:w="1365"/>
        <w:gridCol w:w="1287"/>
        <w:gridCol w:w="950"/>
        <w:gridCol w:w="673"/>
        <w:gridCol w:w="735"/>
        <w:gridCol w:w="1080"/>
      </w:tblGrid>
      <w:tr w14:paraId="2BEB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1166" w:type="dxa"/>
            <w:tcBorders>
              <w:top w:val="nil"/>
              <w:left w:val="nil"/>
              <w:bottom w:val="nil"/>
              <w:right w:val="nil"/>
            </w:tcBorders>
            <w:shd w:val="clear" w:color="auto" w:fill="auto"/>
            <w:noWrap/>
            <w:vAlign w:val="center"/>
          </w:tcPr>
          <w:p w14:paraId="57EB900D">
            <w:pPr>
              <w:keepNext w:val="0"/>
              <w:keepLines w:val="0"/>
              <w:widowControl/>
              <w:suppressLineNumbers w:val="0"/>
              <w:jc w:val="left"/>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附件3</w:t>
            </w:r>
          </w:p>
        </w:tc>
        <w:tc>
          <w:tcPr>
            <w:tcW w:w="1000" w:type="dxa"/>
            <w:tcBorders>
              <w:top w:val="nil"/>
              <w:left w:val="nil"/>
              <w:bottom w:val="nil"/>
              <w:right w:val="nil"/>
            </w:tcBorders>
            <w:shd w:val="clear" w:color="auto" w:fill="auto"/>
            <w:noWrap/>
            <w:vAlign w:val="center"/>
          </w:tcPr>
          <w:p w14:paraId="24C18EE0">
            <w:pPr>
              <w:rPr>
                <w:rFonts w:hint="eastAsia" w:ascii="宋体" w:hAnsi="宋体" w:eastAsia="宋体" w:cs="宋体"/>
                <w:i w:val="0"/>
                <w:iCs w:val="0"/>
                <w:color w:val="000000"/>
                <w:sz w:val="22"/>
                <w:szCs w:val="22"/>
                <w:u w:val="none"/>
              </w:rPr>
            </w:pPr>
          </w:p>
        </w:tc>
        <w:tc>
          <w:tcPr>
            <w:tcW w:w="735" w:type="dxa"/>
            <w:tcBorders>
              <w:top w:val="nil"/>
              <w:left w:val="nil"/>
              <w:bottom w:val="nil"/>
              <w:right w:val="nil"/>
            </w:tcBorders>
            <w:shd w:val="clear" w:color="auto" w:fill="auto"/>
            <w:noWrap/>
            <w:vAlign w:val="center"/>
          </w:tcPr>
          <w:p w14:paraId="1F4E5FE6">
            <w:pPr>
              <w:rPr>
                <w:rFonts w:hint="eastAsia" w:ascii="宋体" w:hAnsi="宋体" w:eastAsia="宋体" w:cs="宋体"/>
                <w:i w:val="0"/>
                <w:iCs w:val="0"/>
                <w:color w:val="000000"/>
                <w:sz w:val="22"/>
                <w:szCs w:val="22"/>
                <w:u w:val="none"/>
              </w:rPr>
            </w:pPr>
          </w:p>
        </w:tc>
        <w:tc>
          <w:tcPr>
            <w:tcW w:w="1365" w:type="dxa"/>
            <w:tcBorders>
              <w:top w:val="nil"/>
              <w:left w:val="nil"/>
              <w:bottom w:val="nil"/>
              <w:right w:val="nil"/>
            </w:tcBorders>
            <w:shd w:val="clear" w:color="auto" w:fill="auto"/>
            <w:noWrap/>
            <w:vAlign w:val="center"/>
          </w:tcPr>
          <w:p w14:paraId="6E9489F2">
            <w:pPr>
              <w:rPr>
                <w:rFonts w:hint="eastAsia" w:ascii="宋体" w:hAnsi="宋体" w:eastAsia="宋体" w:cs="宋体"/>
                <w:i w:val="0"/>
                <w:iCs w:val="0"/>
                <w:color w:val="000000"/>
                <w:sz w:val="22"/>
                <w:szCs w:val="22"/>
                <w:u w:val="none"/>
              </w:rPr>
            </w:pPr>
          </w:p>
        </w:tc>
        <w:tc>
          <w:tcPr>
            <w:tcW w:w="1287" w:type="dxa"/>
            <w:tcBorders>
              <w:top w:val="nil"/>
              <w:left w:val="nil"/>
              <w:bottom w:val="nil"/>
              <w:right w:val="nil"/>
            </w:tcBorders>
            <w:shd w:val="clear" w:color="auto" w:fill="auto"/>
            <w:noWrap/>
            <w:vAlign w:val="center"/>
          </w:tcPr>
          <w:p w14:paraId="0CBDC123">
            <w:pPr>
              <w:rPr>
                <w:rFonts w:hint="eastAsia" w:ascii="宋体" w:hAnsi="宋体" w:eastAsia="宋体" w:cs="宋体"/>
                <w:i w:val="0"/>
                <w:iCs w:val="0"/>
                <w:color w:val="000000"/>
                <w:sz w:val="22"/>
                <w:szCs w:val="22"/>
                <w:u w:val="none"/>
              </w:rPr>
            </w:pPr>
          </w:p>
        </w:tc>
        <w:tc>
          <w:tcPr>
            <w:tcW w:w="950" w:type="dxa"/>
            <w:tcBorders>
              <w:top w:val="nil"/>
              <w:left w:val="nil"/>
              <w:bottom w:val="nil"/>
              <w:right w:val="nil"/>
            </w:tcBorders>
            <w:shd w:val="clear" w:color="auto" w:fill="auto"/>
            <w:noWrap/>
            <w:vAlign w:val="center"/>
          </w:tcPr>
          <w:p w14:paraId="3CFA837D">
            <w:pPr>
              <w:rPr>
                <w:rFonts w:hint="eastAsia" w:ascii="宋体" w:hAnsi="宋体" w:eastAsia="宋体" w:cs="宋体"/>
                <w:i w:val="0"/>
                <w:iCs w:val="0"/>
                <w:color w:val="000000"/>
                <w:sz w:val="22"/>
                <w:szCs w:val="22"/>
                <w:u w:val="none"/>
              </w:rPr>
            </w:pPr>
          </w:p>
        </w:tc>
        <w:tc>
          <w:tcPr>
            <w:tcW w:w="673" w:type="dxa"/>
            <w:tcBorders>
              <w:top w:val="nil"/>
              <w:left w:val="nil"/>
              <w:bottom w:val="nil"/>
              <w:right w:val="nil"/>
            </w:tcBorders>
            <w:shd w:val="clear" w:color="auto" w:fill="auto"/>
            <w:noWrap/>
            <w:vAlign w:val="center"/>
          </w:tcPr>
          <w:p w14:paraId="27AC837B">
            <w:pPr>
              <w:rPr>
                <w:rFonts w:hint="eastAsia" w:ascii="宋体" w:hAnsi="宋体" w:eastAsia="宋体" w:cs="宋体"/>
                <w:i w:val="0"/>
                <w:iCs w:val="0"/>
                <w:color w:val="000000"/>
                <w:sz w:val="22"/>
                <w:szCs w:val="22"/>
                <w:u w:val="none"/>
              </w:rPr>
            </w:pPr>
          </w:p>
        </w:tc>
        <w:tc>
          <w:tcPr>
            <w:tcW w:w="735" w:type="dxa"/>
            <w:tcBorders>
              <w:top w:val="nil"/>
              <w:left w:val="nil"/>
              <w:bottom w:val="nil"/>
              <w:right w:val="nil"/>
            </w:tcBorders>
            <w:shd w:val="clear" w:color="auto" w:fill="auto"/>
            <w:noWrap/>
            <w:vAlign w:val="center"/>
          </w:tcPr>
          <w:p w14:paraId="210E997F">
            <w:pPr>
              <w:rPr>
                <w:rFonts w:hint="eastAsia" w:ascii="宋体" w:hAnsi="宋体" w:eastAsia="宋体" w:cs="宋体"/>
                <w:i w:val="0"/>
                <w:iCs w:val="0"/>
                <w:color w:val="000000"/>
                <w:sz w:val="22"/>
                <w:szCs w:val="22"/>
                <w:u w:val="none"/>
              </w:rPr>
            </w:pPr>
          </w:p>
        </w:tc>
        <w:tc>
          <w:tcPr>
            <w:tcW w:w="1080" w:type="dxa"/>
            <w:tcBorders>
              <w:top w:val="nil"/>
              <w:left w:val="nil"/>
              <w:bottom w:val="nil"/>
              <w:right w:val="nil"/>
            </w:tcBorders>
            <w:shd w:val="clear" w:color="auto" w:fill="auto"/>
            <w:noWrap/>
            <w:vAlign w:val="center"/>
          </w:tcPr>
          <w:p w14:paraId="5518EBB4">
            <w:pPr>
              <w:rPr>
                <w:rFonts w:hint="eastAsia" w:ascii="宋体" w:hAnsi="宋体" w:eastAsia="宋体" w:cs="宋体"/>
                <w:i w:val="0"/>
                <w:iCs w:val="0"/>
                <w:color w:val="000000"/>
                <w:sz w:val="22"/>
                <w:szCs w:val="22"/>
                <w:u w:val="none"/>
              </w:rPr>
            </w:pPr>
          </w:p>
        </w:tc>
      </w:tr>
      <w:tr w14:paraId="5633B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8991" w:type="dxa"/>
            <w:gridSpan w:val="9"/>
            <w:tcBorders>
              <w:top w:val="nil"/>
              <w:left w:val="nil"/>
              <w:bottom w:val="nil"/>
              <w:right w:val="nil"/>
            </w:tcBorders>
            <w:shd w:val="clear" w:color="auto" w:fill="auto"/>
            <w:noWrap/>
            <w:vAlign w:val="center"/>
          </w:tcPr>
          <w:p w14:paraId="779DF998">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44"/>
                <w:szCs w:val="44"/>
                <w:u w:val="none"/>
                <w:lang w:val="en-US" w:eastAsia="zh-CN" w:bidi="ar"/>
              </w:rPr>
              <w:t>2025年度项目支出绩效自评表</w:t>
            </w:r>
          </w:p>
        </w:tc>
      </w:tr>
      <w:tr w14:paraId="4073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66" w:type="dxa"/>
            <w:tcBorders>
              <w:top w:val="nil"/>
              <w:left w:val="nil"/>
              <w:bottom w:val="nil"/>
              <w:right w:val="nil"/>
            </w:tcBorders>
            <w:shd w:val="clear" w:color="auto" w:fill="auto"/>
            <w:noWrap/>
            <w:vAlign w:val="center"/>
          </w:tcPr>
          <w:p w14:paraId="77798420">
            <w:pPr>
              <w:rPr>
                <w:rFonts w:hint="eastAsia" w:ascii="宋体" w:hAnsi="宋体" w:eastAsia="宋体" w:cs="宋体"/>
                <w:i w:val="0"/>
                <w:iCs w:val="0"/>
                <w:color w:val="000000"/>
                <w:sz w:val="20"/>
                <w:szCs w:val="20"/>
                <w:u w:val="none"/>
              </w:rPr>
            </w:pPr>
          </w:p>
        </w:tc>
        <w:tc>
          <w:tcPr>
            <w:tcW w:w="1000" w:type="dxa"/>
            <w:tcBorders>
              <w:top w:val="nil"/>
              <w:left w:val="nil"/>
              <w:bottom w:val="nil"/>
              <w:right w:val="nil"/>
            </w:tcBorders>
            <w:shd w:val="clear" w:color="auto" w:fill="auto"/>
            <w:noWrap/>
            <w:vAlign w:val="center"/>
          </w:tcPr>
          <w:p w14:paraId="6E251B37">
            <w:pPr>
              <w:rPr>
                <w:rFonts w:hint="eastAsia" w:ascii="宋体" w:hAnsi="宋体" w:eastAsia="宋体" w:cs="宋体"/>
                <w:i w:val="0"/>
                <w:iCs w:val="0"/>
                <w:color w:val="000000"/>
                <w:sz w:val="20"/>
                <w:szCs w:val="20"/>
                <w:u w:val="none"/>
              </w:rPr>
            </w:pPr>
          </w:p>
        </w:tc>
        <w:tc>
          <w:tcPr>
            <w:tcW w:w="735" w:type="dxa"/>
            <w:tcBorders>
              <w:top w:val="nil"/>
              <w:left w:val="nil"/>
              <w:bottom w:val="nil"/>
              <w:right w:val="nil"/>
            </w:tcBorders>
            <w:shd w:val="clear" w:color="auto" w:fill="auto"/>
            <w:noWrap/>
            <w:vAlign w:val="center"/>
          </w:tcPr>
          <w:p w14:paraId="77B6D262">
            <w:pPr>
              <w:rPr>
                <w:rFonts w:hint="eastAsia" w:ascii="宋体" w:hAnsi="宋体" w:eastAsia="宋体" w:cs="宋体"/>
                <w:i w:val="0"/>
                <w:iCs w:val="0"/>
                <w:color w:val="000000"/>
                <w:sz w:val="20"/>
                <w:szCs w:val="20"/>
                <w:u w:val="none"/>
              </w:rPr>
            </w:pPr>
          </w:p>
        </w:tc>
        <w:tc>
          <w:tcPr>
            <w:tcW w:w="1365" w:type="dxa"/>
            <w:tcBorders>
              <w:top w:val="nil"/>
              <w:left w:val="nil"/>
              <w:bottom w:val="nil"/>
              <w:right w:val="nil"/>
            </w:tcBorders>
            <w:shd w:val="clear" w:color="auto" w:fill="auto"/>
            <w:noWrap/>
            <w:vAlign w:val="center"/>
          </w:tcPr>
          <w:p w14:paraId="509CCCEB">
            <w:pPr>
              <w:rPr>
                <w:rFonts w:hint="eastAsia" w:ascii="宋体" w:hAnsi="宋体" w:eastAsia="宋体" w:cs="宋体"/>
                <w:i w:val="0"/>
                <w:iCs w:val="0"/>
                <w:color w:val="000000"/>
                <w:sz w:val="20"/>
                <w:szCs w:val="20"/>
                <w:u w:val="none"/>
              </w:rPr>
            </w:pPr>
          </w:p>
        </w:tc>
        <w:tc>
          <w:tcPr>
            <w:tcW w:w="1287" w:type="dxa"/>
            <w:tcBorders>
              <w:top w:val="nil"/>
              <w:left w:val="nil"/>
              <w:bottom w:val="nil"/>
              <w:right w:val="nil"/>
            </w:tcBorders>
            <w:shd w:val="clear" w:color="auto" w:fill="auto"/>
            <w:noWrap/>
            <w:vAlign w:val="center"/>
          </w:tcPr>
          <w:p w14:paraId="5975F08A">
            <w:pPr>
              <w:rPr>
                <w:rFonts w:hint="eastAsia" w:ascii="宋体" w:hAnsi="宋体" w:eastAsia="宋体" w:cs="宋体"/>
                <w:i w:val="0"/>
                <w:iCs w:val="0"/>
                <w:color w:val="000000"/>
                <w:sz w:val="20"/>
                <w:szCs w:val="20"/>
                <w:u w:val="none"/>
              </w:rPr>
            </w:pPr>
          </w:p>
        </w:tc>
        <w:tc>
          <w:tcPr>
            <w:tcW w:w="950" w:type="dxa"/>
            <w:tcBorders>
              <w:top w:val="nil"/>
              <w:left w:val="nil"/>
              <w:bottom w:val="nil"/>
              <w:right w:val="nil"/>
            </w:tcBorders>
            <w:shd w:val="clear" w:color="auto" w:fill="auto"/>
            <w:noWrap/>
            <w:vAlign w:val="center"/>
          </w:tcPr>
          <w:p w14:paraId="78E6C279">
            <w:pPr>
              <w:rPr>
                <w:rFonts w:hint="eastAsia" w:ascii="宋体" w:hAnsi="宋体" w:eastAsia="宋体" w:cs="宋体"/>
                <w:i w:val="0"/>
                <w:iCs w:val="0"/>
                <w:color w:val="000000"/>
                <w:sz w:val="20"/>
                <w:szCs w:val="20"/>
                <w:u w:val="none"/>
              </w:rPr>
            </w:pPr>
          </w:p>
        </w:tc>
        <w:tc>
          <w:tcPr>
            <w:tcW w:w="673" w:type="dxa"/>
            <w:tcBorders>
              <w:top w:val="nil"/>
              <w:left w:val="nil"/>
              <w:bottom w:val="nil"/>
              <w:right w:val="nil"/>
            </w:tcBorders>
            <w:shd w:val="clear" w:color="auto" w:fill="auto"/>
            <w:noWrap/>
            <w:vAlign w:val="center"/>
          </w:tcPr>
          <w:p w14:paraId="4A951BA2">
            <w:pPr>
              <w:rPr>
                <w:rFonts w:hint="eastAsia" w:ascii="宋体" w:hAnsi="宋体" w:eastAsia="宋体" w:cs="宋体"/>
                <w:i w:val="0"/>
                <w:iCs w:val="0"/>
                <w:color w:val="000000"/>
                <w:sz w:val="20"/>
                <w:szCs w:val="20"/>
                <w:u w:val="none"/>
              </w:rPr>
            </w:pPr>
          </w:p>
        </w:tc>
        <w:tc>
          <w:tcPr>
            <w:tcW w:w="735" w:type="dxa"/>
            <w:tcBorders>
              <w:top w:val="nil"/>
              <w:left w:val="nil"/>
              <w:bottom w:val="nil"/>
              <w:right w:val="nil"/>
            </w:tcBorders>
            <w:shd w:val="clear" w:color="auto" w:fill="auto"/>
            <w:noWrap/>
            <w:vAlign w:val="center"/>
          </w:tcPr>
          <w:p w14:paraId="014C3F68">
            <w:pPr>
              <w:rPr>
                <w:rFonts w:hint="eastAsia" w:ascii="宋体" w:hAnsi="宋体" w:eastAsia="宋体" w:cs="宋体"/>
                <w:i w:val="0"/>
                <w:iCs w:val="0"/>
                <w:color w:val="000000"/>
                <w:sz w:val="20"/>
                <w:szCs w:val="20"/>
                <w:u w:val="none"/>
              </w:rPr>
            </w:pPr>
          </w:p>
        </w:tc>
        <w:tc>
          <w:tcPr>
            <w:tcW w:w="1080" w:type="dxa"/>
            <w:tcBorders>
              <w:top w:val="nil"/>
              <w:left w:val="nil"/>
              <w:bottom w:val="nil"/>
              <w:right w:val="nil"/>
            </w:tcBorders>
            <w:shd w:val="clear" w:color="auto" w:fill="auto"/>
            <w:noWrap/>
            <w:vAlign w:val="center"/>
          </w:tcPr>
          <w:p w14:paraId="18C89248">
            <w:pPr>
              <w:rPr>
                <w:rFonts w:hint="eastAsia" w:ascii="宋体" w:hAnsi="宋体" w:eastAsia="宋体" w:cs="宋体"/>
                <w:i w:val="0"/>
                <w:iCs w:val="0"/>
                <w:color w:val="000000"/>
                <w:sz w:val="20"/>
                <w:szCs w:val="20"/>
                <w:u w:val="none"/>
              </w:rPr>
            </w:pPr>
          </w:p>
        </w:tc>
      </w:tr>
      <w:tr w14:paraId="23ADA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1E5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项目支出名称</w:t>
            </w:r>
          </w:p>
        </w:tc>
        <w:tc>
          <w:tcPr>
            <w:tcW w:w="782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3C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日常工作经费</w:t>
            </w:r>
          </w:p>
        </w:tc>
      </w:tr>
      <w:tr w14:paraId="1869A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31C55">
            <w:pPr>
              <w:jc w:val="center"/>
              <w:rPr>
                <w:rFonts w:hint="eastAsia" w:ascii="宋体" w:hAnsi="宋体" w:eastAsia="宋体" w:cs="宋体"/>
                <w:b/>
                <w:bCs/>
                <w:i w:val="0"/>
                <w:iCs w:val="0"/>
                <w:color w:val="000000"/>
                <w:sz w:val="20"/>
                <w:szCs w:val="20"/>
                <w:u w:val="none"/>
              </w:rPr>
            </w:pPr>
          </w:p>
        </w:tc>
        <w:tc>
          <w:tcPr>
            <w:tcW w:w="782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4716B">
            <w:pPr>
              <w:jc w:val="center"/>
              <w:rPr>
                <w:rFonts w:hint="eastAsia" w:ascii="宋体" w:hAnsi="宋体" w:eastAsia="宋体" w:cs="宋体"/>
                <w:i w:val="0"/>
                <w:iCs w:val="0"/>
                <w:color w:val="000000"/>
                <w:sz w:val="20"/>
                <w:szCs w:val="20"/>
                <w:u w:val="none"/>
              </w:rPr>
            </w:pPr>
          </w:p>
        </w:tc>
      </w:tr>
      <w:tr w14:paraId="0E16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D0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DB9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岳阳市住房公积金管理中心</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F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24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A8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岳阳市住房公积金管理中心本级</w:t>
            </w:r>
          </w:p>
        </w:tc>
      </w:tr>
      <w:tr w14:paraId="5E26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94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960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资金来源</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49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年初预算数</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F0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全年预算数</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3E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24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01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67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551F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D02AB">
            <w:pPr>
              <w:jc w:val="center"/>
              <w:rPr>
                <w:rFonts w:hint="eastAsia" w:ascii="宋体" w:hAnsi="宋体" w:eastAsia="宋体" w:cs="宋体"/>
                <w:i w:val="0"/>
                <w:iCs w:val="0"/>
                <w:color w:val="000000"/>
                <w:sz w:val="20"/>
                <w:szCs w:val="20"/>
                <w:u w:val="none"/>
              </w:rPr>
            </w:pP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1E7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B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1831.82</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4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7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F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B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1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89A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4AF9A">
            <w:pPr>
              <w:jc w:val="center"/>
              <w:rPr>
                <w:rFonts w:hint="eastAsia" w:ascii="宋体" w:hAnsi="宋体" w:eastAsia="宋体" w:cs="宋体"/>
                <w:i w:val="0"/>
                <w:iCs w:val="0"/>
                <w:color w:val="000000"/>
                <w:sz w:val="20"/>
                <w:szCs w:val="20"/>
                <w:u w:val="none"/>
              </w:rPr>
            </w:pP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31D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其中:当年财政拨款</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1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1831.82</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1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8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29C4">
            <w:pPr>
              <w:jc w:val="cente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7145">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304D">
            <w:pPr>
              <w:jc w:val="center"/>
              <w:rPr>
                <w:rFonts w:hint="eastAsia" w:ascii="宋体" w:hAnsi="宋体" w:eastAsia="宋体" w:cs="宋体"/>
                <w:i w:val="0"/>
                <w:iCs w:val="0"/>
                <w:color w:val="000000"/>
                <w:sz w:val="20"/>
                <w:szCs w:val="20"/>
                <w:u w:val="none"/>
              </w:rPr>
            </w:pPr>
          </w:p>
        </w:tc>
      </w:tr>
      <w:tr w14:paraId="18F7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FED92">
            <w:pPr>
              <w:jc w:val="center"/>
              <w:rPr>
                <w:rFonts w:hint="eastAsia" w:ascii="宋体" w:hAnsi="宋体" w:eastAsia="宋体" w:cs="宋体"/>
                <w:i w:val="0"/>
                <w:iCs w:val="0"/>
                <w:color w:val="000000"/>
                <w:sz w:val="20"/>
                <w:szCs w:val="20"/>
                <w:u w:val="none"/>
              </w:rPr>
            </w:pP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F16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上年结转金额</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3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6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4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24DC">
            <w:pPr>
              <w:jc w:val="cente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F81B">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1595">
            <w:pPr>
              <w:jc w:val="center"/>
              <w:rPr>
                <w:rFonts w:hint="eastAsia" w:ascii="宋体" w:hAnsi="宋体" w:eastAsia="宋体" w:cs="宋体"/>
                <w:i w:val="0"/>
                <w:iCs w:val="0"/>
                <w:color w:val="000000"/>
                <w:sz w:val="20"/>
                <w:szCs w:val="20"/>
                <w:u w:val="none"/>
              </w:rPr>
            </w:pPr>
          </w:p>
        </w:tc>
      </w:tr>
      <w:tr w14:paraId="52F7C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113C">
            <w:pPr>
              <w:jc w:val="center"/>
              <w:rPr>
                <w:rFonts w:hint="eastAsia" w:ascii="宋体" w:hAnsi="宋体" w:eastAsia="宋体" w:cs="宋体"/>
                <w:i w:val="0"/>
                <w:iCs w:val="0"/>
                <w:color w:val="000000"/>
                <w:sz w:val="20"/>
                <w:szCs w:val="20"/>
                <w:u w:val="none"/>
              </w:rPr>
            </w:pP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882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其它资金</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D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3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8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75A4">
            <w:pPr>
              <w:jc w:val="cente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F7EC">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4A9B">
            <w:pPr>
              <w:jc w:val="center"/>
              <w:rPr>
                <w:rFonts w:hint="eastAsia" w:ascii="宋体" w:hAnsi="宋体" w:eastAsia="宋体" w:cs="宋体"/>
                <w:i w:val="0"/>
                <w:iCs w:val="0"/>
                <w:color w:val="000000"/>
                <w:sz w:val="20"/>
                <w:szCs w:val="20"/>
                <w:u w:val="none"/>
              </w:rPr>
            </w:pPr>
          </w:p>
        </w:tc>
      </w:tr>
      <w:tr w14:paraId="7923E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8BF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C06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34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3A9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　</w:t>
            </w:r>
          </w:p>
        </w:tc>
      </w:tr>
      <w:tr w14:paraId="639F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018E1">
            <w:pPr>
              <w:jc w:val="center"/>
              <w:rPr>
                <w:rFonts w:hint="eastAsia" w:ascii="宋体" w:hAnsi="宋体" w:eastAsia="宋体" w:cs="宋体"/>
                <w:b/>
                <w:bCs/>
                <w:i w:val="0"/>
                <w:iCs w:val="0"/>
                <w:color w:val="000000"/>
                <w:sz w:val="20"/>
                <w:szCs w:val="20"/>
                <w:u w:val="none"/>
              </w:rPr>
            </w:pPr>
          </w:p>
        </w:tc>
        <w:tc>
          <w:tcPr>
            <w:tcW w:w="438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4E91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完成省监管办下达的年度各项任务指标，全力推进归集扩面、加大归集建制，切实加强贷后管理、管控个贷风险。</w:t>
            </w:r>
          </w:p>
        </w:tc>
        <w:tc>
          <w:tcPr>
            <w:tcW w:w="343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81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已按省监管办下达的年度各项任务完成各项指标。</w:t>
            </w:r>
          </w:p>
        </w:tc>
      </w:tr>
      <w:tr w14:paraId="524EB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E52EA">
            <w:pPr>
              <w:jc w:val="center"/>
              <w:rPr>
                <w:rFonts w:hint="eastAsia" w:ascii="宋体" w:hAnsi="宋体" w:eastAsia="宋体" w:cs="宋体"/>
                <w:b/>
                <w:bCs/>
                <w:i w:val="0"/>
                <w:iCs w:val="0"/>
                <w:color w:val="000000"/>
                <w:sz w:val="20"/>
                <w:szCs w:val="20"/>
                <w:u w:val="none"/>
              </w:rPr>
            </w:pPr>
          </w:p>
        </w:tc>
        <w:tc>
          <w:tcPr>
            <w:tcW w:w="4387"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B61D5">
            <w:pPr>
              <w:jc w:val="left"/>
              <w:rPr>
                <w:rFonts w:hint="eastAsia" w:ascii="宋体" w:hAnsi="宋体" w:eastAsia="宋体" w:cs="宋体"/>
                <w:i w:val="0"/>
                <w:iCs w:val="0"/>
                <w:color w:val="000000"/>
                <w:sz w:val="20"/>
                <w:szCs w:val="20"/>
                <w:u w:val="none"/>
              </w:rPr>
            </w:pPr>
          </w:p>
        </w:tc>
        <w:tc>
          <w:tcPr>
            <w:tcW w:w="343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152F2">
            <w:pPr>
              <w:jc w:val="center"/>
              <w:rPr>
                <w:rFonts w:hint="eastAsia" w:ascii="宋体" w:hAnsi="宋体" w:eastAsia="宋体" w:cs="宋体"/>
                <w:i w:val="0"/>
                <w:iCs w:val="0"/>
                <w:color w:val="000000"/>
                <w:sz w:val="20"/>
                <w:szCs w:val="20"/>
                <w:u w:val="none"/>
              </w:rPr>
            </w:pPr>
          </w:p>
        </w:tc>
      </w:tr>
      <w:tr w14:paraId="46B4A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27585">
            <w:pPr>
              <w:jc w:val="center"/>
              <w:rPr>
                <w:rFonts w:hint="eastAsia" w:ascii="宋体" w:hAnsi="宋体" w:eastAsia="宋体" w:cs="宋体"/>
                <w:b/>
                <w:bCs/>
                <w:i w:val="0"/>
                <w:iCs w:val="0"/>
                <w:color w:val="000000"/>
                <w:sz w:val="20"/>
                <w:szCs w:val="20"/>
                <w:u w:val="none"/>
              </w:rPr>
            </w:pPr>
          </w:p>
        </w:tc>
        <w:tc>
          <w:tcPr>
            <w:tcW w:w="4387"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43F35">
            <w:pPr>
              <w:jc w:val="left"/>
              <w:rPr>
                <w:rFonts w:hint="eastAsia" w:ascii="宋体" w:hAnsi="宋体" w:eastAsia="宋体" w:cs="宋体"/>
                <w:i w:val="0"/>
                <w:iCs w:val="0"/>
                <w:color w:val="000000"/>
                <w:sz w:val="20"/>
                <w:szCs w:val="20"/>
                <w:u w:val="none"/>
              </w:rPr>
            </w:pPr>
          </w:p>
        </w:tc>
        <w:tc>
          <w:tcPr>
            <w:tcW w:w="343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52B31">
            <w:pPr>
              <w:jc w:val="center"/>
              <w:rPr>
                <w:rFonts w:hint="eastAsia" w:ascii="宋体" w:hAnsi="宋体" w:eastAsia="宋体" w:cs="宋体"/>
                <w:i w:val="0"/>
                <w:iCs w:val="0"/>
                <w:color w:val="000000"/>
                <w:sz w:val="20"/>
                <w:szCs w:val="20"/>
                <w:u w:val="none"/>
              </w:rPr>
            </w:pPr>
          </w:p>
        </w:tc>
      </w:tr>
      <w:tr w14:paraId="7D6A7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49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82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3E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FAE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B6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年度指标值</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1B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实际完成值</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71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70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19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偏差原因分析及改进措施</w:t>
            </w:r>
          </w:p>
        </w:tc>
      </w:tr>
      <w:tr w14:paraId="25DB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48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53F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9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95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发放住房公积金贷款</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6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3D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9.78</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E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F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6C44C">
            <w:pPr>
              <w:jc w:val="center"/>
              <w:rPr>
                <w:rFonts w:hint="eastAsia" w:ascii="宋体" w:hAnsi="宋体" w:eastAsia="宋体" w:cs="宋体"/>
                <w:i w:val="0"/>
                <w:iCs w:val="0"/>
                <w:color w:val="000000"/>
                <w:sz w:val="20"/>
                <w:szCs w:val="20"/>
                <w:u w:val="none"/>
              </w:rPr>
            </w:pPr>
          </w:p>
        </w:tc>
      </w:tr>
      <w:tr w14:paraId="5E4E6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9A26F">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5F645">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F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69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归集住房公积金</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0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3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57.79</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B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F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71AC">
            <w:pPr>
              <w:jc w:val="center"/>
              <w:rPr>
                <w:rFonts w:hint="eastAsia" w:ascii="宋体" w:hAnsi="宋体" w:eastAsia="宋体" w:cs="宋体"/>
                <w:i w:val="0"/>
                <w:iCs w:val="0"/>
                <w:color w:val="000000"/>
                <w:sz w:val="20"/>
                <w:szCs w:val="20"/>
                <w:u w:val="none"/>
              </w:rPr>
            </w:pPr>
          </w:p>
        </w:tc>
      </w:tr>
      <w:tr w14:paraId="34DB5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5F4AA">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00AA9">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5E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8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实现住房公积金增值收益</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1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3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9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8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3F795">
            <w:pPr>
              <w:jc w:val="center"/>
              <w:rPr>
                <w:rFonts w:hint="eastAsia" w:ascii="宋体" w:hAnsi="宋体" w:eastAsia="宋体" w:cs="宋体"/>
                <w:i w:val="0"/>
                <w:iCs w:val="0"/>
                <w:color w:val="000000"/>
                <w:sz w:val="20"/>
                <w:szCs w:val="20"/>
                <w:u w:val="none"/>
              </w:rPr>
            </w:pPr>
          </w:p>
        </w:tc>
      </w:tr>
      <w:tr w14:paraId="5E6E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9033">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795E8">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6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E3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办理住房公积金提取</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5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2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42.83</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A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3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BAF3">
            <w:pPr>
              <w:jc w:val="center"/>
              <w:rPr>
                <w:rFonts w:hint="eastAsia" w:ascii="宋体" w:hAnsi="宋体" w:eastAsia="宋体" w:cs="宋体"/>
                <w:i w:val="0"/>
                <w:iCs w:val="0"/>
                <w:color w:val="000000"/>
                <w:sz w:val="20"/>
                <w:szCs w:val="20"/>
                <w:u w:val="none"/>
              </w:rPr>
            </w:pPr>
          </w:p>
        </w:tc>
      </w:tr>
      <w:tr w14:paraId="6DDAD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94E21">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52C89">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6F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3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年度个人住房贷款逾期率</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4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控制在0.06%以下</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D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0.0231%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3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6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6452">
            <w:pPr>
              <w:jc w:val="center"/>
              <w:rPr>
                <w:rFonts w:hint="eastAsia" w:ascii="宋体" w:hAnsi="宋体" w:eastAsia="宋体" w:cs="宋体"/>
                <w:i w:val="0"/>
                <w:iCs w:val="0"/>
                <w:color w:val="000000"/>
                <w:sz w:val="20"/>
                <w:szCs w:val="20"/>
                <w:u w:val="none"/>
              </w:rPr>
            </w:pPr>
          </w:p>
        </w:tc>
      </w:tr>
      <w:tr w14:paraId="3A5E2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2077E">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24A17">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57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D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住房公积金个贷率</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A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50%-70%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8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44.78</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A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A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6E19">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受房地产市场影响，购房需求不高。已积极调整相应政策，进一步优化公积金使用政策。</w:t>
            </w:r>
          </w:p>
        </w:tc>
      </w:tr>
      <w:tr w14:paraId="279FF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28FE">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2A95">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F6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16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在岳阳市以外湖南省内其它城市购房的，作出准予提取或者不准提取的决定，并告知提取申请人。</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F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C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按时办理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5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7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BA52">
            <w:pPr>
              <w:jc w:val="center"/>
              <w:rPr>
                <w:rFonts w:hint="eastAsia" w:ascii="宋体" w:hAnsi="宋体" w:eastAsia="宋体" w:cs="宋体"/>
                <w:i w:val="0"/>
                <w:iCs w:val="0"/>
                <w:color w:val="000000"/>
                <w:sz w:val="20"/>
                <w:szCs w:val="20"/>
                <w:u w:val="none"/>
              </w:rPr>
            </w:pPr>
          </w:p>
        </w:tc>
      </w:tr>
      <w:tr w14:paraId="608FF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8ECA2">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43970">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4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E9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作出准予贷款或不准予贷款的决定，并通知借款申请人</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5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A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按时办理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5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6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A1988">
            <w:pPr>
              <w:jc w:val="center"/>
              <w:rPr>
                <w:rFonts w:hint="eastAsia" w:ascii="宋体" w:hAnsi="宋体" w:eastAsia="宋体" w:cs="宋体"/>
                <w:i w:val="0"/>
                <w:iCs w:val="0"/>
                <w:color w:val="000000"/>
                <w:sz w:val="20"/>
                <w:szCs w:val="20"/>
                <w:u w:val="none"/>
              </w:rPr>
            </w:pPr>
          </w:p>
        </w:tc>
      </w:tr>
      <w:tr w14:paraId="38CFB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8"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2389F">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AD362">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D8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D0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自不动产登记机构办结不动产抵押登记手续，出具《不动产登记证明》之日起，5个工作日内办理放款手续。</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5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7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0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E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C771">
            <w:pPr>
              <w:jc w:val="center"/>
              <w:rPr>
                <w:rFonts w:hint="eastAsia" w:ascii="宋体" w:hAnsi="宋体" w:eastAsia="宋体" w:cs="宋体"/>
                <w:i w:val="0"/>
                <w:iCs w:val="0"/>
                <w:color w:val="000000"/>
                <w:sz w:val="20"/>
                <w:szCs w:val="20"/>
                <w:u w:val="none"/>
              </w:rPr>
            </w:pPr>
          </w:p>
        </w:tc>
      </w:tr>
      <w:tr w14:paraId="4DAC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0174B">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20AA0">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5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7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在岳阳市范围内购房的，自受理申请之日起3个工作日内做出准予提取或者不准提取的决定，并告知提取申请人，手续齐全的，即时办理。</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1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5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按时办理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7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C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91AC3">
            <w:pPr>
              <w:jc w:val="center"/>
              <w:rPr>
                <w:rFonts w:hint="eastAsia" w:ascii="宋体" w:hAnsi="宋体" w:eastAsia="宋体" w:cs="宋体"/>
                <w:i w:val="0"/>
                <w:iCs w:val="0"/>
                <w:color w:val="000000"/>
                <w:sz w:val="20"/>
                <w:szCs w:val="20"/>
                <w:u w:val="none"/>
              </w:rPr>
            </w:pPr>
          </w:p>
        </w:tc>
      </w:tr>
      <w:tr w14:paraId="3150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C5B08">
            <w:pPr>
              <w:jc w:val="center"/>
              <w:rPr>
                <w:rFonts w:hint="eastAsia" w:ascii="宋体" w:hAnsi="宋体" w:eastAsia="宋体" w:cs="宋体"/>
                <w:i w:val="0"/>
                <w:iCs w:val="0"/>
                <w:color w:val="000000"/>
                <w:sz w:val="20"/>
                <w:szCs w:val="20"/>
                <w:u w:val="none"/>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ADB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8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02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实现公积金保值增值</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9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C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5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A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F3B4">
            <w:pPr>
              <w:jc w:val="center"/>
              <w:rPr>
                <w:rFonts w:hint="eastAsia" w:ascii="宋体" w:hAnsi="宋体" w:eastAsia="宋体" w:cs="宋体"/>
                <w:i w:val="0"/>
                <w:iCs w:val="0"/>
                <w:color w:val="000000"/>
                <w:sz w:val="20"/>
                <w:szCs w:val="20"/>
                <w:u w:val="none"/>
              </w:rPr>
            </w:pPr>
          </w:p>
        </w:tc>
      </w:tr>
      <w:tr w14:paraId="2BB4C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AC49">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C26EA">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06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6F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在完成各项业务指标的基础上，最大程度发挥住房公积金的住房保障作用。</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7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9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2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0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6A00">
            <w:pPr>
              <w:jc w:val="center"/>
              <w:rPr>
                <w:rFonts w:hint="eastAsia" w:ascii="宋体" w:hAnsi="宋体" w:eastAsia="宋体" w:cs="宋体"/>
                <w:i w:val="0"/>
                <w:iCs w:val="0"/>
                <w:color w:val="000000"/>
                <w:sz w:val="20"/>
                <w:szCs w:val="20"/>
                <w:u w:val="none"/>
              </w:rPr>
            </w:pPr>
          </w:p>
        </w:tc>
      </w:tr>
      <w:tr w14:paraId="3785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ECF4">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BFE68">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E4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C3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E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D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C643">
            <w:pPr>
              <w:jc w:val="cente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4CAB">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72DB">
            <w:pPr>
              <w:jc w:val="center"/>
              <w:rPr>
                <w:rFonts w:hint="eastAsia" w:ascii="宋体" w:hAnsi="宋体" w:eastAsia="宋体" w:cs="宋体"/>
                <w:i w:val="0"/>
                <w:iCs w:val="0"/>
                <w:color w:val="000000"/>
                <w:sz w:val="20"/>
                <w:szCs w:val="20"/>
                <w:u w:val="none"/>
              </w:rPr>
            </w:pPr>
          </w:p>
        </w:tc>
      </w:tr>
      <w:tr w14:paraId="1A0FB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71F54">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430CB">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B2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FE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实现公积金保值增值</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3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有效实现</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5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有效实现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0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D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7C93">
            <w:pPr>
              <w:jc w:val="center"/>
              <w:rPr>
                <w:rFonts w:hint="eastAsia" w:ascii="宋体" w:hAnsi="宋体" w:eastAsia="宋体" w:cs="宋体"/>
                <w:i w:val="0"/>
                <w:iCs w:val="0"/>
                <w:color w:val="000000"/>
                <w:sz w:val="20"/>
                <w:szCs w:val="20"/>
                <w:u w:val="none"/>
              </w:rPr>
            </w:pPr>
          </w:p>
        </w:tc>
      </w:tr>
      <w:tr w14:paraId="4196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54A39">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91898">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DE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F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降低缴存职工购房压力</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2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有效降低</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8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有效降低</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0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8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EF56">
            <w:pPr>
              <w:jc w:val="center"/>
              <w:rPr>
                <w:rFonts w:hint="eastAsia" w:ascii="宋体" w:hAnsi="宋体" w:eastAsia="宋体" w:cs="宋体"/>
                <w:i w:val="0"/>
                <w:iCs w:val="0"/>
                <w:color w:val="000000"/>
                <w:sz w:val="20"/>
                <w:szCs w:val="20"/>
                <w:u w:val="none"/>
              </w:rPr>
            </w:pPr>
          </w:p>
        </w:tc>
      </w:tr>
      <w:tr w14:paraId="2143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3AF1B">
            <w:pPr>
              <w:jc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A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55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0A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住房公积金窗口服务满意度</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5D97">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Style w:val="9"/>
                <w:lang w:val="en-US" w:eastAsia="zh-CN" w:bidi="ar"/>
              </w:rPr>
              <w:t>≧</w:t>
            </w:r>
            <w:r>
              <w:rPr>
                <w:rStyle w:val="10"/>
                <w:lang w:val="en-US" w:eastAsia="zh-CN" w:bidi="ar"/>
              </w:rPr>
              <w:t>95%</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7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7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4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6580">
            <w:pPr>
              <w:jc w:val="center"/>
              <w:rPr>
                <w:rFonts w:hint="eastAsia" w:ascii="宋体" w:hAnsi="宋体" w:eastAsia="宋体" w:cs="宋体"/>
                <w:i w:val="0"/>
                <w:iCs w:val="0"/>
                <w:color w:val="000000"/>
                <w:sz w:val="20"/>
                <w:szCs w:val="20"/>
                <w:u w:val="none"/>
              </w:rPr>
            </w:pPr>
          </w:p>
        </w:tc>
      </w:tr>
      <w:tr w14:paraId="12677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8C3F7">
            <w:pPr>
              <w:jc w:val="center"/>
              <w:rPr>
                <w:rFonts w:hint="eastAsia" w:ascii="宋体" w:hAnsi="宋体" w:eastAsia="宋体" w:cs="宋体"/>
                <w:i w:val="0"/>
                <w:iCs w:val="0"/>
                <w:color w:val="000000"/>
                <w:sz w:val="20"/>
                <w:szCs w:val="20"/>
                <w:u w:val="none"/>
              </w:rPr>
            </w:pP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FC2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19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经济成本指标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E4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成本控制在预算内</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E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1831.82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C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1521.45</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F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09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C067">
            <w:pPr>
              <w:jc w:val="center"/>
              <w:rPr>
                <w:rFonts w:hint="eastAsia" w:ascii="宋体" w:hAnsi="宋体" w:eastAsia="宋体" w:cs="宋体"/>
                <w:i w:val="0"/>
                <w:iCs w:val="0"/>
                <w:color w:val="000000"/>
                <w:sz w:val="20"/>
                <w:szCs w:val="20"/>
                <w:u w:val="none"/>
              </w:rPr>
            </w:pPr>
          </w:p>
        </w:tc>
      </w:tr>
      <w:tr w14:paraId="30E33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44D2A">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380C3">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7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社会成本指标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14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B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A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E215">
            <w:pPr>
              <w:jc w:val="cente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AB1D">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4724">
            <w:pPr>
              <w:jc w:val="center"/>
              <w:rPr>
                <w:rFonts w:hint="eastAsia" w:ascii="宋体" w:hAnsi="宋体" w:eastAsia="宋体" w:cs="宋体"/>
                <w:i w:val="0"/>
                <w:iCs w:val="0"/>
                <w:color w:val="000000"/>
                <w:sz w:val="20"/>
                <w:szCs w:val="20"/>
                <w:u w:val="none"/>
              </w:rPr>
            </w:pPr>
          </w:p>
        </w:tc>
      </w:tr>
      <w:tr w14:paraId="7667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A0EBF">
            <w:pPr>
              <w:jc w:val="center"/>
              <w:rPr>
                <w:rFonts w:hint="eastAsia" w:ascii="宋体" w:hAnsi="宋体" w:eastAsia="宋体" w:cs="宋体"/>
                <w:i w:val="0"/>
                <w:iCs w:val="0"/>
                <w:color w:val="000000"/>
                <w:sz w:val="20"/>
                <w:szCs w:val="20"/>
                <w:u w:val="none"/>
              </w:rP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CAFE5">
            <w:pP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5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生态环境成本指标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A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0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1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不适用</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F8DB">
            <w:pPr>
              <w:jc w:val="center"/>
              <w:rPr>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CD2E">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9E5C">
            <w:pPr>
              <w:jc w:val="center"/>
              <w:rPr>
                <w:rFonts w:hint="eastAsia" w:ascii="宋体" w:hAnsi="宋体" w:eastAsia="宋体" w:cs="宋体"/>
                <w:i w:val="0"/>
                <w:iCs w:val="0"/>
                <w:color w:val="000000"/>
                <w:sz w:val="20"/>
                <w:szCs w:val="20"/>
                <w:u w:val="none"/>
              </w:rPr>
            </w:pPr>
          </w:p>
        </w:tc>
      </w:tr>
      <w:tr w14:paraId="2CBF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9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FE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60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6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r>
      <w:tr w14:paraId="3BDE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991" w:type="dxa"/>
            <w:gridSpan w:val="9"/>
            <w:tcBorders>
              <w:top w:val="nil"/>
              <w:left w:val="nil"/>
              <w:bottom w:val="nil"/>
              <w:right w:val="nil"/>
            </w:tcBorders>
            <w:shd w:val="clear" w:color="auto" w:fill="auto"/>
            <w:noWrap/>
            <w:vAlign w:val="center"/>
          </w:tcPr>
          <w:p w14:paraId="50D075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备注：一个一级项目支出一张表。如，业务工作经费，运转维护经费，其他事业发展类资金......各一张表。</w:t>
            </w:r>
          </w:p>
        </w:tc>
      </w:tr>
      <w:tr w14:paraId="4DAC5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991" w:type="dxa"/>
            <w:gridSpan w:val="9"/>
            <w:tcBorders>
              <w:top w:val="nil"/>
              <w:left w:val="nil"/>
              <w:bottom w:val="nil"/>
              <w:right w:val="nil"/>
            </w:tcBorders>
            <w:shd w:val="clear" w:color="auto" w:fill="auto"/>
            <w:noWrap/>
            <w:vAlign w:val="center"/>
          </w:tcPr>
          <w:p w14:paraId="561E2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       填报日期：        联系电话：           单位负责人签名：</w:t>
            </w:r>
          </w:p>
        </w:tc>
      </w:tr>
    </w:tbl>
    <w:p w14:paraId="682B03DC">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79D8A"/>
    <w:multiLevelType w:val="singleLevel"/>
    <w:tmpl w:val="94A79D8A"/>
    <w:lvl w:ilvl="0" w:tentative="0">
      <w:start w:val="1"/>
      <w:numFmt w:val="chineseCounting"/>
      <w:suff w:val="nothing"/>
      <w:lvlText w:val="%1、"/>
      <w:lvlJc w:val="left"/>
      <w:rPr>
        <w:rFonts w:hint="eastAsia"/>
      </w:rPr>
    </w:lvl>
  </w:abstractNum>
  <w:abstractNum w:abstractNumId="1">
    <w:nsid w:val="E2E5E2B3"/>
    <w:multiLevelType w:val="singleLevel"/>
    <w:tmpl w:val="E2E5E2B3"/>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4A23A8"/>
    <w:rsid w:val="00211043"/>
    <w:rsid w:val="00535E05"/>
    <w:rsid w:val="00753FB9"/>
    <w:rsid w:val="00A92B8E"/>
    <w:rsid w:val="00B92A6C"/>
    <w:rsid w:val="00BD087A"/>
    <w:rsid w:val="105226AF"/>
    <w:rsid w:val="10B8735D"/>
    <w:rsid w:val="11F82B2B"/>
    <w:rsid w:val="1DC96D4D"/>
    <w:rsid w:val="24820020"/>
    <w:rsid w:val="2A175A2C"/>
    <w:rsid w:val="2C370C0C"/>
    <w:rsid w:val="2F880A36"/>
    <w:rsid w:val="37172D7C"/>
    <w:rsid w:val="508F3931"/>
    <w:rsid w:val="549C03CB"/>
    <w:rsid w:val="574A23A8"/>
    <w:rsid w:val="5BF158CB"/>
    <w:rsid w:val="636322F2"/>
    <w:rsid w:val="643B3DA6"/>
    <w:rsid w:val="64C9787B"/>
    <w:rsid w:val="69ED5BED"/>
    <w:rsid w:val="6B132022"/>
    <w:rsid w:val="6C6F7964"/>
    <w:rsid w:val="6FF0760F"/>
    <w:rsid w:val="72685137"/>
    <w:rsid w:val="72B151C8"/>
    <w:rsid w:val="745D00B8"/>
    <w:rsid w:val="7A156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customStyle="1" w:styleId="2">
    <w:name w:val="Body Text First Indent 21"/>
    <w:basedOn w:val="3"/>
    <w:qFormat/>
    <w:uiPriority w:val="0"/>
    <w:pPr>
      <w:ind w:firstLine="420"/>
    </w:pPr>
  </w:style>
  <w:style w:type="paragraph" w:customStyle="1" w:styleId="3">
    <w:name w:val="Body Text Indent1"/>
    <w:basedOn w:val="1"/>
    <w:qFormat/>
    <w:uiPriority w:val="0"/>
    <w:pPr>
      <w:ind w:firstLine="720" w:firstLineChars="200"/>
    </w:pPr>
    <w:rPr>
      <w:rFonts w:ascii="Calibri" w:hAnsi="Calibri" w:eastAsia="仿宋_GB2312"/>
      <w:sz w:val="36"/>
      <w:szCs w:val="24"/>
    </w:rPr>
  </w:style>
  <w:style w:type="paragraph" w:styleId="6">
    <w:name w:val="List Paragraph"/>
    <w:basedOn w:val="1"/>
    <w:qFormat/>
    <w:uiPriority w:val="99"/>
    <w:pPr>
      <w:ind w:firstLine="420" w:firstLineChars="200"/>
    </w:pPr>
    <w:rPr>
      <w:rFonts w:ascii="Calibri" w:hAnsi="Calibri"/>
      <w:szCs w:val="22"/>
    </w:rPr>
  </w:style>
  <w:style w:type="character" w:customStyle="1" w:styleId="7">
    <w:name w:val="font101"/>
    <w:basedOn w:val="5"/>
    <w:uiPriority w:val="0"/>
    <w:rPr>
      <w:rFonts w:ascii="宋体" w:hAnsi="宋体" w:eastAsia="宋体" w:cs="宋体"/>
      <w:color w:val="000000"/>
      <w:sz w:val="20"/>
      <w:szCs w:val="20"/>
      <w:u w:val="none"/>
    </w:rPr>
  </w:style>
  <w:style w:type="character" w:customStyle="1" w:styleId="8">
    <w:name w:val="font51"/>
    <w:basedOn w:val="5"/>
    <w:uiPriority w:val="0"/>
    <w:rPr>
      <w:rFonts w:hint="default" w:ascii="仿宋_GB2312" w:eastAsia="仿宋_GB2312" w:cs="仿宋_GB2312"/>
      <w:color w:val="000000"/>
      <w:sz w:val="20"/>
      <w:szCs w:val="20"/>
      <w:u w:val="none"/>
    </w:rPr>
  </w:style>
  <w:style w:type="character" w:customStyle="1" w:styleId="9">
    <w:name w:val="font81"/>
    <w:basedOn w:val="5"/>
    <w:qFormat/>
    <w:uiPriority w:val="0"/>
    <w:rPr>
      <w:rFonts w:ascii="宋体" w:hAnsi="宋体" w:eastAsia="宋体" w:cs="宋体"/>
      <w:color w:val="000000"/>
      <w:sz w:val="20"/>
      <w:szCs w:val="20"/>
      <w:u w:val="none"/>
    </w:rPr>
  </w:style>
  <w:style w:type="character" w:customStyle="1" w:styleId="10">
    <w:name w:val="font3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7478</Words>
  <Characters>8069</Characters>
  <Lines>39</Lines>
  <Paragraphs>11</Paragraphs>
  <TotalTime>195</TotalTime>
  <ScaleCrop>false</ScaleCrop>
  <LinksUpToDate>false</LinksUpToDate>
  <CharactersWithSpaces>8167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2026-05-19T02:57:00Z</dcterms:created>
  <dc:creator>小贝哥 </dc:creator>
  <cp:lastModifiedBy>朱贵容</cp:lastModifiedBy>
  <cp:lastPrinted>2026-06-17T08:36:00Z</cp:lastPrinted>
  <dcterms:modified xsi:type="dcterms:W3CDTF">2026-09-20T04:00:22Z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67C7D9DB916648D9AFD91B001DC8B926_11</vt:lpwstr>
  </property>
  <property fmtid="{D5CDD505-2E9C-101B-9397-08002B2CF9AE}" pid="4" name="KSOTemplateDocerSaveRecord">
    <vt:lpwstr>eyJoZGlkIjoiMjcwM2ZkNGE5MzE1NjhlNjk0MjExNDJhMTA2YmNkZTMiLCJ1c2VySWQiOiIxNDgxMDAxMTg3In0=</vt:lpwstr>
  </property>
</Properties>
</file>