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center"/>
        <w:rPr>
          <w:sz w:val="56"/>
          <w:szCs w:val="56"/>
        </w:rPr>
      </w:pPr>
    </w:p>
    <w:p>
      <w:pPr>
        <w:pStyle w:val="13"/>
        <w:jc w:val="center"/>
        <w:rPr>
          <w:sz w:val="56"/>
          <w:szCs w:val="56"/>
        </w:rPr>
      </w:pPr>
    </w:p>
    <w:p>
      <w:pPr>
        <w:pStyle w:val="13"/>
        <w:jc w:val="center"/>
        <w:rPr>
          <w:sz w:val="84"/>
          <w:szCs w:val="84"/>
        </w:rPr>
      </w:pPr>
    </w:p>
    <w:p>
      <w:pPr>
        <w:pStyle w:val="13"/>
        <w:jc w:val="center"/>
        <w:rPr>
          <w:sz w:val="84"/>
          <w:szCs w:val="84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度</w:t>
      </w: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84"/>
          <w:szCs w:val="84"/>
          <w:lang w:val="en-US" w:eastAsia="zh-CN"/>
        </w:rPr>
        <w:t>岳阳市公安局部门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决算</w:t>
      </w: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56"/>
          <w:szCs w:val="56"/>
        </w:rPr>
      </w:pPr>
    </w:p>
    <w:p>
      <w:pPr>
        <w:pStyle w:val="13"/>
        <w:jc w:val="center"/>
        <w:rPr>
          <w:sz w:val="56"/>
          <w:szCs w:val="56"/>
        </w:rPr>
      </w:pPr>
    </w:p>
    <w:p>
      <w:pPr>
        <w:pStyle w:val="13"/>
        <w:jc w:val="center"/>
        <w:rPr>
          <w:sz w:val="32"/>
          <w:szCs w:val="32"/>
        </w:rPr>
      </w:pPr>
    </w:p>
    <w:p>
      <w:pPr>
        <w:pStyle w:val="13"/>
        <w:jc w:val="center"/>
        <w:rPr>
          <w:sz w:val="32"/>
          <w:szCs w:val="32"/>
        </w:rPr>
      </w:pPr>
    </w:p>
    <w:p>
      <w:pPr>
        <w:rPr>
          <w:b/>
          <w:sz w:val="36"/>
          <w:szCs w:val="28"/>
        </w:rPr>
      </w:pPr>
      <w:r>
        <w:rPr>
          <w:b/>
          <w:sz w:val="36"/>
          <w:szCs w:val="28"/>
        </w:rPr>
        <w:br w:type="page"/>
      </w:r>
    </w:p>
    <w:p>
      <w:pPr>
        <w:pStyle w:val="13"/>
        <w:spacing w:line="500" w:lineRule="exact"/>
        <w:jc w:val="center"/>
        <w:rPr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目录</w:t>
      </w:r>
    </w:p>
    <w:p>
      <w:pPr>
        <w:pStyle w:val="13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第一部分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val="en-US" w:eastAsia="zh-CN"/>
        </w:rPr>
        <w:t>岳阳市公安局部门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概况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一、部门职责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二、机构设置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及决算单位构成</w:t>
      </w:r>
    </w:p>
    <w:p>
      <w:pPr>
        <w:pStyle w:val="13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第二部分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部门决算表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一、收入支出决算总表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二、收入决算表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三、支出决算表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四、财政拨款收入支出决算总表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五、一般公共预算财政拨款支出决算表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六、一般公共预算财政拨款基本支出决算明细表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七、政府性基金预算财政拨款收入支出决算表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八、国有资本经营预算财政拨款支出决算表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九、财政拨款“三公”经费支出决算表</w:t>
      </w:r>
    </w:p>
    <w:p>
      <w:pPr>
        <w:pStyle w:val="13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第三部分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部门决算情况说明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一、收入支出决算总体情况说明</w:t>
      </w:r>
    </w:p>
    <w:p>
      <w:pPr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二、收入决算情况说明</w:t>
      </w:r>
    </w:p>
    <w:p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三、支出决算情况说明</w:t>
      </w:r>
    </w:p>
    <w:p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四、财政拨款收入支出决算总体情况说明</w:t>
      </w:r>
    </w:p>
    <w:p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五、一般公共预算财政拨款支出决算情况说明</w:t>
      </w:r>
    </w:p>
    <w:p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六、一般公共预算财政拨款基本支出决算情况说明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七、政府性基金预算收入支出决算情况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八、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国有资本经营预算财政拨款支出决算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九、财政拨款三公经费支出决算情况说明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十、关于机关运行经费支出说明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十一、一般性支出情况说明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关于政府采购支出说明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十三、关于国有资产占用情况说明</w:t>
      </w:r>
    </w:p>
    <w:p>
      <w:pPr>
        <w:pStyle w:val="13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-SA"/>
        </w:rPr>
        <w:t>十四、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关于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度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绩效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管理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情况的说明</w:t>
      </w:r>
    </w:p>
    <w:p>
      <w:pPr>
        <w:pStyle w:val="13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第四部分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名词解释</w:t>
      </w:r>
    </w:p>
    <w:p>
      <w:pPr>
        <w:pStyle w:val="13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附件</w:t>
      </w: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第一部分</w:t>
      </w: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84"/>
          <w:szCs w:val="84"/>
          <w:lang w:val="en-US" w:eastAsia="zh-CN"/>
        </w:rPr>
        <w:t>岳阳市公安局部门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概况</w:t>
      </w:r>
    </w:p>
    <w:p>
      <w:pPr>
        <w:pStyle w:val="2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2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4"/>
        <w:numPr>
          <w:ilvl w:val="0"/>
          <w:numId w:val="1"/>
        </w:numPr>
        <w:ind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部门职责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（一）贯彻执行党和国家关于公安工作的方针、政策和法律、法规，拟订有关地方性法规草案、规章草案，部署、指导、监督、检查全市公安工作。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二）掌握危害国家政治安全、社会治安和影响稳定的情况，分析形势，制定对策。收集非法宗教、邪教组织影响社会稳定、危害社会治安的情况并进行分析研判，依法打击相关违法犯罪活动。组织、指导、监督境外非政府组织在境内活动的管理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三）组织、指导、监督全市公安机关案件侦查工作，协调侦办危害国家政治安全犯罪案件、重大刑事犯罪案件、重大经济犯罪案件。组织、指导、监督全市公安机关侦办食品药品、知识产权、生态环境、森林草原和生物安全等领域犯罪案件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（四）负责治安管理工作。协调处置重大治安事故和群体性事件，指导、监督全市公安机关依法查处破坏社会治安秩序的行为，依法开展治安行政管理工作。组织、指导、监督全市公安机关治安保卫工作。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（五）负责全市道路交通安全管理工作。组织、指导、监督全市公安机关维护道路交通安全、道路交通秩序以及开展车辆、驾驶人管理工作。指导、协调参与重大交通事故的查处。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（六）组织、指导、监督全市公安机关对公共信息网络的安全保护工作，负责信息安全等级保护工作的监督、检查、指导。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 xml:space="preserve">（七）组织、指导、协调对恐怖活动的防范、侦察和打击工作。 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（八）组织、指导、协调禁毒工作。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（九）指导、监督全市看守所、拘留所、公安强制隔离戒毒所等监管场所的管理工作。指导、监督全市公安机关依法承担的刑罚执行工作。指导全市公安机关留置看护勤务工作。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（十）组织、指导对来岳党和国家领导人以及重要外宾、会议、活动的相关安全警卫工作。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（十一）组织实施公安科学技术工作，规划公安机关指挥系统、大数据技术、网络安全技术和行动技术、刑事科学技术建设。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（十二）组织、指导、协调全市公安机关装备、被装配备和管理工作。申报、监督、管理公安业务经费和专项拨款。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（十三）组织、指导、监督全市出境、入境和外国人在境内居留、旅行的有关管理工作，依法承担国籍管理相关工作。负责国际执法合作基础性工作，承担全市公安机关跨国（境）案件侦办协作工作。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（十四）组织、指导、监督全市民用航空安全保卫工作。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（十五）组织、指导全市公安机关对无人驾驶航空器的公共安全管理、反制和违法案事件查处工作。组织、指导全市警用航空器运行、安全和管理工作。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（十六）指导全市公安机关履行森林火灾火场警戒、交通疏导、治安维护、火案侦破，以及协同有关部门开展防火宣传、火灾隐患排查、重点区域巡护、违规用火处罚等职责。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（十七）负责公安政务服务工作。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440" w:lineRule="exact"/>
        <w:ind w:firstLine="64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（十八）指导全市公安队伍建设和思想政治工作。组织、指导全市公安机关督察审计、信访工作，查处或督办公安队伍重大违纪案件。指导、督促、检查全市公安机关执法活动。</w:t>
      </w:r>
    </w:p>
    <w:p>
      <w:pPr>
        <w:ind w:firstLine="640" w:firstLineChars="200"/>
        <w:jc w:val="left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eastAsia="仿宋_GB2312"/>
          <w:snapToGrid w:val="0"/>
          <w:sz w:val="32"/>
          <w:lang w:eastAsia="zh-CN"/>
        </w:rPr>
        <w:t>（十九）完成市委、市人民政府交办的其他任务。</w:t>
      </w:r>
    </w:p>
    <w:p>
      <w:pPr>
        <w:widowControl/>
        <w:spacing w:line="600" w:lineRule="exac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二、机构设置及决算单位构成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（一）内设机构设置。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岳阳市公安局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内设机构包括：</w:t>
      </w:r>
      <w:r>
        <w:rPr>
          <w:rFonts w:hint="default" w:eastAsia="仿宋_GB2312"/>
          <w:snapToGrid w:val="0"/>
          <w:sz w:val="32"/>
          <w:lang w:val="en-US" w:eastAsia="zh-CN"/>
        </w:rPr>
        <w:t>22个内设机构，</w:t>
      </w:r>
      <w:r>
        <w:rPr>
          <w:rFonts w:hint="eastAsia" w:eastAsia="仿宋_GB2312"/>
          <w:snapToGrid w:val="0"/>
          <w:sz w:val="32"/>
          <w:lang w:val="en-US" w:eastAsia="zh-CN"/>
        </w:rPr>
        <w:t>其中，</w:t>
      </w:r>
      <w:r>
        <w:rPr>
          <w:rFonts w:hint="default" w:eastAsia="仿宋_GB2312"/>
          <w:snapToGrid w:val="0"/>
          <w:sz w:val="32"/>
          <w:lang w:val="en-US" w:eastAsia="zh-CN"/>
        </w:rPr>
        <w:t>综合管理机构</w:t>
      </w:r>
      <w:r>
        <w:rPr>
          <w:rFonts w:hint="eastAsia" w:eastAsia="仿宋_GB2312"/>
          <w:snapToGrid w:val="0"/>
          <w:sz w:val="32"/>
          <w:lang w:val="en-US" w:eastAsia="zh-CN"/>
        </w:rPr>
        <w:t>3</w:t>
      </w:r>
      <w:r>
        <w:rPr>
          <w:rFonts w:hint="default" w:eastAsia="仿宋_GB2312"/>
          <w:snapToGrid w:val="0"/>
          <w:sz w:val="32"/>
          <w:lang w:val="en-US" w:eastAsia="zh-CN"/>
        </w:rPr>
        <w:t>个：人事</w:t>
      </w:r>
      <w:r>
        <w:rPr>
          <w:rFonts w:hint="eastAsia" w:eastAsia="仿宋_GB2312"/>
          <w:snapToGrid w:val="0"/>
          <w:sz w:val="32"/>
          <w:lang w:val="en-US" w:eastAsia="zh-CN"/>
        </w:rPr>
        <w:t>训练</w:t>
      </w:r>
      <w:r>
        <w:rPr>
          <w:rFonts w:hint="default" w:eastAsia="仿宋_GB2312"/>
          <w:snapToGrid w:val="0"/>
          <w:sz w:val="32"/>
          <w:lang w:val="en-US" w:eastAsia="zh-CN"/>
        </w:rPr>
        <w:t>科（警务辅助人员管理办公室）、</w:t>
      </w:r>
      <w:r>
        <w:rPr>
          <w:rFonts w:hint="eastAsia" w:eastAsia="仿宋_GB2312"/>
          <w:snapToGrid w:val="0"/>
          <w:sz w:val="32"/>
          <w:lang w:val="en-US" w:eastAsia="zh-CN"/>
        </w:rPr>
        <w:t>新闻</w:t>
      </w:r>
      <w:r>
        <w:rPr>
          <w:rFonts w:hint="default" w:eastAsia="仿宋_GB2312"/>
          <w:snapToGrid w:val="0"/>
          <w:sz w:val="32"/>
          <w:lang w:val="en-US" w:eastAsia="zh-CN"/>
        </w:rPr>
        <w:t>宣传科、警务保障科；执法勤务机构1</w:t>
      </w:r>
      <w:r>
        <w:rPr>
          <w:rFonts w:hint="eastAsia" w:eastAsia="仿宋_GB2312"/>
          <w:snapToGrid w:val="0"/>
          <w:sz w:val="32"/>
          <w:lang w:val="en-US" w:eastAsia="zh-CN"/>
        </w:rPr>
        <w:t>9</w:t>
      </w:r>
      <w:r>
        <w:rPr>
          <w:rFonts w:hint="default" w:eastAsia="仿宋_GB2312"/>
          <w:snapToGrid w:val="0"/>
          <w:sz w:val="32"/>
          <w:lang w:val="en-US" w:eastAsia="zh-CN"/>
        </w:rPr>
        <w:t>个：情报指挥中心、督察审计支队、政治安全保卫支队（港澳台事务办公室）、经济犯罪侦查支队、治安管理支队、刑事侦查支队、反恐怖支队、食品药品犯罪侦查支队（知识产权犯罪侦查支队）、网络安全保卫与技术侦察支队、监所管理支队、交通管理支队（交通管理局）、巡特警支队、法制支队（直属公安局）、出入境管理支队（国际合作局）、禁毒支队、科技信息化支队、</w:t>
      </w:r>
      <w:r>
        <w:rPr>
          <w:rFonts w:hint="eastAsia" w:eastAsia="仿宋_GB2312"/>
          <w:snapToGrid w:val="0"/>
          <w:sz w:val="32"/>
          <w:lang w:val="en-US" w:eastAsia="zh-CN"/>
        </w:rPr>
        <w:t>维护社会稳定工作支队、大数据实战中心</w:t>
      </w:r>
      <w:r>
        <w:rPr>
          <w:rFonts w:hint="default" w:eastAsia="仿宋_GB2312"/>
          <w:snapToGrid w:val="0"/>
          <w:sz w:val="32"/>
          <w:lang w:val="en-US" w:eastAsia="zh-CN"/>
        </w:rPr>
        <w:t>、警卫</w:t>
      </w:r>
      <w:r>
        <w:rPr>
          <w:rFonts w:hint="eastAsia" w:eastAsia="仿宋_GB2312"/>
          <w:snapToGrid w:val="0"/>
          <w:sz w:val="32"/>
          <w:lang w:val="en-US" w:eastAsia="zh-CN"/>
        </w:rPr>
        <w:t>保卫</w:t>
      </w:r>
      <w:r>
        <w:rPr>
          <w:rFonts w:hint="default" w:eastAsia="仿宋_GB2312"/>
          <w:snapToGrid w:val="0"/>
          <w:sz w:val="32"/>
          <w:lang w:val="en-US" w:eastAsia="zh-CN"/>
        </w:rPr>
        <w:t>支队。</w:t>
      </w:r>
      <w:r>
        <w:rPr>
          <w:rFonts w:hint="eastAsia" w:eastAsia="仿宋_GB2312"/>
          <w:snapToGrid w:val="0"/>
          <w:sz w:val="32"/>
          <w:lang w:val="en-US" w:eastAsia="zh-CN"/>
        </w:rPr>
        <w:t>另外，</w:t>
      </w:r>
      <w:r>
        <w:rPr>
          <w:rFonts w:hint="default" w:eastAsia="仿宋_GB2312"/>
          <w:snapToGrid w:val="0"/>
          <w:sz w:val="32"/>
          <w:lang w:val="en-US" w:eastAsia="zh-CN"/>
        </w:rPr>
        <w:t>按照有关规定，设置机关党委、离退休人员管理服务</w:t>
      </w:r>
      <w:r>
        <w:rPr>
          <w:rFonts w:hint="eastAsia" w:eastAsia="仿宋_GB2312"/>
          <w:snapToGrid w:val="0"/>
          <w:sz w:val="32"/>
          <w:lang w:val="en-US" w:eastAsia="zh-CN"/>
        </w:rPr>
        <w:t>科</w:t>
      </w:r>
      <w:r>
        <w:rPr>
          <w:rFonts w:hint="default" w:eastAsia="仿宋_GB2312"/>
          <w:snapToGrid w:val="0"/>
          <w:sz w:val="32"/>
          <w:lang w:val="en-US" w:eastAsia="zh-CN"/>
        </w:rPr>
        <w:t>，不计入内设机构限额。市公安局设置</w:t>
      </w:r>
      <w:r>
        <w:rPr>
          <w:rFonts w:hint="eastAsia" w:eastAsia="仿宋_GB2312"/>
          <w:snapToGrid w:val="0"/>
          <w:sz w:val="32"/>
          <w:lang w:val="en-US" w:eastAsia="zh-CN"/>
        </w:rPr>
        <w:t>9</w:t>
      </w:r>
      <w:r>
        <w:rPr>
          <w:rFonts w:hint="default" w:eastAsia="仿宋_GB2312"/>
          <w:snapToGrid w:val="0"/>
          <w:sz w:val="32"/>
          <w:lang w:val="en-US" w:eastAsia="zh-CN"/>
        </w:rPr>
        <w:t>个</w:t>
      </w:r>
      <w:r>
        <w:rPr>
          <w:rFonts w:hint="eastAsia" w:eastAsia="仿宋_GB2312"/>
          <w:snapToGrid w:val="0"/>
          <w:sz w:val="32"/>
          <w:lang w:val="en-US" w:eastAsia="zh-CN"/>
        </w:rPr>
        <w:t>直属</w:t>
      </w:r>
      <w:r>
        <w:rPr>
          <w:rFonts w:hint="default" w:eastAsia="仿宋_GB2312"/>
          <w:snapToGrid w:val="0"/>
          <w:sz w:val="32"/>
          <w:lang w:val="en-US" w:eastAsia="zh-CN"/>
        </w:rPr>
        <w:t>机构</w:t>
      </w:r>
      <w:r>
        <w:rPr>
          <w:rFonts w:hint="eastAsia" w:eastAsia="仿宋_GB2312"/>
          <w:snapToGrid w:val="0"/>
          <w:sz w:val="32"/>
          <w:lang w:val="en-US" w:eastAsia="zh-CN"/>
        </w:rPr>
        <w:t>：</w:t>
      </w:r>
      <w:r>
        <w:rPr>
          <w:rFonts w:hint="default" w:eastAsia="仿宋_GB2312"/>
          <w:snapToGrid w:val="0"/>
          <w:sz w:val="32"/>
          <w:lang w:val="en-US" w:eastAsia="zh-CN"/>
        </w:rPr>
        <w:t>市森林公安局（环境资源犯罪侦查局）、</w:t>
      </w:r>
      <w:r>
        <w:rPr>
          <w:rFonts w:hint="eastAsia" w:eastAsia="仿宋_GB2312"/>
          <w:snapToGrid w:val="0"/>
          <w:sz w:val="32"/>
          <w:lang w:val="en-US" w:eastAsia="zh-CN"/>
        </w:rPr>
        <w:t>市水上公安局</w:t>
      </w:r>
      <w:r>
        <w:rPr>
          <w:rFonts w:hint="default" w:eastAsia="仿宋_GB2312"/>
          <w:snapToGrid w:val="0"/>
          <w:sz w:val="32"/>
          <w:lang w:val="en-US" w:eastAsia="zh-CN"/>
        </w:rPr>
        <w:t>、</w:t>
      </w:r>
      <w:r>
        <w:rPr>
          <w:rFonts w:hint="eastAsia" w:eastAsia="仿宋_GB2312"/>
          <w:snapToGrid w:val="0"/>
          <w:sz w:val="32"/>
          <w:lang w:val="en-US" w:eastAsia="zh-CN"/>
        </w:rPr>
        <w:t>市</w:t>
      </w:r>
      <w:r>
        <w:rPr>
          <w:rFonts w:hint="default" w:eastAsia="仿宋_GB2312"/>
          <w:snapToGrid w:val="0"/>
          <w:sz w:val="32"/>
          <w:lang w:val="en-US" w:eastAsia="zh-CN"/>
        </w:rPr>
        <w:t>三荷机场公安局</w:t>
      </w:r>
      <w:r>
        <w:rPr>
          <w:rFonts w:hint="eastAsia" w:eastAsia="仿宋_GB2312"/>
          <w:snapToGrid w:val="0"/>
          <w:sz w:val="32"/>
          <w:lang w:val="en-US" w:eastAsia="zh-CN"/>
        </w:rPr>
        <w:t>、</w:t>
      </w:r>
      <w:r>
        <w:rPr>
          <w:rFonts w:hint="default" w:eastAsia="仿宋_GB2312"/>
          <w:snapToGrid w:val="0"/>
          <w:sz w:val="32"/>
          <w:lang w:val="en-US" w:eastAsia="zh-CN"/>
        </w:rPr>
        <w:t>市看守所、市女子看守所、市拘留所（市特殊</w:t>
      </w:r>
      <w:r>
        <w:rPr>
          <w:rFonts w:hint="eastAsia" w:eastAsia="仿宋_GB2312"/>
          <w:snapToGrid w:val="0"/>
          <w:sz w:val="32"/>
          <w:lang w:val="en-US" w:eastAsia="zh-CN"/>
        </w:rPr>
        <w:t>人员收治</w:t>
      </w:r>
      <w:r>
        <w:rPr>
          <w:rFonts w:hint="default" w:eastAsia="仿宋_GB2312"/>
          <w:snapToGrid w:val="0"/>
          <w:sz w:val="32"/>
          <w:lang w:val="en-US" w:eastAsia="zh-CN"/>
        </w:rPr>
        <w:t>所）、市公安科学技术研究所、市车辆管理所、</w:t>
      </w:r>
      <w:r>
        <w:rPr>
          <w:rFonts w:hint="eastAsia" w:eastAsia="仿宋_GB2312"/>
          <w:snapToGrid w:val="0"/>
          <w:sz w:val="32"/>
          <w:lang w:val="en-US" w:eastAsia="zh-CN"/>
        </w:rPr>
        <w:t>市</w:t>
      </w:r>
      <w:r>
        <w:rPr>
          <w:rFonts w:hint="default" w:eastAsia="仿宋_GB2312"/>
          <w:snapToGrid w:val="0"/>
          <w:sz w:val="32"/>
          <w:lang w:val="en-US" w:eastAsia="zh-CN"/>
        </w:rPr>
        <w:t>留置看护中心。市公安局设置</w:t>
      </w:r>
      <w:r>
        <w:rPr>
          <w:rFonts w:hint="eastAsia" w:eastAsia="仿宋_GB2312"/>
          <w:snapToGrid w:val="0"/>
          <w:sz w:val="32"/>
          <w:lang w:val="en-US" w:eastAsia="zh-CN"/>
        </w:rPr>
        <w:t>1</w:t>
      </w:r>
      <w:r>
        <w:rPr>
          <w:rFonts w:hint="default" w:eastAsia="仿宋_GB2312"/>
          <w:snapToGrid w:val="0"/>
          <w:sz w:val="32"/>
          <w:lang w:val="en-US" w:eastAsia="zh-CN"/>
        </w:rPr>
        <w:t>个</w:t>
      </w:r>
      <w:r>
        <w:rPr>
          <w:rFonts w:hint="eastAsia" w:eastAsia="仿宋_GB2312"/>
          <w:snapToGrid w:val="0"/>
          <w:sz w:val="32"/>
          <w:lang w:val="en-US" w:eastAsia="zh-CN"/>
        </w:rPr>
        <w:t>事业单位：警官培训中心。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（二）决算单位构成。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岳阳市公安局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2025年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部门决算汇总公开单位构成包括：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/>
        </w:rPr>
        <w:t>岳阳市公安局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</w:rPr>
        <w:t>本级以及岳阳楼公安分局、云溪公安分局、君山公安分局、三荷机场公安局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highlight w:val="none"/>
        </w:rPr>
        <w:t>、</w:t>
      </w:r>
      <w:r>
        <w:rPr>
          <w:rFonts w:hint="default" w:eastAsia="仿宋_GB2312"/>
          <w:snapToGrid w:val="0"/>
          <w:sz w:val="32"/>
          <w:lang w:val="en-US" w:eastAsia="zh-CN"/>
        </w:rPr>
        <w:t>交通管理支队（交通管理局）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val="en-US" w:eastAsia="zh-CN"/>
        </w:rPr>
        <w:t>监所管理支队</w:t>
      </w:r>
      <w:r>
        <w:rPr>
          <w:rFonts w:hint="eastAsia" w:ascii="Times New Roman" w:hAnsi="Times New Roman" w:eastAsia="仿宋_GB2312" w:cs="仿宋_GB2312"/>
          <w:bCs/>
          <w:color w:val="auto"/>
          <w:kern w:val="0"/>
          <w:sz w:val="32"/>
          <w:szCs w:val="32"/>
          <w:lang w:eastAsia="zh-CN"/>
        </w:rPr>
        <w:t>。</w:t>
      </w:r>
    </w:p>
    <w:p>
      <w:pPr>
        <w:pStyle w:val="3"/>
      </w:pPr>
    </w:p>
    <w:p>
      <w:r>
        <w:br w:type="page"/>
      </w: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第二部分</w:t>
      </w: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部门决算表</w:t>
      </w:r>
    </w:p>
    <w:p>
      <w:pPr>
        <w:pStyle w:val="13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  <w:t>（见附件）</w:t>
      </w:r>
    </w:p>
    <w:p>
      <w:pPr>
        <w:pStyle w:val="13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3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3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3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3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3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3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3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第三部分</w:t>
      </w: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70"/>
          <w:szCs w:val="70"/>
        </w:rPr>
        <w:t>度部门决算情况说明</w:t>
      </w: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一、收入支出决算总体情况说明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度收、支总计103503.9万元。与上年相比，减少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1853.49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1.76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2025年财政拨款支出减少了</w:t>
      </w:r>
      <w:r>
        <w:rPr>
          <w:rFonts w:hint="default" w:eastAsia="仿宋_GB2312"/>
          <w:snapToGrid w:val="0"/>
          <w:sz w:val="32"/>
          <w:lang w:val="en-US" w:eastAsia="zh-CN"/>
        </w:rPr>
        <w:t>交通管理支队（交通管理局）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部分项目资金。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二、收入决算情况说明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度收入合计101402.29万元，其中：财政拨款收入94144.87万元，占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92.84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%；上级补助收入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%；事业收入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%；附属单位上缴收入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%；其他收入7257.42万元，占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7.16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三、支出决算情况说明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度支出合计101771.81万元，其中：基本支出58853.05万元，占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57.83</w:t>
      </w:r>
      <w:r>
        <w:rPr>
          <w:rFonts w:hint="eastAsia" w:ascii="仿宋_GB2312" w:hAnsi="仿宋_GB2312" w:eastAsia="仿宋_GB2312" w:cs="仿宋_GB2312"/>
          <w:sz w:val="32"/>
          <w:szCs w:val="32"/>
        </w:rPr>
        <w:t>%；项目支出42918.76万元，占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42.17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%；上缴上级支出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%；对附属单位补助支出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财政拨款收入支出决算总体情况说明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度财政拨款收、支总计94436.47万元，与上年相比，减少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244.32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0.26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2025年财政拨款支出减少了</w:t>
      </w:r>
      <w:r>
        <w:rPr>
          <w:rFonts w:hint="default" w:eastAsia="仿宋_GB2312"/>
          <w:snapToGrid w:val="0"/>
          <w:sz w:val="32"/>
          <w:lang w:val="en-US" w:eastAsia="zh-CN"/>
        </w:rPr>
        <w:t>交通管理支队（交通管理局）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部分项目资金。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五、一般公共预算财政拨款支出决算情况说明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（一）一般公共预算财政拨款支出决算总体情况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度财政拨款支出94120.74万元，占本年支出合计的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92.48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%，与上年相比，财政拨款支出减少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268.45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0.28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减少了智能交通项目建设资金。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（二）一般公共预算财政拨款支出决算结构情况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度财政拨款支出94120.74万元，主要用于以下方面：一般公共服务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支出1920.06万元，占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2.04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%；公共安全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支出82771.84万元，占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87.94</w:t>
      </w:r>
      <w:r>
        <w:rPr>
          <w:rFonts w:hint="eastAsia" w:ascii="仿宋_GB2312" w:hAnsi="仿宋_GB2312" w:eastAsia="仿宋_GB2312" w:cs="仿宋_GB2312"/>
          <w:sz w:val="32"/>
          <w:szCs w:val="32"/>
        </w:rPr>
        <w:t>%;文化旅游体育与传媒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2万元，占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比0.01%；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社会保障和就业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支出4915.62万元，占比5.22%；卫生健康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支出1918.86万元，占比2.04%；城乡社区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支出105.71万元，占比0.11%；住房保障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支出2486.66万元，占比2.64%。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（三）一般公共预算财政拨款支出决算具体情况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度财政拨款支出年初预算数为63902.46万元，支出决算数为94120.74万元，完成年初预算的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147.29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1、一般公共服务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（类）政府办公厅（室）及相关机构事务（款）行政运行（项）。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万元，支出决算为1549.17万元，决算数大于年初预算数的主要原因是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年中追加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人员绩效经费。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2、一般公共服务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（类）政府办公厅（室）及相关机构事务（款）其他政府办公厅（室）及相关机构事务（项）。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万元，支出决算为370.89万元，决算数大于年初预算数的主要原因是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年中追加信息化建设经费。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（类）公安（款）行政运行（项）。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36907.2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万元，支出决算为37089.58万元，完成年初预算的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100.49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%，决算数大于年初预算数的主要原因是：部分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结余结转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（类）公安（款）一般行政管理事务（项）。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10881.73万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元，支出决算为10744.16万元，完成年初预算的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98.74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从严管控经费支出，节约运行成本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（类）公安（款）执法办案（项）。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6416.8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万元，支出决算为4577.71万元，完成年初预算的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71.34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</w:t>
      </w:r>
      <w:r>
        <w:rPr>
          <w:rFonts w:hint="default" w:eastAsia="仿宋_GB2312"/>
          <w:snapToGrid w:val="0"/>
          <w:sz w:val="32"/>
          <w:lang w:val="en-US" w:eastAsia="zh-CN"/>
        </w:rPr>
        <w:t>交通管理支队（交通管理局）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年初预算部分未下达。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（类）公安（款）事业运行（项）。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万元，支出决算为376.89万元，决算数大于年初预算数的主要原因是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监所管理支队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年中追加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被监管人员专项经费等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（类）公安（款）其他公安支出（项）。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29959.96万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元，决算数大于年初预算数的主要原因是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年中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追加公安工作经费、基建项目经费及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/>
        </w:rPr>
        <w:t>转移支付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/>
          <w:lang w:val="en-US" w:eastAsia="zh-CN"/>
        </w:rPr>
        <w:t>资金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（类）其他公共安全支出（款）其他公安支出（项）。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万元，支出决算为23.54万元，决算数大于年初预算数的主要原因是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年中追加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专项经费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及其他资金，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下达上年单位指标结余结转资金。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</w:t>
      </w:r>
      <w:r>
        <w:rPr>
          <w:rFonts w:hint="eastAsia" w:ascii="仿宋_GB2312" w:hAnsi="仿宋_GB2312" w:eastAsia="仿宋_GB2312" w:cs="仿宋_GB2312"/>
          <w:sz w:val="32"/>
          <w:szCs w:val="32"/>
        </w:rPr>
        <w:t>文化旅游体育与传媒支出（类）新闻出版电影（款）出版发行（项）。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万元，决算数大于年初预算数的主要原因是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下达省级专项经费补助。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10、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社会保障和就业支出（类）行政事业单位养老支出（款）行政单位离退休（项）。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834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万元，支出决算为832.15万元，完成年初预算的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99.78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年中人员减少。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11、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社会保障和就业支出（类）行政事业单位养老支出（款）机关事业单位基本养老保险缴费支出（项）。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3488.8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万元，支出决算为3426万元，完成年初预算的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98.2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%，决算数小于年初预算数的主要原因是：人员数据变动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12、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社会保障和就业支出（类）抚恤（款）其他优抚支出（项）。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万元，支出决算为351.5万元，决算数大于年初预算数的主要原因是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年中追加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抚恤金支出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13、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社会保障和就业支出（类）残疾人事业（款）其他残疾人事业支出（项）。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217.78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万元，支出决算为217.78万元，完成年初预算的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支出按年初预算精准落实。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14、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社会保障和就业支出（类）其他社会保障和就业支出（款）其他社会保障和就业支出（项）。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万元，支出决算为88.19万元，完成年初预算的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1356.77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%，决算数大于年初预算数的主要原因是：人员数据变动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及部分资金结余结转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15、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卫生健康支出（类）行政事业单位医疗（款）行政单位医疗（项）。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1680.82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万元，支出决算为1663.24万元，完成年初预算的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98.95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%，决算数小于年初预算数的主要原因是：人员数据变动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16、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卫生健康支出（类）行政事业单位医疗（款）公务员医疗补助（项）。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912.84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万元，支出决算为255.62万元，完成年初预算的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%，决算数小于年初预算数的主要原因是：人员数据变动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17、</w:t>
      </w:r>
      <w:r>
        <w:rPr>
          <w:rFonts w:hint="eastAsia" w:ascii="仿宋_GB2312" w:hAnsi="仿宋_GB2312" w:eastAsia="仿宋_GB2312" w:cs="仿宋_GB2312"/>
          <w:sz w:val="32"/>
          <w:szCs w:val="32"/>
        </w:rPr>
        <w:t>城乡社区支出（类）城乡社区规划与管理（款）城乡社区规划与管理（项）。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万元，支出决算为105.71万元，决算数大于年初预算数的主要原因是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：部分项目支出结余结转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18、</w:t>
      </w:r>
      <w:r>
        <w:rPr>
          <w:rFonts w:hint="eastAsia" w:ascii="仿宋_GB2312" w:hAnsi="仿宋_GB2312" w:eastAsia="仿宋_GB2312" w:cs="仿宋_GB2312"/>
          <w:sz w:val="32"/>
          <w:szCs w:val="32"/>
        </w:rPr>
        <w:t>住房保障支出（类）住房改革支出（款）住房公积金（项）。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万元，支出决算为2486.66万元，完成年初预算的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97.29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%，决算数小于年初预算数的主要原因是：人员数据变动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六、一般公共预算财政拨款基本支出决算情况说明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55001.33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44771.11万元，占基本支出的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81.4</w:t>
      </w:r>
      <w:r>
        <w:rPr>
          <w:rFonts w:hint="eastAsia" w:ascii="仿宋_GB2312" w:hAnsi="仿宋_GB2312" w:eastAsia="仿宋_GB2312" w:cs="仿宋_GB2312"/>
          <w:sz w:val="32"/>
          <w:szCs w:val="32"/>
        </w:rPr>
        <w:t>%,主要包括基本工资、津贴补贴、奖金、伙食补助费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绩效工资、机关事业单位基本养老保险缴费、职业年金缴费、职工基本医疗保险缴费、其他社会保障缴费、住房公积金、医疗费、其他工资福利支出、离休费、退休费、抚恤金、生活补助、救济费、医疗费补助、其他对个人和家庭的补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/>
          <w:color w:val="FF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公用经费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10230.22万元，占基本支出的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18.6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%，主要包括办公费、印刷费、手续费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、水费、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费、邮电费、物业管理费、差旅费、维修（护）费、租赁费、会议费、培训费、公务接待费、专用材料费、被装购置费、劳务费、委托业务费、工会经费、福利费、公务用车运行维护费、其他交通费用、其他商品和服务支出、办公设备购置、专用设备购置、公务用车购置、无形资产购置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政府性基金预算收入支出决算情况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度政府性基金预算财政拨款收入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万元；年初结转和结余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万元；年末结转和结余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  <w:t>八、国有资本经营预算财政拨款支出决算情况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2025年度国有资本经营预算财政拨款收入0万元；年初结转和结余0万元；支出0万元，</w:t>
      </w:r>
      <w:r>
        <w:rPr>
          <w:rFonts w:hint="eastAsia" w:ascii="仿宋_GB2312" w:hAnsi="仿宋_GB2312" w:eastAsia="仿宋_GB2312" w:cs="仿宋_GB2312"/>
          <w:i w:val="0"/>
          <w:iCs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其中：基本支出0万元，项目支出0万元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；年末结转和结余0万元。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hAnsi="黑体" w:cs="黑体"/>
          <w:b w:val="0"/>
          <w:bCs/>
          <w:sz w:val="32"/>
          <w:szCs w:val="32"/>
          <w:lang w:eastAsia="zh-CN"/>
        </w:rPr>
        <w:t>九、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财政拨款三公经费支出决算情况说明</w:t>
      </w:r>
    </w:p>
    <w:p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经费财政拨款支出决算总体情况说明</w:t>
      </w:r>
    </w:p>
    <w:p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1307.4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1135.35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86.84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15.08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1.31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决算数小于预算数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厉行节约，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。决算数小于上年数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按有关政策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厉行节约，严控“三公经费”支出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（</w:t>
      </w:r>
      <w:r>
        <w:rPr>
          <w:rFonts w:ascii="Times New Roman" w:hAnsi="Times New Roman" w:eastAsia="楷体_GB2312" w:cs="Times New Roman"/>
          <w:b/>
          <w:sz w:val="32"/>
          <w:szCs w:val="32"/>
        </w:rPr>
        <w:t>二）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经费财政拨款支出决算具体情况说明</w:t>
      </w:r>
    </w:p>
    <w:p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1.因公出国（境）费支出预算为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决算数等于预算数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与上年一致，无增减变动，主要原因是未安排因公出国（境）活动。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度安排因公出国（境）团组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个，累计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人次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93.56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1124.72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86.95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24.72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2.15</w:t>
      </w:r>
      <w:r>
        <w:rPr>
          <w:rFonts w:ascii="Times New Roman" w:hAnsi="Times New Roman" w:eastAsia="仿宋_GB2312" w:cs="Times New Roman"/>
          <w:sz w:val="32"/>
          <w:szCs w:val="32"/>
        </w:rPr>
        <w:t>%。其中：</w:t>
      </w:r>
    </w:p>
    <w:p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公务用车购置费支出预算为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.31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96.28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67.66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92.44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48.98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小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于预算数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，决算数小于上年数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主要原因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按有关政策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厉行节约，严控“三公经费”支出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公安局本级</w:t>
      </w:r>
      <w:r>
        <w:rPr>
          <w:rFonts w:ascii="Times New Roman" w:hAnsi="Times New Roman" w:eastAsia="仿宋_GB2312" w:cs="Times New Roman"/>
          <w:sz w:val="32"/>
          <w:szCs w:val="32"/>
        </w:rPr>
        <w:t>更新公务用车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，岳阳楼分局</w:t>
      </w:r>
      <w:r>
        <w:rPr>
          <w:rFonts w:ascii="Times New Roman" w:hAnsi="Times New Roman" w:eastAsia="仿宋_GB2312" w:cs="Times New Roman"/>
          <w:sz w:val="32"/>
          <w:szCs w:val="32"/>
        </w:rPr>
        <w:t>更新公务用车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辆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bCs/>
          <w:i/>
          <w:color w:val="FF000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51.25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1028.43</w:t>
      </w:r>
      <w:r>
        <w:rPr>
          <w:rFonts w:ascii="Times New Roman" w:hAnsi="Times New Roman" w:eastAsia="仿宋_GB2312" w:cs="Times New Roman"/>
          <w:sz w:val="32"/>
          <w:szCs w:val="32"/>
        </w:rPr>
        <w:t>万元，主要是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公车油料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支出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、车辆维修保养、车辆过路过桥费和车辆保险费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ascii="Times New Roman" w:hAnsi="Times New Roman" w:eastAsia="仿宋_GB2312" w:cs="Times New Roman"/>
          <w:sz w:val="32"/>
          <w:szCs w:val="32"/>
        </w:rPr>
        <w:t>支出，完成预算的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89.33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67.71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7.05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决算数小于预算数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决算数大于上年数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新购置车辆以及老旧车辆运行维护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351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.84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10.63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76.81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9.64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973.74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决算数小于预算数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决算数大于上年数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的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主要原因是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开展政治业务双督察，上级部门督导检查、专项调研、案件督办、现场考核频次增多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度共接待来访团组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66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234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人次，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主要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是开展警务协作、检查指导工作等</w:t>
      </w:r>
      <w:r>
        <w:rPr>
          <w:rFonts w:ascii="Times New Roman" w:hAnsi="Times New Roman" w:eastAsia="仿宋_GB2312" w:cs="Times New Roman"/>
          <w:sz w:val="32"/>
          <w:szCs w:val="32"/>
        </w:rPr>
        <w:t>发生的接待支出。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/>
          <w:b/>
          <w:color w:val="auto"/>
          <w:sz w:val="32"/>
          <w:szCs w:val="32"/>
        </w:rPr>
        <w:t>、关于机关运行经费支出说明</w:t>
      </w:r>
    </w:p>
    <w:p>
      <w:pPr>
        <w:pStyle w:val="13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度机关运行经费支出10230.22万元，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比上年决算数减少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2449.33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万元，降低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19.32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%。主要原因是：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各单位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按有关政策厉行节约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严控机关运行经费。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、一般性支出情况说明</w:t>
      </w:r>
    </w:p>
    <w:p>
      <w:pPr>
        <w:pStyle w:val="13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度，会议费年初预算1万元，支出决算为2.24万元，完成年初预算的224%。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用于召开政治业务“双督察”推进会、专项工作会议等，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人，内容为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公安业务部署推进等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培训费年初预算25.33万元，支出决算为32.93万元，完成年初预算的130%。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用于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  <w:t>开展各类公安专项业务培训，人数2539人，内容为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新警培训、民警大练兵考核、公安各类专项警务技能培训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楷体" w:hAnsi="楷体" w:eastAsia="楷体" w:cs="楷体"/>
          <w:b/>
          <w:bCs/>
          <w:i w:val="0"/>
          <w:iCs w:val="0"/>
          <w:color w:val="auto"/>
          <w:kern w:val="0"/>
          <w:sz w:val="40"/>
          <w:szCs w:val="4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本单位无举办节庆、晚会、论坛、赛事等活动的预算和支出决算数。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、关于政府采购支出说明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度政府采购支出总额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12135.24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万元，其中：政府采购货物支出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1494.67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万元、政府采购工程支出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6049.67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万元、政府采购服务支出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4590.89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万元。授予中小企业合同金额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11044.8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91.01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%，其中：授予小微企业合同金额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10345.8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授予中小企业合同金额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93.67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货物采购授予中小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企业合同金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额占货物支出金额的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%，工程采购授予中小企业合同金额占工程支出金额的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%，服务采购授予中小企业合同金额占服务支出金额的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、关于国有资产占用情况说明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12月31日，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共有车辆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351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，副部（省）级及以上领导用车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机要通信用车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辆、应急保障用车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辆、执法执勤用车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辆、特种专业技术用车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离退休干部服务用车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辆、其他用车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辆，其他用车主要是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业务用车、一般公务用车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；单位价值100万元以上设备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（不含车辆）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台（套）。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、关于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度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预算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绩效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管理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情况的说明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绩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度本单位整体支出开展绩效自评，涉及项目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20423.3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20423.3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36.44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%；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万元，占政府性基金预算支出总额的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%。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  <w:t>绩效目标完成情况：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2025年，我单位紧扣维护国家安全、社会治安稳定等法定职责，以预算资金管理为主线，统筹抓好业务开展与资产管理，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实现了高质量的公共服务产出与显著的综合效益。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在运行成本与管理效率方面，通过优化预算执行和资产配置，有效控制了行政运行成本，提升了资源使用效益和管理精细化水平。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二是在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履职效能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社会效应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方面，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有序完成案件侦办、治安巡防、交通管理、隐患排查、安保维稳、政务服务办理等核心业务，落实警用装备采购运维、信息化建设、民警业务培训等工作，执法办案、装备运维、项目实施质量符合工作标准，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有力维护了社会大局稳定和公共安全秩序，增强了人民群众的安全感与获得感。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通过深化政治建警、落实暖警惠警政策、完善教育培训机制，队伍专业素养和履职能力得到提升，为公安工作长远发展奠定了坚实基础。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四是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落实公安“放管服”便民举措，有效维护群众生命财产安全，服务地方经济社会发展。持续推进智慧警务建设，加强队伍实战练兵，健全预算绩效闭环管理，夯实公安工作可持续发展基础。通过优化窗口服务、畅通诉求渠道，群众对公安工作满意度保持较好水平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组织对所属单位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日常工作经费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”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2025年办案费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个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项目开展了部门评价，涉及一般公共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预算支出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20423.3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万元，政府性基金预算支出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万元，国有资本经营预算支出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万元，社会保险基金预算支出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事前绩效评估</w:t>
      </w:r>
      <w:r>
        <w:rPr>
          <w:rFonts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开展情况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本单位及所属单位本年度未新增重大政策和重大项目，所以无事前绩效评估开展情况。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绩效自评结果。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度本单位整体支出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46530.96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39811.18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85.56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98.56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优秀</w:t>
      </w:r>
      <w:r>
        <w:rPr>
          <w:rFonts w:ascii="Times New Roman" w:hAnsi="Times New Roman" w:eastAsia="仿宋_GB2312" w:cs="Times New Roman"/>
          <w:sz w:val="32"/>
          <w:szCs w:val="32"/>
        </w:rPr>
        <w:t>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绩效目标完成情况：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单位在2025年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整体支出绩效目标总体完成，各项公安业务有序推进，履职效能基本达到预期。全面实现了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年度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整体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绩效目标，实现了良好的社会效应和可持续的发展态势。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在维护政治安全与社会稳定、打击违法犯罪、保障监所安全“零事故”、整治交通秩序、提升应急处突能力等方面取得了预期成效。同时，警用装备得到更新升级，队伍履职能力和社会满意度保持稳定，为全市高质量发展提供了有力的公安保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发现的主要问题及原因：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一是预算编制精细化不足，部分项目预算与实际业务需求匹配度不高，个别项目支出进度滞后，存在执行偏离绩效目标现象；二是预算绩效过程监控不够深入，绩效指标动态跟踪偏弱；三是资产日常管理不够细化，资产台账更新不及时；四是部分政府采购项目前期准备周期较长，一定程度影响资金拨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下一步改进措施：一是强化预算事前评审，做实全过程绩效监控，加强培训与制度宣传，将绩效管理深度嵌入业务环节，强化绩效结果应用。二是科学编制预算，合理设置绩效指标，加强专业人才引进与培养，提升队伍专业化水平。三是规范资金拨付、资产台账管理与政府采购流程，严格落实过“紧日子”要求，优化支出结构，保障重点领域投入。细化预算编制，强化预算约束。提升资产配置计划与管理的科学化、精细化水平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/>
          <w:color w:val="auto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部门评价结果。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本单位及所属单位本年度未开展部门评价，所以无部门评价结果。</w:t>
      </w:r>
    </w:p>
    <w:p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事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前绩效评估结果。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本单位及所属单位本年度未开展事前绩效评估，所以无事前绩效评估结果。</w:t>
      </w:r>
    </w:p>
    <w:p>
      <w:pPr>
        <w:numPr>
          <w:ilvl w:val="0"/>
          <w:numId w:val="3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  <w:t>评价结果应用情况</w:t>
      </w:r>
    </w:p>
    <w:p>
      <w:pPr>
        <w:numPr>
          <w:ilvl w:val="0"/>
          <w:numId w:val="0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根据202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年度各项绩效评价结果，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我单位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将对202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年度预算与管理进行如下优化与调整，强化结果运用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切实将绩效评价结果转化为预算安排、支出优化和管理提升的具体行动，推动绩效管理水平再上新台阶。</w:t>
      </w:r>
    </w:p>
    <w:p>
      <w:pPr>
        <w:numPr>
          <w:ilvl w:val="0"/>
          <w:numId w:val="0"/>
        </w:numPr>
        <w:autoSpaceDE w:val="0"/>
        <w:autoSpaceDN w:val="0"/>
        <w:adjustRightInd w:val="0"/>
        <w:ind w:firstLine="640" w:firstLineChars="200"/>
        <w:jc w:val="left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与财政预算管理挂钩。评价结果用于完善制度、优化支出结构，落实“无预算不支出”原则，提升资金使用效益。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坚决落实过“紧日子”要求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持续压缩一般性、非急需非刚性支出，将节省的资金重点用于保障一线实战、信息化建设、人才培养等关键环节。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强化全过程绩效监控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加强事中绩效监控与预警，对执行进度缓慢或偏离绩效目标的项目及时纠偏，确保资金支出与预期效益相匹配。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四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用于队伍管理与决策改进。通过评价精准定位短板，动态调整管理策略，激励民警担当作为。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预算绩效管理开展情况、绩效目标和绩效评价报告等，已在市政府部门财政预决算公开平台上向社会公开，详见附件。</w:t>
      </w:r>
    </w:p>
    <w:p>
      <w:pPr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br w:type="page"/>
      </w: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第四部分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  <w:t>名词解释</w:t>
      </w:r>
    </w:p>
    <w:p>
      <w:pPr>
        <w:pStyle w:val="2"/>
      </w:pPr>
    </w:p>
    <w:p>
      <w:pPr>
        <w:pStyle w:val="3"/>
      </w:pPr>
    </w:p>
    <w:p/>
    <w:p>
      <w:pPr>
        <w:pStyle w:val="2"/>
      </w:pPr>
    </w:p>
    <w:p>
      <w:pPr>
        <w:pStyle w:val="3"/>
      </w:pPr>
    </w:p>
    <w:p/>
    <w:p>
      <w:pPr>
        <w:pStyle w:val="2"/>
      </w:pPr>
    </w:p>
    <w:p>
      <w:pPr>
        <w:pStyle w:val="3"/>
      </w:pPr>
    </w:p>
    <w:p/>
    <w:p>
      <w:pPr>
        <w:pStyle w:val="2"/>
      </w:pPr>
    </w:p>
    <w:p>
      <w:pPr>
        <w:pStyle w:val="3"/>
      </w:pPr>
    </w:p>
    <w:p/>
    <w:p>
      <w:pPr>
        <w:pStyle w:val="2"/>
      </w:pPr>
    </w:p>
    <w:p>
      <w:pPr>
        <w:pStyle w:val="3"/>
      </w:pPr>
    </w:p>
    <w:p/>
    <w:p>
      <w:pPr>
        <w:pStyle w:val="2"/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br w:type="page"/>
      </w:r>
    </w:p>
    <w:p>
      <w:pPr>
        <w:pStyle w:val="2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二、机关运行经费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，指为保障行政单位（包括参照公务员法管理的事业单位）运行用于购买货物和服务的各项资金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，包括办公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费、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印刷费、邮电费、差旅费、会议费、日常维修费、专用材料及一般设备购置费、办公用房水电费、办公用房取暖费、办公用房物业管理费、公务用车运行维护费以及其他费用。</w:t>
      </w:r>
    </w:p>
    <w:p>
      <w:pPr>
        <w:pStyle w:val="2"/>
      </w:pPr>
    </w:p>
    <w:p>
      <w:pPr>
        <w:pStyle w:val="3"/>
      </w:pPr>
    </w:p>
    <w:p/>
    <w:p>
      <w:pPr>
        <w:pStyle w:val="2"/>
      </w:pPr>
    </w:p>
    <w:p>
      <w:pPr>
        <w:pStyle w:val="3"/>
      </w:pPr>
    </w:p>
    <w:p/>
    <w:p>
      <w:pPr>
        <w:pStyle w:val="2"/>
      </w:pPr>
    </w:p>
    <w:p>
      <w:pPr>
        <w:pStyle w:val="3"/>
      </w:pPr>
    </w:p>
    <w:p/>
    <w:p/>
    <w:p>
      <w:pPr>
        <w:pStyle w:val="2"/>
      </w:pPr>
    </w:p>
    <w:p>
      <w:pPr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br w:type="page"/>
      </w:r>
    </w:p>
    <w:p>
      <w:pPr>
        <w:pStyle w:val="13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eastAsia="zh-CN"/>
        </w:rPr>
        <w:t>五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部分</w:t>
      </w:r>
    </w:p>
    <w:p>
      <w:pPr>
        <w:pStyle w:val="13"/>
        <w:jc w:val="both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</w:p>
    <w:p>
      <w:pPr>
        <w:pStyle w:val="13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附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件</w:t>
      </w:r>
    </w:p>
    <w:p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部门决算公开表格</w:t>
      </w:r>
    </w:p>
    <w:p>
      <w:pPr>
        <w:ind w:firstLine="640" w:firstLineChars="200"/>
        <w:jc w:val="left"/>
        <w:rPr>
          <w:rFonts w:ascii="宋体" w:hAnsi="宋体" w:eastAsia="宋体" w:cs="黑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</w:rPr>
        <w:t>度部门整体支出绩效评价报告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ECFD4"/>
    <w:multiLevelType w:val="singleLevel"/>
    <w:tmpl w:val="8EDECFD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73518C1"/>
    <w:multiLevelType w:val="multilevel"/>
    <w:tmpl w:val="373518C1"/>
    <w:lvl w:ilvl="0" w:tentative="0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ED4652A"/>
    <w:multiLevelType w:val="singleLevel"/>
    <w:tmpl w:val="4ED4652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6115E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B7393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B4D8E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17F1026"/>
    <w:rsid w:val="037153FA"/>
    <w:rsid w:val="059958AD"/>
    <w:rsid w:val="05EF0BD9"/>
    <w:rsid w:val="06C857E7"/>
    <w:rsid w:val="074F7D92"/>
    <w:rsid w:val="07E31C39"/>
    <w:rsid w:val="0890500C"/>
    <w:rsid w:val="08C24A73"/>
    <w:rsid w:val="08C94FF8"/>
    <w:rsid w:val="08CB226F"/>
    <w:rsid w:val="08EB0353"/>
    <w:rsid w:val="08EF5238"/>
    <w:rsid w:val="098A5203"/>
    <w:rsid w:val="099C19D5"/>
    <w:rsid w:val="099D6002"/>
    <w:rsid w:val="0B5C2DB3"/>
    <w:rsid w:val="0C6A3212"/>
    <w:rsid w:val="0D0B262B"/>
    <w:rsid w:val="0D6729D0"/>
    <w:rsid w:val="0F435083"/>
    <w:rsid w:val="0F7A1143"/>
    <w:rsid w:val="109D248C"/>
    <w:rsid w:val="110113F5"/>
    <w:rsid w:val="11030745"/>
    <w:rsid w:val="112A6008"/>
    <w:rsid w:val="11944E2C"/>
    <w:rsid w:val="12491BA5"/>
    <w:rsid w:val="12583BA5"/>
    <w:rsid w:val="12647C70"/>
    <w:rsid w:val="128C60EC"/>
    <w:rsid w:val="12FC6AE5"/>
    <w:rsid w:val="13060846"/>
    <w:rsid w:val="13BA5B9C"/>
    <w:rsid w:val="13F43306"/>
    <w:rsid w:val="142762FC"/>
    <w:rsid w:val="1439656D"/>
    <w:rsid w:val="143C391B"/>
    <w:rsid w:val="14A34B90"/>
    <w:rsid w:val="14DD669C"/>
    <w:rsid w:val="15273D43"/>
    <w:rsid w:val="15867060"/>
    <w:rsid w:val="16581F4E"/>
    <w:rsid w:val="168A56C6"/>
    <w:rsid w:val="18B55B25"/>
    <w:rsid w:val="19D133E7"/>
    <w:rsid w:val="19FD2A18"/>
    <w:rsid w:val="1ACB1D98"/>
    <w:rsid w:val="1C0B1F80"/>
    <w:rsid w:val="1C8342E7"/>
    <w:rsid w:val="1CBA69DF"/>
    <w:rsid w:val="1D97DEFF"/>
    <w:rsid w:val="1D9A4E1B"/>
    <w:rsid w:val="1DB9452C"/>
    <w:rsid w:val="1DFF72E5"/>
    <w:rsid w:val="1E3065B9"/>
    <w:rsid w:val="1EFC6F07"/>
    <w:rsid w:val="1F0527A6"/>
    <w:rsid w:val="1FAF670B"/>
    <w:rsid w:val="1FEE0EDA"/>
    <w:rsid w:val="22156B77"/>
    <w:rsid w:val="2217626B"/>
    <w:rsid w:val="22AC03C2"/>
    <w:rsid w:val="2372162E"/>
    <w:rsid w:val="245029EA"/>
    <w:rsid w:val="25101CDA"/>
    <w:rsid w:val="26624741"/>
    <w:rsid w:val="26D10BF7"/>
    <w:rsid w:val="26DA25CB"/>
    <w:rsid w:val="27BD3EC2"/>
    <w:rsid w:val="283B15FE"/>
    <w:rsid w:val="2873485E"/>
    <w:rsid w:val="2A36292B"/>
    <w:rsid w:val="2A583C4F"/>
    <w:rsid w:val="2AE541D6"/>
    <w:rsid w:val="2BFA21C3"/>
    <w:rsid w:val="2E062AA2"/>
    <w:rsid w:val="2E115C56"/>
    <w:rsid w:val="2ED1015D"/>
    <w:rsid w:val="2ED2641C"/>
    <w:rsid w:val="2F05784C"/>
    <w:rsid w:val="2F247619"/>
    <w:rsid w:val="2F3B1D8A"/>
    <w:rsid w:val="2FBC5028"/>
    <w:rsid w:val="2FC978A1"/>
    <w:rsid w:val="2FDF85B8"/>
    <w:rsid w:val="2FE31A87"/>
    <w:rsid w:val="2FFFEE04"/>
    <w:rsid w:val="30A04BF0"/>
    <w:rsid w:val="30E437BE"/>
    <w:rsid w:val="312F0938"/>
    <w:rsid w:val="31C95635"/>
    <w:rsid w:val="32D15AD9"/>
    <w:rsid w:val="332743B4"/>
    <w:rsid w:val="34777CB5"/>
    <w:rsid w:val="34DF85B0"/>
    <w:rsid w:val="353F1A6B"/>
    <w:rsid w:val="368573EB"/>
    <w:rsid w:val="39B32191"/>
    <w:rsid w:val="3A064D1E"/>
    <w:rsid w:val="3AA72B85"/>
    <w:rsid w:val="3AF21133"/>
    <w:rsid w:val="3B8F36BC"/>
    <w:rsid w:val="3C1B7B8B"/>
    <w:rsid w:val="3CE330F2"/>
    <w:rsid w:val="3D650A63"/>
    <w:rsid w:val="3F4D6968"/>
    <w:rsid w:val="3FAF03DE"/>
    <w:rsid w:val="3FB1517E"/>
    <w:rsid w:val="4111563F"/>
    <w:rsid w:val="411F7EE8"/>
    <w:rsid w:val="42BA14FE"/>
    <w:rsid w:val="43BA28D2"/>
    <w:rsid w:val="43EB5BA5"/>
    <w:rsid w:val="445960B0"/>
    <w:rsid w:val="47545C20"/>
    <w:rsid w:val="476F4E98"/>
    <w:rsid w:val="477E1F88"/>
    <w:rsid w:val="48154F28"/>
    <w:rsid w:val="48370A6D"/>
    <w:rsid w:val="48AE39F0"/>
    <w:rsid w:val="491FF225"/>
    <w:rsid w:val="49344A57"/>
    <w:rsid w:val="49F015B2"/>
    <w:rsid w:val="4A8F7ED9"/>
    <w:rsid w:val="4B603035"/>
    <w:rsid w:val="4C0922F5"/>
    <w:rsid w:val="4C131770"/>
    <w:rsid w:val="4D4B18DC"/>
    <w:rsid w:val="4EC310A1"/>
    <w:rsid w:val="4FB2302F"/>
    <w:rsid w:val="4FF95CC2"/>
    <w:rsid w:val="4FFD214C"/>
    <w:rsid w:val="50D6587F"/>
    <w:rsid w:val="50F329C1"/>
    <w:rsid w:val="51784F1A"/>
    <w:rsid w:val="51BD06B4"/>
    <w:rsid w:val="51D93FAB"/>
    <w:rsid w:val="53210083"/>
    <w:rsid w:val="5352765A"/>
    <w:rsid w:val="543316A5"/>
    <w:rsid w:val="547151EC"/>
    <w:rsid w:val="5777D4F5"/>
    <w:rsid w:val="577F70D2"/>
    <w:rsid w:val="57EBA9D6"/>
    <w:rsid w:val="57F22B6F"/>
    <w:rsid w:val="58E36454"/>
    <w:rsid w:val="596411B7"/>
    <w:rsid w:val="59DD8326"/>
    <w:rsid w:val="5A27437C"/>
    <w:rsid w:val="5A7D42E3"/>
    <w:rsid w:val="5B386A15"/>
    <w:rsid w:val="5C105053"/>
    <w:rsid w:val="5CA4246E"/>
    <w:rsid w:val="5CE71320"/>
    <w:rsid w:val="5DA26FAD"/>
    <w:rsid w:val="5DB77E4C"/>
    <w:rsid w:val="5DEF592A"/>
    <w:rsid w:val="5E004703"/>
    <w:rsid w:val="5E72257F"/>
    <w:rsid w:val="5E824E5E"/>
    <w:rsid w:val="5E8A4E67"/>
    <w:rsid w:val="5F160D0F"/>
    <w:rsid w:val="5F991453"/>
    <w:rsid w:val="5FC6BB1E"/>
    <w:rsid w:val="5FF35EBF"/>
    <w:rsid w:val="5FF720F1"/>
    <w:rsid w:val="601C5137"/>
    <w:rsid w:val="61E30355"/>
    <w:rsid w:val="622964C1"/>
    <w:rsid w:val="6268658A"/>
    <w:rsid w:val="62F71C0D"/>
    <w:rsid w:val="6441304C"/>
    <w:rsid w:val="64616B5A"/>
    <w:rsid w:val="650F0B94"/>
    <w:rsid w:val="65D537D6"/>
    <w:rsid w:val="669E696B"/>
    <w:rsid w:val="66D921C0"/>
    <w:rsid w:val="67C41405"/>
    <w:rsid w:val="67D30A5C"/>
    <w:rsid w:val="67FF5C0B"/>
    <w:rsid w:val="682169AB"/>
    <w:rsid w:val="685C2E27"/>
    <w:rsid w:val="689D3EB3"/>
    <w:rsid w:val="68AE74AE"/>
    <w:rsid w:val="6AE13479"/>
    <w:rsid w:val="6BAA4A2F"/>
    <w:rsid w:val="6C6C35D2"/>
    <w:rsid w:val="6D45758A"/>
    <w:rsid w:val="6D6E46A6"/>
    <w:rsid w:val="6D8F0641"/>
    <w:rsid w:val="6DDEC5C0"/>
    <w:rsid w:val="6EFC0924"/>
    <w:rsid w:val="6F0D36FD"/>
    <w:rsid w:val="6F9E1F64"/>
    <w:rsid w:val="6F9E8580"/>
    <w:rsid w:val="6FB74722"/>
    <w:rsid w:val="6FEF8B7E"/>
    <w:rsid w:val="71412DF4"/>
    <w:rsid w:val="717FE77F"/>
    <w:rsid w:val="718633AD"/>
    <w:rsid w:val="71A6591B"/>
    <w:rsid w:val="727047CE"/>
    <w:rsid w:val="72752E54"/>
    <w:rsid w:val="72A14F9D"/>
    <w:rsid w:val="737D59BA"/>
    <w:rsid w:val="737F32B1"/>
    <w:rsid w:val="73BD3FCA"/>
    <w:rsid w:val="7534387C"/>
    <w:rsid w:val="76D66647"/>
    <w:rsid w:val="776BDA01"/>
    <w:rsid w:val="77B613C1"/>
    <w:rsid w:val="77C37683"/>
    <w:rsid w:val="77C70BDB"/>
    <w:rsid w:val="7867674E"/>
    <w:rsid w:val="79312349"/>
    <w:rsid w:val="79695DA5"/>
    <w:rsid w:val="79CA2CA8"/>
    <w:rsid w:val="79FF515B"/>
    <w:rsid w:val="7A78266C"/>
    <w:rsid w:val="7A8C275B"/>
    <w:rsid w:val="7C2535BA"/>
    <w:rsid w:val="7CA15563"/>
    <w:rsid w:val="7D213717"/>
    <w:rsid w:val="7D995048"/>
    <w:rsid w:val="7DB50DA0"/>
    <w:rsid w:val="7DFBFF20"/>
    <w:rsid w:val="7E9E1962"/>
    <w:rsid w:val="7E9F11B4"/>
    <w:rsid w:val="7EA313D0"/>
    <w:rsid w:val="7F2D6DB5"/>
    <w:rsid w:val="7F37EC1E"/>
    <w:rsid w:val="7F511435"/>
    <w:rsid w:val="7F7C0DDA"/>
    <w:rsid w:val="7F7DCD9D"/>
    <w:rsid w:val="7F970A6F"/>
    <w:rsid w:val="7FBD606B"/>
    <w:rsid w:val="7FC1FFF3"/>
    <w:rsid w:val="7FC69637"/>
    <w:rsid w:val="7FDF8620"/>
    <w:rsid w:val="7FFB242F"/>
    <w:rsid w:val="7FFDB408"/>
    <w:rsid w:val="7FFE4EEB"/>
    <w:rsid w:val="95FB2B98"/>
    <w:rsid w:val="9A639BC2"/>
    <w:rsid w:val="9FF7D786"/>
    <w:rsid w:val="ABBFB23D"/>
    <w:rsid w:val="B6BE5A03"/>
    <w:rsid w:val="B8C93228"/>
    <w:rsid w:val="C3B4DA5A"/>
    <w:rsid w:val="C4FF458C"/>
    <w:rsid w:val="C7BBD038"/>
    <w:rsid w:val="CBFF70E0"/>
    <w:rsid w:val="CFF50B82"/>
    <w:rsid w:val="CFFFAD89"/>
    <w:rsid w:val="DFFE359E"/>
    <w:rsid w:val="DFFE4FFD"/>
    <w:rsid w:val="DFFF5403"/>
    <w:rsid w:val="EBC3E00A"/>
    <w:rsid w:val="EDFBE100"/>
    <w:rsid w:val="EEABED75"/>
    <w:rsid w:val="EF7E8003"/>
    <w:rsid w:val="F56FDF51"/>
    <w:rsid w:val="F5F3EE78"/>
    <w:rsid w:val="F6B69F17"/>
    <w:rsid w:val="F6E5BB3A"/>
    <w:rsid w:val="F77F1D61"/>
    <w:rsid w:val="F7C36722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94102"/>
    <w:rsid w:val="FFFF1C8B"/>
    <w:rsid w:val="FF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6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0"/>
    <w:link w:val="6"/>
    <w:semiHidden/>
    <w:qFormat/>
    <w:uiPriority w:val="99"/>
    <w:rPr>
      <w:sz w:val="18"/>
      <w:szCs w:val="18"/>
    </w:rPr>
  </w:style>
  <w:style w:type="character" w:customStyle="1" w:styleId="16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21</Pages>
  <Words>1347</Words>
  <Characters>7679</Characters>
  <Lines>63</Lines>
  <Paragraphs>18</Paragraphs>
  <TotalTime>36</TotalTime>
  <ScaleCrop>false</ScaleCrop>
  <LinksUpToDate>false</LinksUpToDate>
  <CharactersWithSpaces>9008</CharactersWithSpaces>
  <Application>WPS Office_11.8.2.12344_F1E327BC-269C-435d-A152-05C5408002CA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2020-07-11T10:32:00Z</dcterms:created>
  <dc:creator>李航 null</dc:creator>
  <cp:lastModifiedBy>陈洁</cp:lastModifiedBy>
  <cp:lastPrinted>2024-08-11T18:20:00Z</cp:lastPrinted>
  <dcterms:modified xsi:type="dcterms:W3CDTF">2026-09-29T08:51:59Z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2052-11.8.2.12344</vt:lpwstr>
  </property>
  <property fmtid="{D5CDD505-2E9C-101B-9397-08002B2CF9AE}" pid="3" name="ICV">
    <vt:lpwstr>3E8E83E82EDE4908A2613002E7FAA498</vt:lpwstr>
  </property>
</Properties>
</file>