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7DA15">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方正小标宋_GBK" w:cs="Times New Roman"/>
          <w:sz w:val="52"/>
          <w:szCs w:val="52"/>
          <w:highlight w:val="none"/>
        </w:rPr>
      </w:pPr>
    </w:p>
    <w:p w14:paraId="72CEBBFF">
      <w:pPr>
        <w:keepNext w:val="0"/>
        <w:keepLines w:val="0"/>
        <w:pageBreakBefore w:val="0"/>
        <w:widowControl w:val="0"/>
        <w:kinsoku/>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rPr>
        <w:t>岳阳市不动产登记中心</w:t>
      </w:r>
      <w:r>
        <w:rPr>
          <w:rFonts w:hint="eastAsia" w:ascii="方正小标宋简体" w:hAnsi="方正小标宋简体" w:eastAsia="方正小标宋简体" w:cs="方正小标宋简体"/>
          <w:sz w:val="44"/>
          <w:szCs w:val="44"/>
          <w:highlight w:val="none"/>
        </w:rPr>
        <w:t>整体支出</w:t>
      </w:r>
    </w:p>
    <w:p w14:paraId="290284C1">
      <w:pPr>
        <w:keepNext w:val="0"/>
        <w:keepLines w:val="0"/>
        <w:pageBreakBefore w:val="0"/>
        <w:widowControl w:val="0"/>
        <w:kinsoku/>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绩效自评报告</w:t>
      </w:r>
    </w:p>
    <w:p w14:paraId="7CC8B6C7">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方正小标宋_GBK" w:cs="Times New Roman"/>
          <w:b/>
          <w:sz w:val="52"/>
          <w:szCs w:val="52"/>
          <w:highlight w:val="none"/>
        </w:rPr>
      </w:pPr>
    </w:p>
    <w:p w14:paraId="00964595">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bookmarkStart w:id="0" w:name="_GoBack"/>
      <w:bookmarkEnd w:id="0"/>
    </w:p>
    <w:p w14:paraId="1FA78709">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14:paraId="4E7D92BC">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14:paraId="3E802B8F">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14:paraId="27A32792">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14:paraId="54FFB683">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14:paraId="1039D72F">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14:paraId="258C22C5">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14:paraId="1671B178">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14:paraId="3325826B">
      <w:pPr>
        <w:keepNext w:val="0"/>
        <w:keepLines w:val="0"/>
        <w:pageBreakBefore w:val="0"/>
        <w:widowControl w:val="0"/>
        <w:kinsoku/>
        <w:overflowPunct/>
        <w:topLinePunct w:val="0"/>
        <w:autoSpaceDE/>
        <w:autoSpaceDN/>
        <w:bidi w:val="0"/>
        <w:adjustRightInd/>
        <w:snapToGrid/>
        <w:jc w:val="both"/>
        <w:textAlignment w:val="auto"/>
        <w:rPr>
          <w:rFonts w:hint="default" w:ascii="Times New Roman" w:hAnsi="Times New Roman" w:eastAsia="黑体" w:cs="Times New Roman"/>
          <w:sz w:val="32"/>
          <w:szCs w:val="32"/>
          <w:highlight w:val="none"/>
        </w:rPr>
      </w:pPr>
    </w:p>
    <w:p w14:paraId="7364FACF">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14:paraId="10C556C0">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14:paraId="61D7D309">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14:paraId="4A2014C2">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rPr>
        <w:t>部门（单位）名称：</w:t>
      </w:r>
      <w:r>
        <w:rPr>
          <w:rFonts w:hint="default" w:ascii="Times New Roman" w:hAnsi="Times New Roman" w:eastAsia="仿宋_GB2312" w:cs="Times New Roman"/>
          <w:sz w:val="32"/>
          <w:szCs w:val="32"/>
          <w:highlight w:val="none"/>
          <w:u w:val="single"/>
        </w:rPr>
        <w:t>（盖章）</w:t>
      </w:r>
    </w:p>
    <w:p w14:paraId="6B625430">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年  月  日</w:t>
      </w:r>
    </w:p>
    <w:p w14:paraId="2F28AB48">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（此页为封面）</w:t>
      </w:r>
    </w:p>
    <w:p w14:paraId="7D7D277A">
      <w:pPr>
        <w:ind w:firstLine="880" w:firstLineChars="20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年度岳阳市不动产登记中心</w:t>
      </w:r>
    </w:p>
    <w:p w14:paraId="43BB2B78">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整体支出绩效自评报告</w:t>
      </w:r>
    </w:p>
    <w:p w14:paraId="6D71EF5D">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highlight w:val="none"/>
        </w:rPr>
      </w:pPr>
    </w:p>
    <w:p w14:paraId="3F72AD5D">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left="-10" w:firstLine="640" w:firstLineChars="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部门（单位）基本情况</w:t>
      </w:r>
    </w:p>
    <w:p w14:paraId="120B3AE1">
      <w:pPr>
        <w:spacing w:line="640" w:lineRule="exact"/>
        <w:ind w:firstLine="643" w:firstLineChars="200"/>
        <w:rPr>
          <w:rFonts w:ascii="Times New Roman" w:hAnsi="Times New Roman" w:eastAsia="楷体_GB2312"/>
          <w:b/>
          <w:sz w:val="32"/>
          <w:szCs w:val="32"/>
        </w:rPr>
      </w:pPr>
      <w:r>
        <w:rPr>
          <w:rFonts w:ascii="Times New Roman" w:hAnsi="Times New Roman" w:eastAsia="楷体_GB2312"/>
          <w:b/>
          <w:sz w:val="32"/>
          <w:szCs w:val="32"/>
        </w:rPr>
        <w:t>（一）职能职责</w:t>
      </w:r>
    </w:p>
    <w:p w14:paraId="585F2B91">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1、宣传贯彻实施国家、省、市关于不动产登记的方针政策和法律法规。</w:t>
      </w:r>
    </w:p>
    <w:p w14:paraId="0BDB2876">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2、负责市本级内(含岳阳楼区、经开区、南湖新区)不动产交易登记业务的统一受理、审核与登簿发证等事务性工作。</w:t>
      </w:r>
    </w:p>
    <w:p w14:paraId="7CEDB5BA">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3、负责拟订市本级不动产交易登记业务规范和工作流程。</w:t>
      </w:r>
    </w:p>
    <w:p w14:paraId="14BBCFD8">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4、配合调处市本级不动产权属争议及交易纠纷。</w:t>
      </w:r>
    </w:p>
    <w:p w14:paraId="3E71A467">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5、负责不动产登记数据资料统计、分析、整理、保管和备份，以及不动产登记档案的收集、移交。</w:t>
      </w:r>
    </w:p>
    <w:p w14:paraId="5ECB5867">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6、承办市委、市人民政府及市自然资源和规划局交办的其他工作。</w:t>
      </w:r>
    </w:p>
    <w:p w14:paraId="75DB20EA">
      <w:pPr>
        <w:spacing w:line="640" w:lineRule="exact"/>
        <w:ind w:firstLine="643" w:firstLineChars="200"/>
        <w:rPr>
          <w:rFonts w:ascii="Times New Roman" w:hAnsi="Times New Roman" w:eastAsia="楷体_GB2312"/>
          <w:b/>
          <w:sz w:val="32"/>
          <w:szCs w:val="32"/>
        </w:rPr>
      </w:pPr>
      <w:r>
        <w:rPr>
          <w:rFonts w:ascii="Times New Roman" w:hAnsi="Times New Roman" w:eastAsia="楷体_GB2312"/>
          <w:b/>
          <w:sz w:val="32"/>
          <w:szCs w:val="32"/>
        </w:rPr>
        <w:t>（二）机构设置</w:t>
      </w:r>
    </w:p>
    <w:p w14:paraId="4EA000B3">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我中心设两个分支机构和9个部室。</w:t>
      </w:r>
    </w:p>
    <w:p w14:paraId="3D5D9E77">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1、两个分支机构</w:t>
      </w:r>
    </w:p>
    <w:p w14:paraId="1970E6B6">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⑴、岳阳市自然资源交易中心</w:t>
      </w:r>
    </w:p>
    <w:p w14:paraId="5E8F36C5">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负责全市有关自然资源交易、集体土地经营权的流转，矿产资源的转让等相关事务性工作。</w:t>
      </w:r>
    </w:p>
    <w:p w14:paraId="7C063C9E">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⑵、岳阳市不动产登记信息中心</w:t>
      </w:r>
    </w:p>
    <w:p w14:paraId="0A413666">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负责不动产登记综合平台的建设和管理，不动产基础信息的统计和监测，推动不动产信息共享集成等工作。</w:t>
      </w:r>
    </w:p>
    <w:p w14:paraId="39294FCA">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2、9个内设部室</w:t>
      </w:r>
    </w:p>
    <w:p w14:paraId="3EF7C2DE">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⑴、综合部</w:t>
      </w:r>
    </w:p>
    <w:p w14:paraId="038EB9FA">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负责文秘、会务、宣传、后勤等综合管理及人事管理、思想政治、党群等工作。</w:t>
      </w:r>
    </w:p>
    <w:p w14:paraId="1FB4D662">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⑵、财务部</w:t>
      </w:r>
    </w:p>
    <w:p w14:paraId="43477F76">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负责年度收支核算、收费审核、固定资产登记等工作</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负责综合统计及财务统计工作</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负责保管会计凭证账簿、报表等财务档案资料。</w:t>
      </w:r>
    </w:p>
    <w:p w14:paraId="76BE1097">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⑶、受理部</w:t>
      </w:r>
    </w:p>
    <w:p w14:paraId="5A42DA46">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负责市本级的土地、房屋、林地等不动产登记业务的咨询、受理、初审、收费、缮证、证书发放等工作</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负责做好不动产权利证书管理</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负责不动产登记办事窗口的日常管理工作。</w:t>
      </w:r>
    </w:p>
    <w:p w14:paraId="403942C8">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⑷、登记一部</w:t>
      </w:r>
    </w:p>
    <w:p w14:paraId="30E281D9">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负责不动产首次登记业务的审核、登簿，做好上述不动产登记档案资料的移交工作。</w:t>
      </w:r>
    </w:p>
    <w:p w14:paraId="4C74F25F">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⑸、登记二部</w:t>
      </w:r>
    </w:p>
    <w:p w14:paraId="416CAB19">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负责不动产变更登记、转移登记、更正登记等业务的受理、审核、登簿</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做好上述不动产登记档案资料的移交工作。</w:t>
      </w:r>
    </w:p>
    <w:p w14:paraId="6ECB4622">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⑹、登记三部</w:t>
      </w:r>
    </w:p>
    <w:p w14:paraId="530D1BD0">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负责不动产抵押登记、预告登记、异议登记、注销登记、查封登记等业务的受理、审核、登簿</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做好上述不动产登记档案资料的移交工作。</w:t>
      </w:r>
    </w:p>
    <w:p w14:paraId="515FCA51">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⑺、权籍调查部</w:t>
      </w:r>
    </w:p>
    <w:p w14:paraId="371AAC39">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承担市本级范围内涉及土地、房屋、林地等不动产登记的实地查勘、权籍调查工作</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负责权籍调查数据和测绘数据更新、入库和管理工作。</w:t>
      </w:r>
    </w:p>
    <w:p w14:paraId="1021C626">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⑻、法规部</w:t>
      </w:r>
    </w:p>
    <w:p w14:paraId="2FC74F8D">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参与拟订不动产确权、权属争议调处地方性政策；配合、协助有关行政机关调处不动产权属争议；组织不动产登记法制宣传教育</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负责涉及不动产登记的行政复议、行政应诉和行政执法监督工作。</w:t>
      </w:r>
    </w:p>
    <w:p w14:paraId="2612D9B0">
      <w:pPr>
        <w:widowControl/>
        <w:spacing w:line="6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⑼、信息档案部</w:t>
      </w:r>
    </w:p>
    <w:p w14:paraId="4243AE8C">
      <w:pPr>
        <w:widowControl/>
        <w:spacing w:line="640" w:lineRule="exact"/>
        <w:ind w:firstLine="640" w:firstLineChars="200"/>
        <w:rPr>
          <w:rFonts w:hint="default" w:ascii="Times New Roman" w:hAnsi="Times New Roman" w:eastAsia="黑体" w:cs="Times New Roman"/>
          <w:sz w:val="32"/>
          <w:szCs w:val="32"/>
          <w:highlight w:val="none"/>
        </w:rPr>
      </w:pPr>
      <w:r>
        <w:rPr>
          <w:rFonts w:ascii="Times New Roman" w:hAnsi="Times New Roman" w:eastAsia="仿宋_GB2312"/>
          <w:color w:val="000000"/>
          <w:sz w:val="32"/>
          <w:szCs w:val="32"/>
        </w:rPr>
        <w:t>负责不动产权证书的购置、保管、分发等管理工作；负责对市本级不动产登记发证质量的检查、审查；负责对市本级不动产登记纸质档案的收集、运转、移交等工作。</w:t>
      </w:r>
    </w:p>
    <w:p w14:paraId="7B73BDA4">
      <w:pPr>
        <w:pStyle w:val="8"/>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二、一般公共预算支出情况</w:t>
      </w:r>
    </w:p>
    <w:p w14:paraId="180694C4">
      <w:pPr>
        <w:pStyle w:val="8"/>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（一）基本支出情况</w:t>
      </w:r>
    </w:p>
    <w:p w14:paraId="6FBB1A85">
      <w:pPr>
        <w:pStyle w:val="8"/>
        <w:keepNext w:val="0"/>
        <w:keepLines w:val="0"/>
        <w:pageBreakBefore w:val="0"/>
        <w:widowControl/>
        <w:kinsoku/>
        <w:wordWrap/>
        <w:overflowPunct/>
        <w:topLinePunct w:val="0"/>
        <w:autoSpaceDE/>
        <w:autoSpaceDN/>
        <w:bidi w:val="0"/>
        <w:adjustRightInd/>
        <w:snapToGrid/>
        <w:spacing w:line="640" w:lineRule="exact"/>
        <w:ind w:firstLine="620" w:firstLineChars="0"/>
        <w:jc w:val="left"/>
        <w:textAlignment w:val="auto"/>
        <w:rPr>
          <w:rFonts w:hint="default" w:ascii="Times New Roman" w:hAnsi="Times New Roman" w:eastAsia="楷体_GB2312" w:cs="Times New Roman"/>
          <w:b/>
          <w:sz w:val="32"/>
          <w:szCs w:val="32"/>
          <w:highlight w:val="none"/>
        </w:rPr>
      </w:pPr>
      <w:r>
        <w:rPr>
          <w:rFonts w:hint="eastAsia" w:ascii="仿宋" w:hAnsi="仿宋" w:eastAsia="仿宋" w:cs="仿宋"/>
          <w:sz w:val="31"/>
          <w:szCs w:val="31"/>
        </w:rPr>
        <w:t>本单位</w:t>
      </w:r>
      <w:r>
        <w:rPr>
          <w:rFonts w:ascii="仿宋" w:hAnsi="仿宋" w:eastAsia="仿宋" w:cs="仿宋"/>
          <w:sz w:val="31"/>
          <w:szCs w:val="31"/>
        </w:rPr>
        <w:t>202</w:t>
      </w:r>
      <w:r>
        <w:rPr>
          <w:rFonts w:hint="eastAsia" w:ascii="仿宋" w:hAnsi="仿宋" w:eastAsia="仿宋" w:cs="仿宋"/>
          <w:sz w:val="31"/>
          <w:szCs w:val="31"/>
          <w:lang w:val="en-US" w:eastAsia="zh-CN"/>
        </w:rPr>
        <w:t>5</w:t>
      </w:r>
      <w:r>
        <w:rPr>
          <w:rFonts w:ascii="仿宋" w:hAnsi="仿宋" w:eastAsia="仿宋" w:cs="仿宋"/>
          <w:sz w:val="31"/>
          <w:szCs w:val="31"/>
        </w:rPr>
        <w:t>年度</w:t>
      </w:r>
      <w:r>
        <w:rPr>
          <w:rFonts w:hint="eastAsia" w:ascii="仿宋" w:hAnsi="仿宋" w:eastAsia="仿宋" w:cs="仿宋"/>
          <w:sz w:val="31"/>
          <w:szCs w:val="31"/>
        </w:rPr>
        <w:t>基本</w:t>
      </w:r>
      <w:r>
        <w:rPr>
          <w:rFonts w:ascii="仿宋" w:hAnsi="仿宋" w:eastAsia="仿宋" w:cs="仿宋"/>
          <w:sz w:val="31"/>
          <w:szCs w:val="31"/>
        </w:rPr>
        <w:t>支出</w:t>
      </w:r>
      <w:r>
        <w:rPr>
          <w:rFonts w:hint="eastAsia" w:ascii="仿宋" w:hAnsi="仿宋" w:eastAsia="仿宋" w:cs="仿宋"/>
          <w:sz w:val="31"/>
          <w:szCs w:val="31"/>
          <w:lang w:val="en-US" w:eastAsia="zh-CN"/>
        </w:rPr>
        <w:t>2526.73</w:t>
      </w:r>
      <w:r>
        <w:rPr>
          <w:rFonts w:ascii="仿宋" w:hAnsi="仿宋" w:eastAsia="仿宋" w:cs="仿宋"/>
          <w:sz w:val="31"/>
          <w:szCs w:val="31"/>
        </w:rPr>
        <w:t>万元，其中工资福利性支出</w:t>
      </w:r>
      <w:r>
        <w:rPr>
          <w:rFonts w:hint="eastAsia" w:ascii="仿宋" w:hAnsi="仿宋" w:eastAsia="仿宋" w:cs="仿宋"/>
          <w:sz w:val="31"/>
          <w:szCs w:val="31"/>
          <w:lang w:val="en-US" w:eastAsia="zh-CN"/>
        </w:rPr>
        <w:t>1819.15</w:t>
      </w:r>
      <w:r>
        <w:rPr>
          <w:rFonts w:ascii="仿宋" w:hAnsi="仿宋" w:eastAsia="仿宋" w:cs="仿宋"/>
          <w:sz w:val="31"/>
          <w:szCs w:val="31"/>
        </w:rPr>
        <w:t>万元，商品和服务性支出</w:t>
      </w:r>
      <w:r>
        <w:rPr>
          <w:rFonts w:hint="eastAsia" w:ascii="仿宋" w:hAnsi="仿宋" w:eastAsia="仿宋" w:cs="仿宋"/>
          <w:sz w:val="31"/>
          <w:szCs w:val="31"/>
          <w:lang w:val="en-US" w:eastAsia="zh-CN"/>
        </w:rPr>
        <w:t>521.95</w:t>
      </w:r>
      <w:r>
        <w:rPr>
          <w:rFonts w:ascii="仿宋" w:hAnsi="仿宋" w:eastAsia="仿宋" w:cs="仿宋"/>
          <w:sz w:val="31"/>
          <w:szCs w:val="31"/>
        </w:rPr>
        <w:t>万元，其他对个人及家庭的补助</w:t>
      </w:r>
      <w:r>
        <w:rPr>
          <w:rFonts w:hint="eastAsia" w:ascii="仿宋" w:hAnsi="仿宋" w:eastAsia="仿宋" w:cs="仿宋"/>
          <w:sz w:val="31"/>
          <w:szCs w:val="31"/>
          <w:lang w:val="en-US" w:eastAsia="zh-CN"/>
        </w:rPr>
        <w:t>134.33</w:t>
      </w:r>
      <w:r>
        <w:rPr>
          <w:rFonts w:ascii="仿宋" w:hAnsi="仿宋" w:eastAsia="仿宋" w:cs="仿宋"/>
          <w:sz w:val="31"/>
          <w:szCs w:val="31"/>
        </w:rPr>
        <w:t>万元</w:t>
      </w:r>
      <w:r>
        <w:rPr>
          <w:rFonts w:hint="eastAsia" w:ascii="仿宋" w:hAnsi="仿宋" w:eastAsia="仿宋" w:cs="仿宋"/>
          <w:sz w:val="31"/>
          <w:szCs w:val="31"/>
        </w:rPr>
        <w:t>，</w:t>
      </w:r>
      <w:r>
        <w:rPr>
          <w:rFonts w:ascii="仿宋" w:hAnsi="仿宋" w:eastAsia="仿宋" w:cs="仿宋"/>
          <w:sz w:val="31"/>
          <w:szCs w:val="31"/>
        </w:rPr>
        <w:t>资本性支出</w:t>
      </w:r>
      <w:r>
        <w:rPr>
          <w:rFonts w:hint="eastAsia" w:ascii="仿宋" w:hAnsi="仿宋" w:eastAsia="仿宋" w:cs="仿宋"/>
          <w:sz w:val="31"/>
          <w:szCs w:val="31"/>
          <w:lang w:val="en-US" w:eastAsia="zh-CN"/>
        </w:rPr>
        <w:t>51.3</w:t>
      </w:r>
      <w:r>
        <w:rPr>
          <w:rFonts w:hint="eastAsia" w:ascii="仿宋" w:hAnsi="仿宋" w:eastAsia="仿宋" w:cs="仿宋"/>
          <w:sz w:val="31"/>
          <w:szCs w:val="31"/>
        </w:rPr>
        <w:t>万元。</w:t>
      </w:r>
      <w:r>
        <w:rPr>
          <w:rFonts w:ascii="仿宋" w:hAnsi="仿宋" w:eastAsia="仿宋" w:cs="仿宋"/>
          <w:sz w:val="31"/>
          <w:szCs w:val="31"/>
        </w:rPr>
        <w:t>主要用于人员经费、</w:t>
      </w:r>
      <w:r>
        <w:rPr>
          <w:rFonts w:hint="eastAsia" w:ascii="仿宋" w:hAnsi="仿宋" w:eastAsia="仿宋" w:cs="仿宋"/>
          <w:sz w:val="31"/>
          <w:szCs w:val="31"/>
          <w:lang w:val="en-US" w:eastAsia="zh-CN"/>
        </w:rPr>
        <w:t>公用</w:t>
      </w:r>
      <w:r>
        <w:rPr>
          <w:rFonts w:ascii="仿宋" w:hAnsi="仿宋" w:eastAsia="仿宋" w:cs="仿宋"/>
          <w:sz w:val="31"/>
          <w:szCs w:val="31"/>
        </w:rPr>
        <w:t>经费</w:t>
      </w:r>
      <w:r>
        <w:rPr>
          <w:rFonts w:hint="eastAsia" w:ascii="仿宋" w:hAnsi="仿宋" w:eastAsia="仿宋" w:cs="仿宋"/>
          <w:sz w:val="31"/>
          <w:szCs w:val="31"/>
          <w:lang w:eastAsia="zh-CN"/>
        </w:rPr>
        <w:t>、</w:t>
      </w:r>
      <w:r>
        <w:rPr>
          <w:rFonts w:ascii="仿宋" w:hAnsi="仿宋" w:eastAsia="仿宋" w:cs="仿宋"/>
          <w:sz w:val="31"/>
          <w:szCs w:val="31"/>
        </w:rPr>
        <w:t>资产采购等</w:t>
      </w:r>
      <w:r>
        <w:rPr>
          <w:rFonts w:hint="eastAsia" w:ascii="仿宋" w:hAnsi="仿宋" w:eastAsia="仿宋" w:cs="仿宋"/>
          <w:sz w:val="31"/>
          <w:szCs w:val="31"/>
          <w:lang w:val="en-US" w:eastAsia="zh-CN"/>
        </w:rPr>
        <w:t>单位运转</w:t>
      </w:r>
      <w:r>
        <w:rPr>
          <w:rFonts w:ascii="仿宋" w:hAnsi="仿宋" w:eastAsia="仿宋" w:cs="仿宋"/>
          <w:sz w:val="31"/>
          <w:szCs w:val="31"/>
        </w:rPr>
        <w:t>支出。</w:t>
      </w:r>
    </w:p>
    <w:p w14:paraId="269E9113">
      <w:pPr>
        <w:pStyle w:val="8"/>
        <w:keepNext w:val="0"/>
        <w:keepLines w:val="0"/>
        <w:pageBreakBefore w:val="0"/>
        <w:widowControl w:val="0"/>
        <w:numPr>
          <w:ilvl w:val="0"/>
          <w:numId w:val="2"/>
        </w:numPr>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项目支出情况</w:t>
      </w:r>
    </w:p>
    <w:p w14:paraId="2DBAF6BF">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20" w:firstLineChars="200"/>
        <w:jc w:val="both"/>
        <w:textAlignment w:val="auto"/>
        <w:rPr>
          <w:rFonts w:hint="default" w:ascii="Times New Roman" w:hAnsi="Times New Roman" w:eastAsia="楷体_GB2312" w:cs="Times New Roman"/>
          <w:b/>
          <w:sz w:val="32"/>
          <w:szCs w:val="32"/>
          <w:highlight w:val="none"/>
        </w:rPr>
      </w:pPr>
      <w:r>
        <w:rPr>
          <w:rFonts w:hint="eastAsia" w:ascii="仿宋" w:hAnsi="仿宋" w:eastAsia="仿宋" w:cs="仿宋"/>
          <w:sz w:val="31"/>
          <w:szCs w:val="31"/>
        </w:rPr>
        <w:t>项目</w:t>
      </w:r>
      <w:r>
        <w:rPr>
          <w:rFonts w:ascii="仿宋" w:hAnsi="仿宋" w:eastAsia="仿宋" w:cs="仿宋"/>
          <w:sz w:val="31"/>
          <w:szCs w:val="31"/>
        </w:rPr>
        <w:t>支出</w:t>
      </w:r>
      <w:r>
        <w:rPr>
          <w:rFonts w:hint="eastAsia" w:ascii="仿宋" w:hAnsi="仿宋" w:eastAsia="仿宋" w:cs="仿宋"/>
          <w:sz w:val="31"/>
          <w:szCs w:val="31"/>
          <w:lang w:val="en-US" w:eastAsia="zh-CN"/>
        </w:rPr>
        <w:t>101.28</w:t>
      </w:r>
      <w:r>
        <w:rPr>
          <w:rFonts w:ascii="仿宋" w:hAnsi="仿宋" w:eastAsia="仿宋" w:cs="仿宋"/>
          <w:sz w:val="31"/>
          <w:szCs w:val="31"/>
        </w:rPr>
        <w:t>万元，其中</w:t>
      </w:r>
      <w:r>
        <w:rPr>
          <w:rFonts w:hint="eastAsia" w:ascii="仿宋" w:hAnsi="仿宋" w:eastAsia="仿宋" w:cs="仿宋"/>
          <w:sz w:val="31"/>
          <w:szCs w:val="31"/>
          <w:lang w:eastAsia="zh-CN"/>
        </w:rPr>
        <w:t>“接入湖南省一库一平台项目”</w:t>
      </w:r>
      <w:r>
        <w:rPr>
          <w:rFonts w:hint="eastAsia" w:ascii="仿宋" w:hAnsi="仿宋" w:eastAsia="仿宋" w:cs="仿宋"/>
          <w:sz w:val="31"/>
          <w:szCs w:val="31"/>
          <w:lang w:val="en-US" w:eastAsia="zh-CN"/>
        </w:rPr>
        <w:t>100</w:t>
      </w:r>
      <w:r>
        <w:rPr>
          <w:rFonts w:hint="eastAsia" w:ascii="仿宋" w:hAnsi="仿宋" w:eastAsia="仿宋" w:cs="仿宋"/>
          <w:sz w:val="31"/>
          <w:szCs w:val="31"/>
        </w:rPr>
        <w:t>万元</w:t>
      </w:r>
      <w:r>
        <w:rPr>
          <w:rFonts w:hint="eastAsia" w:ascii="仿宋" w:hAnsi="仿宋" w:eastAsia="仿宋" w:cs="仿宋"/>
          <w:sz w:val="31"/>
          <w:szCs w:val="31"/>
          <w:lang w:eastAsia="zh-CN"/>
        </w:rPr>
        <w:t>，“地下车位登记契税返回项目”</w:t>
      </w:r>
      <w:r>
        <w:rPr>
          <w:rFonts w:hint="eastAsia" w:ascii="仿宋" w:hAnsi="仿宋" w:eastAsia="仿宋" w:cs="仿宋"/>
          <w:sz w:val="31"/>
          <w:szCs w:val="31"/>
          <w:lang w:val="en-US" w:eastAsia="zh-CN"/>
        </w:rPr>
        <w:t>1.28万元</w:t>
      </w:r>
      <w:r>
        <w:rPr>
          <w:rFonts w:hint="eastAsia" w:ascii="仿宋" w:hAnsi="仿宋" w:eastAsia="仿宋" w:cs="仿宋"/>
          <w:sz w:val="31"/>
          <w:szCs w:val="31"/>
        </w:rPr>
        <w:t>。</w:t>
      </w:r>
    </w:p>
    <w:p w14:paraId="6EA6EBC6">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leftChars="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三、</w:t>
      </w:r>
      <w:r>
        <w:rPr>
          <w:rFonts w:hint="default" w:ascii="Times New Roman" w:hAnsi="Times New Roman" w:eastAsia="黑体" w:cs="Times New Roman"/>
          <w:sz w:val="32"/>
          <w:szCs w:val="32"/>
          <w:highlight w:val="none"/>
        </w:rPr>
        <w:t>政府性基金预算支出情况</w:t>
      </w:r>
    </w:p>
    <w:p w14:paraId="5F8F56F8">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0" w:firstLineChars="0"/>
        <w:jc w:val="both"/>
        <w:textAlignment w:val="auto"/>
        <w:rPr>
          <w:rFonts w:hint="default" w:ascii="Times New Roman" w:hAnsi="Times New Roman" w:eastAsia="仿宋"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 xml:space="preserve">    </w:t>
      </w:r>
      <w:r>
        <w:rPr>
          <w:rFonts w:hint="eastAsia" w:ascii="仿宋" w:hAnsi="仿宋" w:eastAsia="仿宋" w:cs="仿宋"/>
          <w:sz w:val="31"/>
          <w:szCs w:val="31"/>
          <w:highlight w:val="none"/>
          <w:lang w:val="en-US" w:eastAsia="zh-CN"/>
        </w:rPr>
        <w:t xml:space="preserve"> </w:t>
      </w:r>
      <w:r>
        <w:rPr>
          <w:rFonts w:hint="eastAsia" w:ascii="仿宋" w:hAnsi="仿宋" w:eastAsia="仿宋" w:cs="仿宋"/>
          <w:sz w:val="31"/>
          <w:szCs w:val="31"/>
          <w:highlight w:val="none"/>
        </w:rPr>
        <w:t>政府性基金预算支出</w:t>
      </w:r>
      <w:r>
        <w:rPr>
          <w:rFonts w:hint="eastAsia" w:ascii="仿宋" w:hAnsi="仿宋" w:eastAsia="仿宋" w:cs="仿宋"/>
          <w:sz w:val="31"/>
          <w:szCs w:val="31"/>
          <w:highlight w:val="none"/>
          <w:lang w:val="en-US" w:eastAsia="zh-CN"/>
        </w:rPr>
        <w:t>80万元，其中商品和服务性支出65.5万元，资本性支出14.5万元。主要用于设备采购、劳务费、委托业务费及物业、水电等费用支出。</w:t>
      </w:r>
    </w:p>
    <w:p w14:paraId="287B5E9D">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leftChars="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四、</w:t>
      </w:r>
      <w:r>
        <w:rPr>
          <w:rFonts w:hint="default" w:ascii="Times New Roman" w:hAnsi="Times New Roman" w:eastAsia="黑体" w:cs="Times New Roman"/>
          <w:sz w:val="32"/>
          <w:szCs w:val="32"/>
          <w:highlight w:val="none"/>
        </w:rPr>
        <w:t>国有资本经营预算支出情况</w:t>
      </w:r>
    </w:p>
    <w:p w14:paraId="486B1FB8">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firstLine="0" w:firstLineChars="0"/>
        <w:jc w:val="both"/>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年本单位没有使用国有资本经营预算安排的支出。</w:t>
      </w:r>
    </w:p>
    <w:p w14:paraId="6A8C48DC">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leftChars="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社会保险基金预算支出情况</w:t>
      </w:r>
    </w:p>
    <w:p w14:paraId="504F834E">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firstLine="0" w:firstLineChars="0"/>
        <w:jc w:val="both"/>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年本单位没有使用社会保险基金预算安排的支出。</w:t>
      </w:r>
    </w:p>
    <w:p w14:paraId="079B5B7C">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default" w:ascii="Times New Roman" w:hAnsi="Times New Roman" w:eastAsia="黑体" w:cs="Times New Roman"/>
          <w:sz w:val="32"/>
          <w:szCs w:val="32"/>
          <w:highlight w:val="none"/>
        </w:rPr>
        <w:t>六、部门整体支出绩效情况</w:t>
      </w:r>
    </w:p>
    <w:p w14:paraId="52C3A1A0">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在省自然资源厅的正确领导和精心指导下，岳阳市不动产登记中心深入贯彻落实党中央、国务院关于深化“放管服”改革、优化营商环境的决策部署，紧紧围绕市本级“获取经营场所”指标任务，以“高效办成一件事”为牵引，以目标为导向，细化责任分工，全力推进各项改革举措落地见效。本年度，本单位严格对照年度绩效目标，将预算资金管理与业务创新深度融合，全面完成了各项支出任务，实现了产出与效益的双提升。</w:t>
      </w:r>
    </w:p>
    <w:p w14:paraId="37536A56">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 整体支出绩效目标完成情况</w:t>
      </w:r>
    </w:p>
    <w:p w14:paraId="4F20010A">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2025年，本单位紧紧围绕年度预算安排，以预算资金管理为主线，有力保障了各项改革任务和重点工作的推进。全年设定的核心绩效目标圆满完成。</w:t>
      </w:r>
    </w:p>
    <w:p w14:paraId="4496E332">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非税收入方面，年度目标为完成非税收入350万元，实际完成389万元，完成率达111.14%，超额完成非税收入目标，资金管理规范高效。</w:t>
      </w:r>
    </w:p>
    <w:p w14:paraId="0267897E">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工作任务方面，年度目标为做好全市不动产登记工作，实际高质量完成了各项改革任务，登记便利度、覆盖面、品牌建设实现新突破，工作成效显著。</w:t>
      </w:r>
    </w:p>
    <w:p w14:paraId="69110977">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 年度主要工作成效及绩效实现情况</w:t>
      </w:r>
    </w:p>
    <w:p w14:paraId="369970DB">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围绕单位职责和行业发展规划，本年度在运行成本、管理效率、履职效能、社会效应、可持续发展能力和服务对象满意度等方面均取得了显著成效。</w:t>
      </w:r>
    </w:p>
    <w:p w14:paraId="0427E999">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（一）聚焦改革创新，履职效能实现系统性提升</w:t>
      </w:r>
    </w:p>
    <w:p w14:paraId="10C1F2FF">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“掌上办”服务迈入智慧便民新阶段：纵深推进“互联网+不动产登记”改革，实现商品房转移、存量房转移等10项高频业务全流程“指尖办”，累计办理2413笔，为企业群众提供全天候、无障碍的智慧服务。</w:t>
      </w:r>
    </w:p>
    <w:p w14:paraId="5D504524">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省“一库一平台”高质量落地运行：坚决贯彻省厅统一部署，于6月底成功上线并持续平稳运行，累计办理业务超万笔，实现不动产登记平台的无缝切换与功能升级。</w:t>
      </w:r>
    </w:p>
    <w:p w14:paraId="18A513A5">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1160”改革实现市本级全域覆盖：将“一人一窗、一套资料、一个环节、60分钟领证”的极简模式推广至所有市本级登记服务大厅，办理环节由6个压减至1个，收件材料精简至1件，累计服务企业群众超5万人次，荣获湖南省“高效办成一件事”经典案例。</w:t>
      </w:r>
    </w:p>
    <w:p w14:paraId="298917DC">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智能化审批与“无感智办”深化应用：全年智能审批业务量突破3.8万笔，单笔业务平均3分钟内办结，实现秒批秒办，持续培育“无感智办”服务新形态。</w:t>
      </w:r>
    </w:p>
    <w:p w14:paraId="1EF9254A">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（二）聚焦产权底板，可持续发展能力得到实质性夯实</w:t>
      </w:r>
    </w:p>
    <w:p w14:paraId="4D2964AB">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集体土地所有权登记成果高效转化：成果全面应用于建设用地报批、集体土地征收等环节，创新融入“交地即交证”改革链条。</w:t>
      </w:r>
    </w:p>
    <w:p w14:paraId="52B9EE68">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农村不动产登记任务基本收官：宅基地“房地一体”累计完成登记发证13567户，完成率100%；土地承包经营权登记扎实推进，涉及580户、1195.07亩；林权登记实现规范突破，完成1.3万宗林地属性数据清理。</w:t>
      </w:r>
    </w:p>
    <w:p w14:paraId="74CA5207">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“一码管地”赋能全生命周期管理：以不动产单元代码为核心，串联土地供应、规划许可、不动产登记等环节，有力支撑土地资源精细化管理。</w:t>
      </w:r>
    </w:p>
    <w:p w14:paraId="26644B1A">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（三）聚焦便民利企，服务对象满意度持续提升</w:t>
      </w:r>
    </w:p>
    <w:p w14:paraId="67D33232">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“跨省通办”服务网络持续织密：实现与广州、深圳、武汉等两省八市间63项高频业务的“异地受理、属地审批、协同联动”，与益阳市实现全业务通办，有效破解“异地跑”难题。</w:t>
      </w:r>
    </w:p>
    <w:p w14:paraId="74817D5F">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“政银合作”打造十分钟便民服务圈：与中心城区23家银行网点合作开通抵押登记代办服务，构建起“就近办、快捷办、一次办”的便民服务体系。</w:t>
      </w:r>
    </w:p>
    <w:p w14:paraId="03E75EC7">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“四即改革”与组合业务深化推广：市本级累计实现“交房即交证”项目13个，颁发证书7166本；整合20类业务实行“一件事一次办”，满足群众个性化需求。</w:t>
      </w:r>
    </w:p>
    <w:p w14:paraId="796B59F2">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（四）聚焦安全规范，管理效率与运行成本实现双优化</w:t>
      </w:r>
    </w:p>
    <w:p w14:paraId="64AB8F26">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“双平行”廉政防控机制有效运行：实行“平行受理、随机派件、平行审核、终身负责”机制，累计办理业务28万笔，有效预防“人情件”，降低廉政风险。</w:t>
      </w:r>
    </w:p>
    <w:p w14:paraId="64DEF188">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数据质量与安全双提升：建立登记数据全字段质检机制，实行全流程无纸化，确保信息可溯、安全可控，降低了纸质档案管理成本。</w:t>
      </w:r>
    </w:p>
    <w:p w14:paraId="6EEFE047">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“登记难”问题攻坚化解：全面梳理208个问题楼盘，已化解203个、化解率97.59%，颁发证书3.4万本，历史遗留“登记难”治理取得阶段性成效。</w:t>
      </w:r>
    </w:p>
    <w:p w14:paraId="67797AA4">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（五）聚焦党建引领，“巴陵小登”品牌树立全新形象</w:t>
      </w:r>
    </w:p>
    <w:p w14:paraId="01C420A2">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党建服务品牌成功塑造：以“湘登记·暖民心”为主线，组建党员先锋队，常态化开展“帮代办”“上门服务”等暖心举措，显著提升了服务温度与社会美誉度。</w:t>
      </w:r>
    </w:p>
    <w:p w14:paraId="71DF4C2F">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队伍作风与能力素质持续淬炼：严格落实“六不准”要求，成功举办第三届岳阳市不动产登记职业技能竞赛，营造了“比学赶超、争创一流”的浓厚氛围。</w:t>
      </w:r>
    </w:p>
    <w:p w14:paraId="3C75ACD2">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宣传引导工作形成立体声势：在《中国不动产》杂志、《中国自然资源报》等权威媒体发表重点稿件，构建了多层次、广覆盖、有影响的宣传格局。</w:t>
      </w:r>
    </w:p>
    <w:p w14:paraId="6292D5E1">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综合来看，本单位2025年整体支出绩效目标圆满完成，核心业务实施效果显著，为推动岳阳市经济社会高质量发展贡献了登记力量。</w:t>
      </w:r>
    </w:p>
    <w:p w14:paraId="7777E30A">
      <w:pPr>
        <w:pStyle w:val="8"/>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七、存在的问题及原因分析</w:t>
      </w:r>
    </w:p>
    <w:p w14:paraId="0B14CD61">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（一）预算编制精准性有待提高</w:t>
      </w:r>
    </w:p>
    <w:p w14:paraId="236F4676">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年初预算申报时，对单位实际情况和以前年度支出规律考量不够充分，部分项目预算申报与实际执行存在偏差。主要原因在于对业务变化等因素的前瞻性预判不足。</w:t>
      </w:r>
    </w:p>
    <w:p w14:paraId="47F843D8">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（二）绩效执行监控不够到位</w:t>
      </w:r>
    </w:p>
    <w:p w14:paraId="166E2100">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对绩效目标执行进度的跟踪监控不够及时，未能有效掌握资金支付进度与绩效产出的匹配情况。主要原因在于绩效监控手段单一，对执行偏差未能及时发现和纠正。</w:t>
      </w:r>
    </w:p>
    <w:p w14:paraId="2E09DE5C">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（三）数据治理能力仍需加强</w:t>
      </w:r>
    </w:p>
    <w:p w14:paraId="6E90E8C4">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数据清理整合不够系统深入，信息互通共享有待拓展，影响了登记便利度和效率的提升。主要原因在于数据治理长效机制不健全，跨部门共享壁垒尚未完全打破。</w:t>
      </w:r>
    </w:p>
    <w:p w14:paraId="3BDFAB2A">
      <w:pPr>
        <w:keepNext w:val="0"/>
        <w:keepLines w:val="0"/>
        <w:pageBreakBefore w:val="0"/>
        <w:widowControl w:val="0"/>
        <w:numPr>
          <w:ilvl w:val="0"/>
          <w:numId w:val="3"/>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下一步改进措施</w:t>
      </w:r>
    </w:p>
    <w:p w14:paraId="54015AAD">
      <w:pPr>
        <w:widowControl/>
        <w:spacing w:line="640" w:lineRule="exact"/>
        <w:ind w:firstLine="643"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一）提高预算编制精准性</w:t>
      </w:r>
    </w:p>
    <w:p w14:paraId="63524A97">
      <w:pPr>
        <w:widowControl/>
        <w:spacing w:line="6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严格按照《中华人民共和国预算法》及相关制度要求，结合本单位实际情况和以前年度支出规律，综合考虑政策调整、业务量变化等因素，科学申报年初预算，不断提高预算编制的前瞻性和准确性。</w:t>
      </w:r>
    </w:p>
    <w:p w14:paraId="4E71DF82">
      <w:pPr>
        <w:widowControl/>
        <w:spacing w:line="640" w:lineRule="exact"/>
        <w:ind w:firstLine="643"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（二）强化绩效执行全过程监控</w:t>
      </w:r>
    </w:p>
    <w:p w14:paraId="1A425D07">
      <w:pPr>
        <w:widowControl/>
        <w:spacing w:line="6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建立常态化绩效目标执行监控机制，定期跟踪资金支付进度与绩效产出情况，及时发现并纠正执行偏差，确保财政资金按计划有序支出，切实发挥资金使用效益。</w:t>
      </w:r>
    </w:p>
    <w:p w14:paraId="592128D6">
      <w:pPr>
        <w:widowControl/>
        <w:spacing w:line="640" w:lineRule="exact"/>
        <w:ind w:firstLine="643"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（三）深化数据治理与业务融合</w:t>
      </w:r>
    </w:p>
    <w:p w14:paraId="2BD19605">
      <w:pPr>
        <w:keepNext w:val="0"/>
        <w:keepLines w:val="0"/>
        <w:pageBreakBefore w:val="0"/>
        <w:widowControl/>
        <w:kinsoku/>
        <w:wordWrap/>
        <w:overflowPunct/>
        <w:topLinePunct w:val="0"/>
        <w:autoSpaceDE/>
        <w:autoSpaceDN/>
        <w:bidi w:val="0"/>
        <w:adjustRightInd/>
        <w:snapToGrid/>
        <w:spacing w:line="640" w:lineRule="exact"/>
        <w:ind w:firstLine="640" w:firstLineChars="200"/>
        <w:jc w:val="left"/>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color w:val="000000"/>
          <w:sz w:val="32"/>
          <w:szCs w:val="32"/>
        </w:rPr>
        <w:t>持续开展登记数据清理整合工作，夯实数据质量基础，深化跨部门信息互通共享，优化业务流程，进一步提升不动产登记便利度和办事效率，切实降低企业群众时间成本和经济成本，推动不动产登记现代化水平再上新台阶。</w:t>
      </w:r>
    </w:p>
    <w:p w14:paraId="2072E2B3">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九、部门整体支出绩效自评结果拟应用和公开情况</w:t>
      </w:r>
    </w:p>
    <w:p w14:paraId="76F3E5AC">
      <w:pPr>
        <w:pStyle w:val="2"/>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sz w:val="32"/>
          <w:szCs w:val="32"/>
          <w:lang w:eastAsia="zh-CN"/>
        </w:rPr>
        <w:t>本单位绩效自评结果为良好等级。下一步将根据财政检查绩效自评发现的问题等进行改善，并按政务公开的相关规定，及时将部门整体支出及项目绩效自评报告，通过门户网站向社会公开。</w:t>
      </w:r>
    </w:p>
    <w:p w14:paraId="65A0E236">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eastAsia="黑体" w:cs="Times New Roman"/>
          <w:sz w:val="32"/>
          <w:szCs w:val="32"/>
          <w:highlight w:val="none"/>
          <w:lang w:eastAsia="zh-CN"/>
        </w:rPr>
        <w:t>十、</w:t>
      </w:r>
      <w:r>
        <w:rPr>
          <w:rFonts w:hint="default" w:ascii="Times New Roman" w:hAnsi="Times New Roman" w:eastAsia="黑体" w:cs="Times New Roman"/>
          <w:sz w:val="32"/>
          <w:szCs w:val="32"/>
          <w:highlight w:val="none"/>
        </w:rPr>
        <w:t>其他需要说明的情况</w:t>
      </w:r>
    </w:p>
    <w:p w14:paraId="3853793A">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Times New Roman" w:hAnsi="Times New Roman" w:eastAsia="黑体" w:cs="Times New Roman"/>
          <w:sz w:val="32"/>
          <w:szCs w:val="32"/>
          <w:highlight w:val="none"/>
          <w:lang w:eastAsia="zh-CN"/>
        </w:rPr>
      </w:pPr>
      <w:r>
        <w:rPr>
          <w:rFonts w:hint="eastAsia" w:eastAsia="黑体" w:cs="Times New Roman"/>
          <w:sz w:val="32"/>
          <w:szCs w:val="32"/>
          <w:highlight w:val="none"/>
          <w:lang w:eastAsia="zh-CN"/>
        </w:rPr>
        <w:t>无</w:t>
      </w:r>
    </w:p>
    <w:p w14:paraId="1035F65A">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报告需要以下附件：</w:t>
      </w:r>
    </w:p>
    <w:p w14:paraId="6C23BCE3">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部门整体支出绩效评价基础数据表</w:t>
      </w:r>
    </w:p>
    <w:p w14:paraId="6D9E67E0">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部门整体支出绩效自评表</w:t>
      </w:r>
    </w:p>
    <w:p w14:paraId="150A72CB">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项目支出绩效自评表（一个一级项目支出一张表）</w:t>
      </w:r>
    </w:p>
    <w:p w14:paraId="296918EE">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政府性基金预算支出情况表</w:t>
      </w:r>
    </w:p>
    <w:p w14:paraId="1B126C93">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国有资本经营预算支出情况表</w:t>
      </w:r>
    </w:p>
    <w:p w14:paraId="01474C86">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社会保险基金预算支出情况表</w:t>
      </w:r>
    </w:p>
    <w:p w14:paraId="5D5BA9BA">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p>
    <w:p w14:paraId="3D83CC4A">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p>
    <w:p w14:paraId="5D8B36D6">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p>
    <w:p w14:paraId="2934CAAD">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p>
    <w:p w14:paraId="4981340A"/>
    <w:p w14:paraId="5F46A1DE"/>
    <w:p w14:paraId="46A6F3DC"/>
    <w:p w14:paraId="2E78E13A"/>
    <w:p w14:paraId="6D86D241"/>
    <w:p w14:paraId="7653CBA6"/>
    <w:p w14:paraId="713A6608">
      <w:pPr>
        <w:keepNext w:val="0"/>
        <w:keepLines w:val="0"/>
        <w:pageBreakBefore w:val="0"/>
        <w:widowControl w:val="0"/>
        <w:kinsoku/>
        <w:overflowPunct/>
        <w:topLinePunct w:val="0"/>
        <w:autoSpaceDE/>
        <w:autoSpaceDN/>
        <w:bidi w:val="0"/>
        <w:adjustRightInd/>
        <w:snapToGrid/>
        <w:spacing w:after="0" w:afterLines="0" w:line="500" w:lineRule="exact"/>
        <w:ind w:firstLine="320" w:firstLineChars="10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14:paraId="7F2EC5C2">
      <w:pPr>
        <w:keepNext w:val="0"/>
        <w:keepLines w:val="0"/>
        <w:pageBreakBefore w:val="0"/>
        <w:widowControl w:val="0"/>
        <w:kinsoku/>
        <w:overflowPunct/>
        <w:topLinePunct w:val="0"/>
        <w:autoSpaceDE/>
        <w:autoSpaceDN/>
        <w:bidi w:val="0"/>
        <w:adjustRightInd/>
        <w:snapToGrid/>
        <w:spacing w:after="120" w:afterLines="50" w:line="600" w:lineRule="exact"/>
        <w:jc w:val="center"/>
        <w:textAlignment w:val="auto"/>
        <w:rPr>
          <w:rFonts w:hint="eastAsia" w:ascii="方正小标宋简体" w:hAnsi="方正小标宋简体" w:eastAsia="方正小标宋简体" w:cs="方正小标宋简体"/>
          <w:sz w:val="24"/>
          <w:highlight w:val="none"/>
        </w:rPr>
      </w:pPr>
      <w:r>
        <w:rPr>
          <w:rFonts w:hint="eastAsia" w:ascii="方正小标宋简体" w:hAnsi="方正小标宋简体" w:eastAsia="方正小标宋简体" w:cs="方正小标宋简体"/>
          <w:sz w:val="36"/>
          <w:szCs w:val="36"/>
          <w:highlight w:val="none"/>
        </w:rPr>
        <w:t>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tbl>
      <w:tblPr>
        <w:tblStyle w:val="5"/>
        <w:tblW w:w="9673" w:type="dxa"/>
        <w:jc w:val="center"/>
        <w:tblLayout w:type="fixed"/>
        <w:tblCellMar>
          <w:top w:w="0" w:type="dxa"/>
          <w:left w:w="108" w:type="dxa"/>
          <w:bottom w:w="0" w:type="dxa"/>
          <w:right w:w="108" w:type="dxa"/>
        </w:tblCellMar>
      </w:tblPr>
      <w:tblGrid>
        <w:gridCol w:w="3601"/>
        <w:gridCol w:w="942"/>
        <w:gridCol w:w="849"/>
        <w:gridCol w:w="1129"/>
        <w:gridCol w:w="1111"/>
        <w:gridCol w:w="1081"/>
        <w:gridCol w:w="960"/>
      </w:tblGrid>
      <w:tr w14:paraId="3C7BE0F1">
        <w:tblPrEx>
          <w:tblCellMar>
            <w:top w:w="0" w:type="dxa"/>
            <w:left w:w="108" w:type="dxa"/>
            <w:bottom w:w="0" w:type="dxa"/>
            <w:right w:w="108" w:type="dxa"/>
          </w:tblCellMar>
        </w:tblPrEx>
        <w:trPr>
          <w:trHeight w:val="0" w:hRule="atLeast"/>
          <w:jc w:val="center"/>
        </w:trPr>
        <w:tc>
          <w:tcPr>
            <w:tcW w:w="3601" w:type="dxa"/>
            <w:vMerge w:val="restart"/>
            <w:tcBorders>
              <w:top w:val="single" w:color="auto" w:sz="4" w:space="0"/>
              <w:left w:val="single" w:color="auto" w:sz="4" w:space="0"/>
              <w:bottom w:val="single" w:color="auto" w:sz="4" w:space="0"/>
              <w:right w:val="single" w:color="auto" w:sz="4" w:space="0"/>
            </w:tcBorders>
            <w:noWrap w:val="0"/>
            <w:vAlign w:val="center"/>
          </w:tcPr>
          <w:p w14:paraId="5F592448">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1791" w:type="dxa"/>
            <w:gridSpan w:val="2"/>
            <w:tcBorders>
              <w:top w:val="single" w:color="auto" w:sz="4" w:space="0"/>
              <w:left w:val="nil"/>
              <w:bottom w:val="single" w:color="auto" w:sz="4" w:space="0"/>
              <w:right w:val="single" w:color="auto" w:sz="4" w:space="0"/>
            </w:tcBorders>
            <w:noWrap w:val="0"/>
            <w:vAlign w:val="center"/>
          </w:tcPr>
          <w:p w14:paraId="71858BCD">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240" w:type="dxa"/>
            <w:gridSpan w:val="2"/>
            <w:tcBorders>
              <w:top w:val="single" w:color="auto" w:sz="4" w:space="0"/>
              <w:left w:val="nil"/>
              <w:bottom w:val="single" w:color="auto" w:sz="4" w:space="0"/>
              <w:right w:val="single" w:color="auto" w:sz="4" w:space="0"/>
            </w:tcBorders>
            <w:noWrap w:val="0"/>
            <w:vAlign w:val="center"/>
          </w:tcPr>
          <w:p w14:paraId="7EB75DAD">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年实际在职人数</w:t>
            </w:r>
          </w:p>
        </w:tc>
        <w:tc>
          <w:tcPr>
            <w:tcW w:w="2041" w:type="dxa"/>
            <w:gridSpan w:val="2"/>
            <w:tcBorders>
              <w:top w:val="single" w:color="auto" w:sz="4" w:space="0"/>
              <w:left w:val="nil"/>
              <w:bottom w:val="single" w:color="auto" w:sz="4" w:space="0"/>
              <w:right w:val="single" w:color="auto" w:sz="4" w:space="0"/>
            </w:tcBorders>
            <w:noWrap w:val="0"/>
            <w:vAlign w:val="center"/>
          </w:tcPr>
          <w:p w14:paraId="4F91C590">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14:paraId="15DD48A4">
        <w:tblPrEx>
          <w:tblCellMar>
            <w:top w:w="0" w:type="dxa"/>
            <w:left w:w="108" w:type="dxa"/>
            <w:bottom w:w="0" w:type="dxa"/>
            <w:right w:w="108" w:type="dxa"/>
          </w:tblCellMar>
        </w:tblPrEx>
        <w:trPr>
          <w:trHeight w:val="0" w:hRule="atLeast"/>
          <w:jc w:val="center"/>
        </w:trPr>
        <w:tc>
          <w:tcPr>
            <w:tcW w:w="3601" w:type="dxa"/>
            <w:vMerge w:val="continue"/>
            <w:tcBorders>
              <w:top w:val="single" w:color="auto" w:sz="4" w:space="0"/>
              <w:left w:val="single" w:color="auto" w:sz="4" w:space="0"/>
              <w:bottom w:val="single" w:color="auto" w:sz="4" w:space="0"/>
              <w:right w:val="single" w:color="auto" w:sz="4" w:space="0"/>
            </w:tcBorders>
            <w:noWrap w:val="0"/>
            <w:vAlign w:val="center"/>
          </w:tcPr>
          <w:p w14:paraId="2FD5941B">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p>
        </w:tc>
        <w:tc>
          <w:tcPr>
            <w:tcW w:w="1791" w:type="dxa"/>
            <w:gridSpan w:val="2"/>
            <w:tcBorders>
              <w:top w:val="single" w:color="auto" w:sz="4" w:space="0"/>
              <w:left w:val="nil"/>
              <w:bottom w:val="single" w:color="auto" w:sz="4" w:space="0"/>
              <w:right w:val="single" w:color="auto" w:sz="4" w:space="0"/>
            </w:tcBorders>
            <w:noWrap w:val="0"/>
            <w:vAlign w:val="center"/>
          </w:tcPr>
          <w:p w14:paraId="5718C9EE">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113</w:t>
            </w:r>
          </w:p>
        </w:tc>
        <w:tc>
          <w:tcPr>
            <w:tcW w:w="2240" w:type="dxa"/>
            <w:gridSpan w:val="2"/>
            <w:tcBorders>
              <w:top w:val="single" w:color="auto" w:sz="4" w:space="0"/>
              <w:left w:val="nil"/>
              <w:bottom w:val="single" w:color="auto" w:sz="4" w:space="0"/>
              <w:right w:val="single" w:color="auto" w:sz="4" w:space="0"/>
            </w:tcBorders>
            <w:noWrap w:val="0"/>
            <w:vAlign w:val="center"/>
          </w:tcPr>
          <w:p w14:paraId="070EF47D">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105</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auto" w:sz="4" w:space="0"/>
            </w:tcBorders>
            <w:noWrap w:val="0"/>
            <w:vAlign w:val="center"/>
          </w:tcPr>
          <w:p w14:paraId="471B5F09">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92.92%</w:t>
            </w:r>
          </w:p>
        </w:tc>
      </w:tr>
      <w:tr w14:paraId="0B9891F5">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411FC516">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1791" w:type="dxa"/>
            <w:gridSpan w:val="2"/>
            <w:tcBorders>
              <w:top w:val="single" w:color="auto" w:sz="4" w:space="0"/>
              <w:left w:val="nil"/>
              <w:bottom w:val="single" w:color="auto" w:sz="4" w:space="0"/>
              <w:right w:val="single" w:color="000000" w:sz="4" w:space="0"/>
            </w:tcBorders>
            <w:noWrap w:val="0"/>
            <w:vAlign w:val="center"/>
          </w:tcPr>
          <w:p w14:paraId="79B46D2E">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4</w:t>
            </w:r>
            <w:r>
              <w:rPr>
                <w:rFonts w:hint="eastAsia" w:ascii="仿宋_GB2312" w:hAnsi="仿宋_GB2312" w:eastAsia="仿宋_GB2312" w:cs="仿宋_GB2312"/>
                <w:b/>
                <w:bCs/>
                <w:sz w:val="20"/>
                <w:szCs w:val="20"/>
                <w:highlight w:val="none"/>
              </w:rPr>
              <w:t>年决算数</w:t>
            </w:r>
          </w:p>
        </w:tc>
        <w:tc>
          <w:tcPr>
            <w:tcW w:w="2240" w:type="dxa"/>
            <w:gridSpan w:val="2"/>
            <w:tcBorders>
              <w:top w:val="single" w:color="auto" w:sz="4" w:space="0"/>
              <w:left w:val="nil"/>
              <w:bottom w:val="single" w:color="auto" w:sz="4" w:space="0"/>
              <w:right w:val="single" w:color="000000" w:sz="4" w:space="0"/>
            </w:tcBorders>
            <w:noWrap w:val="0"/>
            <w:vAlign w:val="center"/>
          </w:tcPr>
          <w:p w14:paraId="6F42AE85">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年预算数</w:t>
            </w:r>
          </w:p>
        </w:tc>
        <w:tc>
          <w:tcPr>
            <w:tcW w:w="2041" w:type="dxa"/>
            <w:gridSpan w:val="2"/>
            <w:tcBorders>
              <w:top w:val="single" w:color="auto" w:sz="4" w:space="0"/>
              <w:left w:val="nil"/>
              <w:bottom w:val="single" w:color="auto" w:sz="4" w:space="0"/>
              <w:right w:val="single" w:color="000000" w:sz="4" w:space="0"/>
            </w:tcBorders>
            <w:noWrap w:val="0"/>
            <w:vAlign w:val="center"/>
          </w:tcPr>
          <w:p w14:paraId="07E3A715">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年决算数</w:t>
            </w:r>
          </w:p>
        </w:tc>
      </w:tr>
      <w:tr w14:paraId="72C69A28">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243101E1">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1791" w:type="dxa"/>
            <w:gridSpan w:val="2"/>
            <w:tcBorders>
              <w:top w:val="single" w:color="auto" w:sz="4" w:space="0"/>
              <w:left w:val="nil"/>
              <w:bottom w:val="single" w:color="auto" w:sz="4" w:space="0"/>
              <w:right w:val="single" w:color="000000" w:sz="4" w:space="0"/>
            </w:tcBorders>
            <w:noWrap w:val="0"/>
            <w:vAlign w:val="center"/>
          </w:tcPr>
          <w:p w14:paraId="78419919">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1.33</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6EE2746C">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0.2</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3286ECDA">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r>
      <w:tr w14:paraId="42825FB1">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478DCDEB">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1791" w:type="dxa"/>
            <w:gridSpan w:val="2"/>
            <w:tcBorders>
              <w:top w:val="single" w:color="auto" w:sz="4" w:space="0"/>
              <w:left w:val="nil"/>
              <w:bottom w:val="single" w:color="auto" w:sz="4" w:space="0"/>
              <w:right w:val="single" w:color="000000" w:sz="4" w:space="0"/>
            </w:tcBorders>
            <w:noWrap w:val="0"/>
            <w:vAlign w:val="center"/>
          </w:tcPr>
          <w:p w14:paraId="3352011B">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06D076C4">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4769B095">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39D2B9E7">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1F0A6D90">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1791" w:type="dxa"/>
            <w:gridSpan w:val="2"/>
            <w:tcBorders>
              <w:top w:val="single" w:color="auto" w:sz="4" w:space="0"/>
              <w:left w:val="nil"/>
              <w:bottom w:val="single" w:color="auto" w:sz="4" w:space="0"/>
              <w:right w:val="single" w:color="000000" w:sz="4" w:space="0"/>
            </w:tcBorders>
            <w:noWrap w:val="0"/>
            <w:vAlign w:val="center"/>
          </w:tcPr>
          <w:p w14:paraId="4912934A">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0C49B60F">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108B277A">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680A6811">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2D13DCEA">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1791" w:type="dxa"/>
            <w:gridSpan w:val="2"/>
            <w:tcBorders>
              <w:top w:val="single" w:color="auto" w:sz="4" w:space="0"/>
              <w:left w:val="nil"/>
              <w:bottom w:val="single" w:color="auto" w:sz="4" w:space="0"/>
              <w:right w:val="single" w:color="000000" w:sz="4" w:space="0"/>
            </w:tcBorders>
            <w:noWrap w:val="0"/>
            <w:vAlign w:val="center"/>
          </w:tcPr>
          <w:p w14:paraId="1C5784DD">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1.33</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5B3A316C">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759FFD3A">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0E78958E">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6F936080">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1791" w:type="dxa"/>
            <w:gridSpan w:val="2"/>
            <w:tcBorders>
              <w:top w:val="single" w:color="auto" w:sz="4" w:space="0"/>
              <w:left w:val="nil"/>
              <w:bottom w:val="single" w:color="auto" w:sz="4" w:space="0"/>
              <w:right w:val="single" w:color="000000" w:sz="4" w:space="0"/>
            </w:tcBorders>
            <w:noWrap w:val="0"/>
            <w:vAlign w:val="center"/>
          </w:tcPr>
          <w:p w14:paraId="2D53E3DD">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35F8AC8B">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0F8C7346">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171A6401">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78258910">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1791" w:type="dxa"/>
            <w:gridSpan w:val="2"/>
            <w:tcBorders>
              <w:top w:val="single" w:color="auto" w:sz="4" w:space="0"/>
              <w:left w:val="nil"/>
              <w:bottom w:val="single" w:color="auto" w:sz="4" w:space="0"/>
              <w:right w:val="single" w:color="000000" w:sz="4" w:space="0"/>
            </w:tcBorders>
            <w:noWrap w:val="0"/>
            <w:vAlign w:val="center"/>
          </w:tcPr>
          <w:p w14:paraId="078D506E">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073152C4">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0.2</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363089D6">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r>
      <w:tr w14:paraId="4A2D54D5">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461454AB">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1791" w:type="dxa"/>
            <w:gridSpan w:val="2"/>
            <w:tcBorders>
              <w:top w:val="single" w:color="auto" w:sz="4" w:space="0"/>
              <w:left w:val="nil"/>
              <w:bottom w:val="single" w:color="auto" w:sz="4" w:space="0"/>
              <w:right w:val="single" w:color="000000" w:sz="4" w:space="0"/>
            </w:tcBorders>
            <w:noWrap w:val="0"/>
            <w:vAlign w:val="center"/>
          </w:tcPr>
          <w:p w14:paraId="16E63DDE">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09274374">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187BA53B">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74B7489F">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2D8CB2A7">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1、业务工作经费</w:t>
            </w:r>
          </w:p>
        </w:tc>
        <w:tc>
          <w:tcPr>
            <w:tcW w:w="1791" w:type="dxa"/>
            <w:gridSpan w:val="2"/>
            <w:tcBorders>
              <w:top w:val="single" w:color="auto" w:sz="4" w:space="0"/>
              <w:left w:val="nil"/>
              <w:bottom w:val="single" w:color="auto" w:sz="4" w:space="0"/>
              <w:right w:val="single" w:color="000000" w:sz="4" w:space="0"/>
            </w:tcBorders>
            <w:noWrap w:val="0"/>
            <w:vAlign w:val="center"/>
          </w:tcPr>
          <w:p w14:paraId="6C821CC2">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44AB4CDE">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2E665C1D">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73AF04C7">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5D72EC93">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2、运行维护经费</w:t>
            </w:r>
          </w:p>
        </w:tc>
        <w:tc>
          <w:tcPr>
            <w:tcW w:w="1791" w:type="dxa"/>
            <w:gridSpan w:val="2"/>
            <w:tcBorders>
              <w:top w:val="single" w:color="auto" w:sz="4" w:space="0"/>
              <w:left w:val="nil"/>
              <w:bottom w:val="single" w:color="auto" w:sz="4" w:space="0"/>
              <w:right w:val="single" w:color="000000" w:sz="4" w:space="0"/>
            </w:tcBorders>
            <w:noWrap w:val="0"/>
            <w:vAlign w:val="center"/>
          </w:tcPr>
          <w:p w14:paraId="4624E8E0">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00AABCA4">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56EDC17A">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7163D258">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5B5E06B8"/>
        </w:tc>
        <w:tc>
          <w:tcPr>
            <w:tcW w:w="1791" w:type="dxa"/>
            <w:gridSpan w:val="2"/>
            <w:tcBorders>
              <w:top w:val="single" w:color="auto" w:sz="4" w:space="0"/>
              <w:left w:val="nil"/>
              <w:bottom w:val="single" w:color="auto" w:sz="4" w:space="0"/>
              <w:right w:val="single" w:color="000000" w:sz="4" w:space="0"/>
            </w:tcBorders>
            <w:noWrap w:val="0"/>
            <w:vAlign w:val="center"/>
          </w:tcPr>
          <w:p w14:paraId="1658C2DB"/>
        </w:tc>
        <w:tc>
          <w:tcPr>
            <w:tcW w:w="2240" w:type="dxa"/>
            <w:gridSpan w:val="2"/>
            <w:tcBorders>
              <w:top w:val="single" w:color="auto" w:sz="4" w:space="0"/>
              <w:left w:val="nil"/>
              <w:bottom w:val="single" w:color="auto" w:sz="4" w:space="0"/>
              <w:right w:val="single" w:color="000000" w:sz="4" w:space="0"/>
            </w:tcBorders>
            <w:noWrap w:val="0"/>
            <w:vAlign w:val="center"/>
          </w:tcPr>
          <w:p w14:paraId="7A98F755"/>
        </w:tc>
        <w:tc>
          <w:tcPr>
            <w:tcW w:w="2041" w:type="dxa"/>
            <w:gridSpan w:val="2"/>
            <w:tcBorders>
              <w:top w:val="single" w:color="auto" w:sz="4" w:space="0"/>
              <w:left w:val="nil"/>
              <w:bottom w:val="single" w:color="auto" w:sz="4" w:space="0"/>
              <w:right w:val="single" w:color="000000" w:sz="4" w:space="0"/>
            </w:tcBorders>
            <w:noWrap w:val="0"/>
            <w:vAlign w:val="center"/>
          </w:tcPr>
          <w:p w14:paraId="6A244CE0"/>
        </w:tc>
      </w:tr>
      <w:tr w14:paraId="1B84C6DD">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1DCECC10">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w:t>
            </w:r>
            <w:r>
              <w:rPr>
                <w:rFonts w:hint="eastAsia" w:ascii="仿宋_GB2312" w:hAnsi="仿宋_GB2312" w:eastAsia="仿宋_GB2312" w:cs="仿宋_GB2312"/>
                <w:sz w:val="20"/>
                <w:szCs w:val="20"/>
                <w:highlight w:val="none"/>
                <w:lang w:eastAsia="zh-CN"/>
              </w:rPr>
              <w:t>市级</w:t>
            </w:r>
            <w:r>
              <w:rPr>
                <w:rFonts w:hint="eastAsia" w:ascii="仿宋_GB2312" w:hAnsi="仿宋_GB2312" w:eastAsia="仿宋_GB2312" w:cs="仿宋_GB2312"/>
                <w:sz w:val="20"/>
                <w:szCs w:val="20"/>
                <w:highlight w:val="none"/>
              </w:rPr>
              <w:t>专项资金（一个专项一行）</w:t>
            </w:r>
          </w:p>
        </w:tc>
        <w:tc>
          <w:tcPr>
            <w:tcW w:w="1791" w:type="dxa"/>
            <w:gridSpan w:val="2"/>
            <w:tcBorders>
              <w:top w:val="single" w:color="auto" w:sz="4" w:space="0"/>
              <w:left w:val="nil"/>
              <w:bottom w:val="single" w:color="auto" w:sz="4" w:space="0"/>
              <w:right w:val="single" w:color="000000" w:sz="4" w:space="0"/>
            </w:tcBorders>
            <w:noWrap w:val="0"/>
            <w:vAlign w:val="center"/>
          </w:tcPr>
          <w:p w14:paraId="4923A2E9">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5D67F695">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3F01015E">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3B684F44">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5EAD61B3">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(1)非税收入征收成本（不动产登记费）</w:t>
            </w:r>
          </w:p>
        </w:tc>
        <w:tc>
          <w:tcPr>
            <w:tcW w:w="1791" w:type="dxa"/>
            <w:gridSpan w:val="2"/>
            <w:tcBorders>
              <w:top w:val="single" w:color="auto" w:sz="4" w:space="0"/>
              <w:left w:val="nil"/>
              <w:bottom w:val="single" w:color="auto" w:sz="4" w:space="0"/>
              <w:right w:val="single" w:color="000000" w:sz="4" w:space="0"/>
            </w:tcBorders>
            <w:noWrap w:val="0"/>
            <w:vAlign w:val="center"/>
          </w:tcPr>
          <w:p w14:paraId="22383B65">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p>
        </w:tc>
        <w:tc>
          <w:tcPr>
            <w:tcW w:w="2240" w:type="dxa"/>
            <w:gridSpan w:val="2"/>
            <w:tcBorders>
              <w:top w:val="single" w:color="auto" w:sz="4" w:space="0"/>
              <w:left w:val="nil"/>
              <w:bottom w:val="single" w:color="auto" w:sz="4" w:space="0"/>
              <w:right w:val="single" w:color="000000" w:sz="4" w:space="0"/>
            </w:tcBorders>
            <w:noWrap w:val="0"/>
            <w:vAlign w:val="center"/>
          </w:tcPr>
          <w:p w14:paraId="09F7FDC6">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15.75</w:t>
            </w:r>
          </w:p>
        </w:tc>
        <w:tc>
          <w:tcPr>
            <w:tcW w:w="2041" w:type="dxa"/>
            <w:gridSpan w:val="2"/>
            <w:tcBorders>
              <w:top w:val="single" w:color="auto" w:sz="4" w:space="0"/>
              <w:left w:val="nil"/>
              <w:bottom w:val="single" w:color="auto" w:sz="4" w:space="0"/>
              <w:right w:val="single" w:color="000000" w:sz="4" w:space="0"/>
            </w:tcBorders>
            <w:noWrap w:val="0"/>
            <w:vAlign w:val="center"/>
          </w:tcPr>
          <w:p w14:paraId="0256ABA2">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p>
        </w:tc>
      </w:tr>
      <w:tr w14:paraId="07B0410A">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2A6DAB9D">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eastAsia="zh-CN"/>
              </w:rPr>
              <w:t>（</w:t>
            </w:r>
            <w:r>
              <w:rPr>
                <w:rFonts w:hint="eastAsia" w:ascii="仿宋_GB2312" w:hAnsi="仿宋_GB2312" w:eastAsia="仿宋_GB2312" w:cs="仿宋_GB2312"/>
                <w:sz w:val="20"/>
                <w:szCs w:val="20"/>
                <w:highlight w:val="none"/>
                <w:lang w:val="en-US" w:eastAsia="zh-CN"/>
              </w:rPr>
              <w:t>2</w:t>
            </w:r>
            <w:r>
              <w:rPr>
                <w:rFonts w:hint="eastAsia" w:ascii="仿宋_GB2312" w:hAnsi="仿宋_GB2312" w:eastAsia="仿宋_GB2312" w:cs="仿宋_GB2312"/>
                <w:sz w:val="20"/>
                <w:szCs w:val="20"/>
                <w:highlight w:val="none"/>
                <w:lang w:eastAsia="zh-CN"/>
              </w:rPr>
              <w:t>）地下车位登记契税补贴</w:t>
            </w:r>
          </w:p>
        </w:tc>
        <w:tc>
          <w:tcPr>
            <w:tcW w:w="1791" w:type="dxa"/>
            <w:gridSpan w:val="2"/>
            <w:tcBorders>
              <w:top w:val="single" w:color="auto" w:sz="4" w:space="0"/>
              <w:left w:val="nil"/>
              <w:bottom w:val="single" w:color="auto" w:sz="4" w:space="0"/>
              <w:right w:val="single" w:color="000000" w:sz="4" w:space="0"/>
            </w:tcBorders>
            <w:noWrap w:val="0"/>
            <w:vAlign w:val="center"/>
          </w:tcPr>
          <w:p w14:paraId="66C752E2">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p>
        </w:tc>
        <w:tc>
          <w:tcPr>
            <w:tcW w:w="2240" w:type="dxa"/>
            <w:gridSpan w:val="2"/>
            <w:tcBorders>
              <w:top w:val="single" w:color="auto" w:sz="4" w:space="0"/>
              <w:left w:val="nil"/>
              <w:bottom w:val="single" w:color="auto" w:sz="4" w:space="0"/>
              <w:right w:val="single" w:color="000000" w:sz="4" w:space="0"/>
            </w:tcBorders>
            <w:noWrap w:val="0"/>
            <w:vAlign w:val="center"/>
          </w:tcPr>
          <w:p w14:paraId="5330D90E">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p>
        </w:tc>
        <w:tc>
          <w:tcPr>
            <w:tcW w:w="2041" w:type="dxa"/>
            <w:gridSpan w:val="2"/>
            <w:tcBorders>
              <w:top w:val="single" w:color="auto" w:sz="4" w:space="0"/>
              <w:left w:val="nil"/>
              <w:bottom w:val="single" w:color="auto" w:sz="4" w:space="0"/>
              <w:right w:val="single" w:color="000000" w:sz="4" w:space="0"/>
            </w:tcBorders>
            <w:noWrap w:val="0"/>
            <w:vAlign w:val="center"/>
          </w:tcPr>
          <w:p w14:paraId="558ED2EC">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1.28</w:t>
            </w:r>
          </w:p>
        </w:tc>
      </w:tr>
      <w:tr w14:paraId="1457CA13">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5AB95E2D">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18"/>
                <w:szCs w:val="18"/>
                <w:highlight w:val="none"/>
                <w:lang w:eastAsia="zh-CN"/>
              </w:rPr>
              <w:t>（</w:t>
            </w:r>
            <w:r>
              <w:rPr>
                <w:rFonts w:hint="eastAsia" w:ascii="仿宋_GB2312" w:hAnsi="仿宋_GB2312" w:eastAsia="仿宋_GB2312" w:cs="仿宋_GB2312"/>
                <w:sz w:val="18"/>
                <w:szCs w:val="18"/>
                <w:highlight w:val="none"/>
                <w:lang w:val="en-US" w:eastAsia="zh-CN"/>
              </w:rPr>
              <w:t>3</w:t>
            </w:r>
            <w:r>
              <w:rPr>
                <w:rFonts w:hint="eastAsia" w:ascii="仿宋_GB2312" w:hAnsi="仿宋_GB2312" w:eastAsia="仿宋_GB2312" w:cs="仿宋_GB2312"/>
                <w:sz w:val="18"/>
                <w:szCs w:val="18"/>
                <w:highlight w:val="none"/>
                <w:lang w:eastAsia="zh-CN"/>
              </w:rPr>
              <w:t>）接入湖南省不动产一库一平台项目</w:t>
            </w:r>
          </w:p>
        </w:tc>
        <w:tc>
          <w:tcPr>
            <w:tcW w:w="1791" w:type="dxa"/>
            <w:gridSpan w:val="2"/>
            <w:tcBorders>
              <w:top w:val="single" w:color="auto" w:sz="4" w:space="0"/>
              <w:left w:val="nil"/>
              <w:bottom w:val="single" w:color="auto" w:sz="4" w:space="0"/>
              <w:right w:val="single" w:color="000000" w:sz="4" w:space="0"/>
            </w:tcBorders>
            <w:noWrap w:val="0"/>
            <w:vAlign w:val="center"/>
          </w:tcPr>
          <w:p w14:paraId="6A9CC8D1">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p>
        </w:tc>
        <w:tc>
          <w:tcPr>
            <w:tcW w:w="2240" w:type="dxa"/>
            <w:gridSpan w:val="2"/>
            <w:tcBorders>
              <w:top w:val="single" w:color="auto" w:sz="4" w:space="0"/>
              <w:left w:val="nil"/>
              <w:bottom w:val="single" w:color="auto" w:sz="4" w:space="0"/>
              <w:right w:val="single" w:color="000000" w:sz="4" w:space="0"/>
            </w:tcBorders>
            <w:noWrap w:val="0"/>
            <w:vAlign w:val="center"/>
          </w:tcPr>
          <w:p w14:paraId="1B7F26C1">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p>
        </w:tc>
        <w:tc>
          <w:tcPr>
            <w:tcW w:w="2041" w:type="dxa"/>
            <w:gridSpan w:val="2"/>
            <w:tcBorders>
              <w:top w:val="single" w:color="auto" w:sz="4" w:space="0"/>
              <w:left w:val="nil"/>
              <w:bottom w:val="single" w:color="auto" w:sz="4" w:space="0"/>
              <w:right w:val="single" w:color="000000" w:sz="4" w:space="0"/>
            </w:tcBorders>
            <w:noWrap w:val="0"/>
            <w:vAlign w:val="center"/>
          </w:tcPr>
          <w:p w14:paraId="508109E5">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100</w:t>
            </w:r>
          </w:p>
        </w:tc>
      </w:tr>
      <w:tr w14:paraId="0572E0CB">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675CB027">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1791" w:type="dxa"/>
            <w:gridSpan w:val="2"/>
            <w:tcBorders>
              <w:top w:val="single" w:color="auto" w:sz="4" w:space="0"/>
              <w:left w:val="nil"/>
              <w:bottom w:val="single" w:color="auto" w:sz="4" w:space="0"/>
              <w:right w:val="single" w:color="000000" w:sz="4" w:space="0"/>
            </w:tcBorders>
            <w:noWrap w:val="0"/>
            <w:vAlign w:val="center"/>
          </w:tcPr>
          <w:p w14:paraId="14BCADFA">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273.39</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06CA02E6">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166.43</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774BDBEC">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521.95</w:t>
            </w:r>
            <w:r>
              <w:rPr>
                <w:rFonts w:hint="eastAsia" w:ascii="仿宋_GB2312" w:hAnsi="仿宋_GB2312" w:eastAsia="仿宋_GB2312" w:cs="仿宋_GB2312"/>
                <w:sz w:val="20"/>
                <w:szCs w:val="20"/>
                <w:highlight w:val="none"/>
              </w:rPr>
              <w:t>　</w:t>
            </w:r>
          </w:p>
        </w:tc>
      </w:tr>
      <w:tr w14:paraId="1CA2A9DD">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3B835ED8">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其中：办公经费</w:t>
            </w:r>
          </w:p>
        </w:tc>
        <w:tc>
          <w:tcPr>
            <w:tcW w:w="1791" w:type="dxa"/>
            <w:gridSpan w:val="2"/>
            <w:tcBorders>
              <w:top w:val="single" w:color="auto" w:sz="4" w:space="0"/>
              <w:left w:val="nil"/>
              <w:bottom w:val="single" w:color="auto" w:sz="4" w:space="0"/>
              <w:right w:val="single" w:color="000000" w:sz="4" w:space="0"/>
            </w:tcBorders>
            <w:noWrap w:val="0"/>
            <w:vAlign w:val="center"/>
          </w:tcPr>
          <w:p w14:paraId="6DF92D32">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153.58</w:t>
            </w:r>
            <w:r>
              <w:rPr>
                <w:rFonts w:hint="eastAsia" w:ascii="仿宋_GB2312" w:hAnsi="仿宋_GB2312" w:eastAsia="仿宋_GB2312" w:cs="仿宋_GB2312"/>
                <w:color w:val="auto"/>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300E7838">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95.44</w:t>
            </w:r>
          </w:p>
        </w:tc>
        <w:tc>
          <w:tcPr>
            <w:tcW w:w="2041" w:type="dxa"/>
            <w:gridSpan w:val="2"/>
            <w:tcBorders>
              <w:top w:val="single" w:color="auto" w:sz="4" w:space="0"/>
              <w:left w:val="nil"/>
              <w:bottom w:val="single" w:color="auto" w:sz="4" w:space="0"/>
              <w:right w:val="single" w:color="000000" w:sz="4" w:space="0"/>
            </w:tcBorders>
            <w:noWrap w:val="0"/>
            <w:vAlign w:val="center"/>
          </w:tcPr>
          <w:p w14:paraId="29F178DA">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169.25</w:t>
            </w:r>
          </w:p>
        </w:tc>
      </w:tr>
      <w:tr w14:paraId="1DEDBF62">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0FBAE213">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1791" w:type="dxa"/>
            <w:gridSpan w:val="2"/>
            <w:tcBorders>
              <w:top w:val="single" w:color="auto" w:sz="4" w:space="0"/>
              <w:left w:val="nil"/>
              <w:bottom w:val="single" w:color="auto" w:sz="4" w:space="0"/>
              <w:right w:val="single" w:color="000000" w:sz="4" w:space="0"/>
            </w:tcBorders>
            <w:noWrap w:val="0"/>
            <w:vAlign w:val="center"/>
          </w:tcPr>
          <w:p w14:paraId="640E7EDE">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5.2</w:t>
            </w:r>
            <w:r>
              <w:rPr>
                <w:rFonts w:hint="eastAsia" w:ascii="仿宋_GB2312" w:hAnsi="仿宋_GB2312" w:eastAsia="仿宋_GB2312" w:cs="仿宋_GB2312"/>
                <w:color w:val="auto"/>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2FD1D929">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5.47</w:t>
            </w:r>
            <w:r>
              <w:rPr>
                <w:rFonts w:hint="eastAsia" w:ascii="仿宋_GB2312" w:hAnsi="仿宋_GB2312" w:eastAsia="仿宋_GB2312" w:cs="仿宋_GB2312"/>
                <w:color w:val="auto"/>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42597126">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14.78</w:t>
            </w:r>
            <w:r>
              <w:rPr>
                <w:rFonts w:hint="eastAsia" w:ascii="仿宋_GB2312" w:hAnsi="仿宋_GB2312" w:eastAsia="仿宋_GB2312" w:cs="仿宋_GB2312"/>
                <w:color w:val="auto"/>
                <w:sz w:val="20"/>
                <w:szCs w:val="20"/>
                <w:highlight w:val="none"/>
              </w:rPr>
              <w:t>　</w:t>
            </w:r>
          </w:p>
        </w:tc>
      </w:tr>
      <w:tr w14:paraId="4C6BCE49">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16445F64">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1791" w:type="dxa"/>
            <w:gridSpan w:val="2"/>
            <w:tcBorders>
              <w:top w:val="single" w:color="auto" w:sz="4" w:space="0"/>
              <w:left w:val="nil"/>
              <w:bottom w:val="single" w:color="auto" w:sz="4" w:space="0"/>
              <w:right w:val="single" w:color="000000" w:sz="4" w:space="0"/>
            </w:tcBorders>
            <w:noWrap w:val="0"/>
            <w:vAlign w:val="center"/>
          </w:tcPr>
          <w:p w14:paraId="68C8626F">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0.46</w:t>
            </w:r>
            <w:r>
              <w:rPr>
                <w:rFonts w:hint="eastAsia" w:ascii="仿宋_GB2312" w:hAnsi="仿宋_GB2312" w:eastAsia="仿宋_GB2312" w:cs="仿宋_GB2312"/>
                <w:color w:val="auto"/>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3C6256CD">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0.6</w:t>
            </w:r>
            <w:r>
              <w:rPr>
                <w:rFonts w:hint="eastAsia" w:ascii="仿宋_GB2312" w:hAnsi="仿宋_GB2312" w:eastAsia="仿宋_GB2312" w:cs="仿宋_GB2312"/>
                <w:color w:val="auto"/>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21E2FEE7">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0</w:t>
            </w:r>
            <w:r>
              <w:rPr>
                <w:rFonts w:hint="eastAsia" w:ascii="仿宋_GB2312" w:hAnsi="仿宋_GB2312" w:eastAsia="仿宋_GB2312" w:cs="仿宋_GB2312"/>
                <w:color w:val="auto"/>
                <w:sz w:val="20"/>
                <w:szCs w:val="20"/>
                <w:highlight w:val="none"/>
              </w:rPr>
              <w:t>　</w:t>
            </w:r>
          </w:p>
        </w:tc>
      </w:tr>
      <w:tr w14:paraId="74BAF4DD">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5E321AB3">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1791" w:type="dxa"/>
            <w:gridSpan w:val="2"/>
            <w:tcBorders>
              <w:top w:val="single" w:color="auto" w:sz="4" w:space="0"/>
              <w:left w:val="nil"/>
              <w:bottom w:val="single" w:color="auto" w:sz="4" w:space="0"/>
              <w:right w:val="single" w:color="000000" w:sz="4" w:space="0"/>
            </w:tcBorders>
            <w:noWrap w:val="0"/>
            <w:vAlign w:val="center"/>
          </w:tcPr>
          <w:p w14:paraId="44122AB2">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240" w:type="dxa"/>
            <w:gridSpan w:val="2"/>
            <w:tcBorders>
              <w:top w:val="single" w:color="auto" w:sz="4" w:space="0"/>
              <w:left w:val="nil"/>
              <w:bottom w:val="single" w:color="auto" w:sz="4" w:space="0"/>
              <w:right w:val="single" w:color="000000" w:sz="4" w:space="0"/>
            </w:tcBorders>
            <w:noWrap w:val="0"/>
            <w:vAlign w:val="center"/>
          </w:tcPr>
          <w:p w14:paraId="77918724">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280</w:t>
            </w:r>
          </w:p>
        </w:tc>
        <w:tc>
          <w:tcPr>
            <w:tcW w:w="2041" w:type="dxa"/>
            <w:gridSpan w:val="2"/>
            <w:tcBorders>
              <w:top w:val="single" w:color="auto" w:sz="4" w:space="0"/>
              <w:left w:val="nil"/>
              <w:bottom w:val="single" w:color="auto" w:sz="4" w:space="0"/>
              <w:right w:val="single" w:color="000000" w:sz="4" w:space="0"/>
            </w:tcBorders>
            <w:noWrap w:val="0"/>
            <w:vAlign w:val="center"/>
          </w:tcPr>
          <w:p w14:paraId="2C5863C8">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100</w:t>
            </w:r>
            <w:r>
              <w:rPr>
                <w:rFonts w:hint="eastAsia" w:ascii="仿宋_GB2312" w:hAnsi="仿宋_GB2312" w:eastAsia="仿宋_GB2312" w:cs="仿宋_GB2312"/>
                <w:sz w:val="20"/>
                <w:szCs w:val="20"/>
                <w:highlight w:val="none"/>
              </w:rPr>
              <w:t>　</w:t>
            </w:r>
          </w:p>
        </w:tc>
      </w:tr>
      <w:tr w14:paraId="3E8D2AF7">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5DA7E8B7">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部门基本支出预算调整 </w:t>
            </w:r>
          </w:p>
        </w:tc>
        <w:tc>
          <w:tcPr>
            <w:tcW w:w="1791" w:type="dxa"/>
            <w:gridSpan w:val="2"/>
            <w:tcBorders>
              <w:top w:val="single" w:color="auto" w:sz="4" w:space="0"/>
              <w:left w:val="nil"/>
              <w:bottom w:val="single" w:color="auto" w:sz="4" w:space="0"/>
              <w:right w:val="single" w:color="000000" w:sz="4" w:space="0"/>
            </w:tcBorders>
            <w:noWrap w:val="0"/>
            <w:vAlign w:val="center"/>
          </w:tcPr>
          <w:p w14:paraId="72F5B2AE">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240" w:type="dxa"/>
            <w:gridSpan w:val="2"/>
            <w:tcBorders>
              <w:top w:val="single" w:color="auto" w:sz="4" w:space="0"/>
              <w:left w:val="nil"/>
              <w:bottom w:val="single" w:color="auto" w:sz="4" w:space="0"/>
              <w:right w:val="single" w:color="000000" w:sz="4" w:space="0"/>
            </w:tcBorders>
            <w:noWrap w:val="0"/>
            <w:vAlign w:val="center"/>
          </w:tcPr>
          <w:p w14:paraId="1B393E79">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272</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14:paraId="1E2F9742">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36805A71">
        <w:tblPrEx>
          <w:tblCellMar>
            <w:top w:w="0" w:type="dxa"/>
            <w:left w:w="108" w:type="dxa"/>
            <w:bottom w:w="0" w:type="dxa"/>
            <w:right w:w="108" w:type="dxa"/>
          </w:tblCellMar>
        </w:tblPrEx>
        <w:trPr>
          <w:trHeight w:val="0" w:hRule="atLeast"/>
          <w:jc w:val="center"/>
        </w:trPr>
        <w:tc>
          <w:tcPr>
            <w:tcW w:w="3601" w:type="dxa"/>
            <w:vMerge w:val="restart"/>
            <w:tcBorders>
              <w:top w:val="nil"/>
              <w:left w:val="single" w:color="auto" w:sz="4" w:space="0"/>
              <w:bottom w:val="single" w:color="auto" w:sz="4" w:space="0"/>
              <w:right w:val="single" w:color="auto" w:sz="4" w:space="0"/>
            </w:tcBorders>
            <w:noWrap w:val="0"/>
            <w:vAlign w:val="center"/>
          </w:tcPr>
          <w:p w14:paraId="7E7A8C4D">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eastAsia" w:ascii="仿宋_GB2312" w:hAnsi="仿宋_GB2312" w:eastAsia="仿宋_GB2312" w:cs="仿宋_GB2312"/>
                <w:sz w:val="20"/>
                <w:szCs w:val="20"/>
                <w:highlight w:val="none"/>
                <w:lang w:val="en-US" w:eastAsia="zh-CN"/>
              </w:rPr>
              <w:t>5</w:t>
            </w:r>
            <w:r>
              <w:rPr>
                <w:rFonts w:hint="eastAsia" w:ascii="仿宋_GB2312" w:hAnsi="仿宋_GB2312" w:eastAsia="仿宋_GB2312" w:cs="仿宋_GB2312"/>
                <w:sz w:val="20"/>
                <w:szCs w:val="20"/>
                <w:highlight w:val="none"/>
              </w:rPr>
              <w:t>年完工项目）</w:t>
            </w:r>
          </w:p>
        </w:tc>
        <w:tc>
          <w:tcPr>
            <w:tcW w:w="942" w:type="dxa"/>
            <w:tcBorders>
              <w:top w:val="nil"/>
              <w:left w:val="nil"/>
              <w:bottom w:val="single" w:color="auto" w:sz="4" w:space="0"/>
              <w:right w:val="single" w:color="auto" w:sz="4" w:space="0"/>
            </w:tcBorders>
            <w:noWrap w:val="0"/>
            <w:vAlign w:val="center"/>
          </w:tcPr>
          <w:p w14:paraId="608BFD47">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49" w:type="dxa"/>
            <w:tcBorders>
              <w:top w:val="nil"/>
              <w:left w:val="nil"/>
              <w:bottom w:val="single" w:color="auto" w:sz="4" w:space="0"/>
              <w:right w:val="single" w:color="auto" w:sz="4" w:space="0"/>
            </w:tcBorders>
            <w:noWrap w:val="0"/>
            <w:vAlign w:val="center"/>
          </w:tcPr>
          <w:p w14:paraId="1CF97F60">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129" w:type="dxa"/>
            <w:tcBorders>
              <w:top w:val="nil"/>
              <w:left w:val="nil"/>
              <w:bottom w:val="single" w:color="auto" w:sz="4" w:space="0"/>
              <w:right w:val="single" w:color="auto" w:sz="4" w:space="0"/>
            </w:tcBorders>
            <w:noWrap w:val="0"/>
            <w:vAlign w:val="center"/>
          </w:tcPr>
          <w:p w14:paraId="6F0F824B">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tcBorders>
              <w:top w:val="nil"/>
              <w:left w:val="nil"/>
              <w:bottom w:val="single" w:color="auto" w:sz="4" w:space="0"/>
              <w:right w:val="single" w:color="auto" w:sz="4" w:space="0"/>
            </w:tcBorders>
            <w:noWrap w:val="0"/>
            <w:vAlign w:val="center"/>
          </w:tcPr>
          <w:p w14:paraId="1AE59469">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1081" w:type="dxa"/>
            <w:tcBorders>
              <w:top w:val="nil"/>
              <w:left w:val="nil"/>
              <w:bottom w:val="single" w:color="auto" w:sz="4" w:space="0"/>
              <w:right w:val="single" w:color="auto" w:sz="4" w:space="0"/>
            </w:tcBorders>
            <w:noWrap w:val="0"/>
            <w:vAlign w:val="center"/>
          </w:tcPr>
          <w:p w14:paraId="08DC5E82">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960" w:type="dxa"/>
            <w:tcBorders>
              <w:top w:val="nil"/>
              <w:left w:val="nil"/>
              <w:bottom w:val="single" w:color="auto" w:sz="4" w:space="0"/>
              <w:right w:val="single" w:color="auto" w:sz="4" w:space="0"/>
            </w:tcBorders>
            <w:noWrap w:val="0"/>
            <w:vAlign w:val="center"/>
          </w:tcPr>
          <w:p w14:paraId="19CED940">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14:paraId="4F8DB10F">
        <w:tblPrEx>
          <w:tblCellMar>
            <w:top w:w="0" w:type="dxa"/>
            <w:left w:w="108" w:type="dxa"/>
            <w:bottom w:w="0" w:type="dxa"/>
            <w:right w:w="108" w:type="dxa"/>
          </w:tblCellMar>
        </w:tblPrEx>
        <w:trPr>
          <w:trHeight w:val="0" w:hRule="atLeast"/>
          <w:jc w:val="center"/>
        </w:trPr>
        <w:tc>
          <w:tcPr>
            <w:tcW w:w="3601" w:type="dxa"/>
            <w:vMerge w:val="continue"/>
            <w:tcBorders>
              <w:top w:val="nil"/>
              <w:left w:val="single" w:color="auto" w:sz="4" w:space="0"/>
              <w:bottom w:val="single" w:color="auto" w:sz="4" w:space="0"/>
              <w:right w:val="single" w:color="auto" w:sz="4" w:space="0"/>
            </w:tcBorders>
            <w:noWrap w:val="0"/>
            <w:vAlign w:val="center"/>
          </w:tcPr>
          <w:p w14:paraId="36C31D57">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p>
        </w:tc>
        <w:tc>
          <w:tcPr>
            <w:tcW w:w="942" w:type="dxa"/>
            <w:tcBorders>
              <w:top w:val="nil"/>
              <w:left w:val="nil"/>
              <w:bottom w:val="single" w:color="auto" w:sz="4" w:space="0"/>
              <w:right w:val="single" w:color="auto" w:sz="4" w:space="0"/>
            </w:tcBorders>
            <w:noWrap w:val="0"/>
            <w:vAlign w:val="center"/>
          </w:tcPr>
          <w:p w14:paraId="28097CE6">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849" w:type="dxa"/>
            <w:tcBorders>
              <w:top w:val="nil"/>
              <w:left w:val="nil"/>
              <w:bottom w:val="single" w:color="auto" w:sz="4" w:space="0"/>
              <w:right w:val="single" w:color="auto" w:sz="4" w:space="0"/>
            </w:tcBorders>
            <w:noWrap w:val="0"/>
            <w:vAlign w:val="center"/>
          </w:tcPr>
          <w:p w14:paraId="59819F6F">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29" w:type="dxa"/>
            <w:tcBorders>
              <w:top w:val="nil"/>
              <w:left w:val="nil"/>
              <w:bottom w:val="single" w:color="auto" w:sz="4" w:space="0"/>
              <w:right w:val="single" w:color="auto" w:sz="4" w:space="0"/>
            </w:tcBorders>
            <w:noWrap w:val="0"/>
            <w:vAlign w:val="center"/>
          </w:tcPr>
          <w:p w14:paraId="72A9989C">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1111" w:type="dxa"/>
            <w:tcBorders>
              <w:top w:val="nil"/>
              <w:left w:val="nil"/>
              <w:bottom w:val="single" w:color="auto" w:sz="4" w:space="0"/>
              <w:right w:val="single" w:color="auto" w:sz="4" w:space="0"/>
            </w:tcBorders>
            <w:noWrap w:val="0"/>
            <w:vAlign w:val="center"/>
          </w:tcPr>
          <w:p w14:paraId="2DD5EB53">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1081" w:type="dxa"/>
            <w:tcBorders>
              <w:top w:val="nil"/>
              <w:left w:val="nil"/>
              <w:bottom w:val="single" w:color="auto" w:sz="4" w:space="0"/>
              <w:right w:val="single" w:color="auto" w:sz="4" w:space="0"/>
            </w:tcBorders>
            <w:noWrap w:val="0"/>
            <w:vAlign w:val="center"/>
          </w:tcPr>
          <w:p w14:paraId="4717CC28">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960" w:type="dxa"/>
            <w:tcBorders>
              <w:top w:val="nil"/>
              <w:left w:val="nil"/>
              <w:bottom w:val="single" w:color="auto" w:sz="4" w:space="0"/>
              <w:right w:val="single" w:color="auto" w:sz="4" w:space="0"/>
            </w:tcBorders>
            <w:noWrap w:val="0"/>
            <w:vAlign w:val="center"/>
          </w:tcPr>
          <w:p w14:paraId="0F2905D8">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14:paraId="1A2F792C">
        <w:tblPrEx>
          <w:tblCellMar>
            <w:top w:w="0" w:type="dxa"/>
            <w:left w:w="108" w:type="dxa"/>
            <w:bottom w:w="0" w:type="dxa"/>
            <w:right w:w="108" w:type="dxa"/>
          </w:tblCellMar>
        </w:tblPrEx>
        <w:trPr>
          <w:trHeight w:val="0" w:hRule="atLeast"/>
          <w:jc w:val="center"/>
        </w:trPr>
        <w:tc>
          <w:tcPr>
            <w:tcW w:w="3601" w:type="dxa"/>
            <w:tcBorders>
              <w:top w:val="nil"/>
              <w:left w:val="single" w:color="auto" w:sz="4" w:space="0"/>
              <w:bottom w:val="single" w:color="auto" w:sz="4" w:space="0"/>
              <w:right w:val="single" w:color="auto" w:sz="4" w:space="0"/>
            </w:tcBorders>
            <w:noWrap w:val="0"/>
            <w:vAlign w:val="center"/>
          </w:tcPr>
          <w:p w14:paraId="6E9E6D04">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072" w:type="dxa"/>
            <w:gridSpan w:val="6"/>
            <w:tcBorders>
              <w:top w:val="single" w:color="auto" w:sz="4" w:space="0"/>
              <w:left w:val="nil"/>
              <w:bottom w:val="single" w:color="auto" w:sz="4" w:space="0"/>
              <w:right w:val="single" w:color="000000" w:sz="4" w:space="0"/>
            </w:tcBorders>
            <w:noWrap w:val="0"/>
            <w:vAlign w:val="center"/>
          </w:tcPr>
          <w:p w14:paraId="3A11A9E3">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18"/>
                <w:szCs w:val="18"/>
                <w:highlight w:val="none"/>
              </w:rPr>
            </w:pPr>
            <w:r>
              <w:rPr>
                <w:rFonts w:hint="eastAsia" w:ascii="仿宋_GB2312" w:hAnsi="仿宋_GB2312" w:eastAsia="仿宋_GB2312" w:cs="仿宋_GB2312"/>
                <w:sz w:val="18"/>
                <w:szCs w:val="18"/>
                <w:highlight w:val="none"/>
                <w:lang w:val="en-US" w:eastAsia="zh-CN"/>
              </w:rPr>
              <w:t>1、严控预算执行；2、压缩日常开支；3、规范资产配置；4、强化监督检查</w:t>
            </w:r>
            <w:r>
              <w:rPr>
                <w:rFonts w:hint="eastAsia" w:ascii="仿宋_GB2312" w:hAnsi="仿宋_GB2312" w:eastAsia="仿宋_GB2312" w:cs="仿宋_GB2312"/>
                <w:sz w:val="18"/>
                <w:szCs w:val="18"/>
                <w:highlight w:val="none"/>
              </w:rPr>
              <w:t>　</w:t>
            </w:r>
          </w:p>
        </w:tc>
      </w:tr>
    </w:tbl>
    <w:p w14:paraId="1119C7D7">
      <w:pPr>
        <w:keepNext w:val="0"/>
        <w:keepLines w:val="0"/>
        <w:pageBreakBefore w:val="0"/>
        <w:widowControl w:val="0"/>
        <w:kinsoku/>
        <w:overflowPunct/>
        <w:topLinePunct w:val="0"/>
        <w:autoSpaceDE/>
        <w:autoSpaceDN/>
        <w:bidi w:val="0"/>
        <w:adjustRightInd/>
        <w:snapToGrid/>
        <w:spacing w:afterLines="0" w:line="400" w:lineRule="exact"/>
        <w:ind w:left="660" w:hanging="660" w:hangingChars="300"/>
        <w:jc w:val="left"/>
        <w:textAlignment w:val="auto"/>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说明：“项目支出”需要填报基本支出以外的所有项目支出情况，“公用经费”填报基本支出中的一般商品和服务支出。</w:t>
      </w:r>
    </w:p>
    <w:p w14:paraId="16021D7F">
      <w:pPr>
        <w:keepNext w:val="0"/>
        <w:keepLines w:val="0"/>
        <w:pageBreakBefore w:val="0"/>
        <w:widowControl w:val="0"/>
        <w:kinsoku/>
        <w:overflowPunct/>
        <w:topLinePunct w:val="0"/>
        <w:autoSpaceDE/>
        <w:autoSpaceDN/>
        <w:bidi w:val="0"/>
        <w:adjustRightInd/>
        <w:snapToGrid/>
        <w:spacing w:afterLines="0" w:line="400" w:lineRule="exact"/>
        <w:ind w:left="660" w:hanging="660" w:hangingChars="300"/>
        <w:jc w:val="left"/>
        <w:textAlignment w:val="auto"/>
        <w:rPr>
          <w:rFonts w:hint="default" w:ascii="Times New Roman" w:hAnsi="Times New Roman" w:eastAsia="仿宋_GB2312" w:cs="Times New Roman"/>
          <w:sz w:val="22"/>
          <w:highlight w:val="none"/>
        </w:rPr>
      </w:pPr>
    </w:p>
    <w:p w14:paraId="7034B557">
      <w:pPr>
        <w:keepNext w:val="0"/>
        <w:keepLines w:val="0"/>
        <w:pageBreakBefore w:val="0"/>
        <w:widowControl w:val="0"/>
        <w:kinsoku/>
        <w:overflowPunct/>
        <w:topLinePunct w:val="0"/>
        <w:autoSpaceDE/>
        <w:autoSpaceDN/>
        <w:bidi w:val="0"/>
        <w:adjustRightInd/>
        <w:snapToGrid/>
        <w:spacing w:afterLines="0" w:line="400" w:lineRule="exact"/>
        <w:ind w:left="660" w:hanging="660" w:hangingChars="300"/>
        <w:jc w:val="left"/>
        <w:textAlignment w:val="auto"/>
        <w:rPr>
          <w:rFonts w:hint="default" w:ascii="Times New Roman" w:hAnsi="Times New Roman" w:eastAsia="仿宋_GB2312" w:cs="Times New Roman"/>
          <w:sz w:val="22"/>
          <w:highlight w:val="none"/>
        </w:rPr>
      </w:pPr>
    </w:p>
    <w:p w14:paraId="0B196C8F">
      <w:pPr>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填表人：</w:t>
      </w:r>
      <w:r>
        <w:rPr>
          <w:rFonts w:hint="eastAsia" w:eastAsia="仿宋_GB2312" w:cs="Times New Roman"/>
          <w:sz w:val="22"/>
          <w:highlight w:val="none"/>
          <w:lang w:val="en-US" w:eastAsia="zh-CN"/>
        </w:rPr>
        <w:t xml:space="preserve">   </w:t>
      </w:r>
      <w:r>
        <w:rPr>
          <w:rFonts w:hint="default" w:ascii="Times New Roman" w:hAnsi="Times New Roman" w:eastAsia="仿宋_GB2312" w:cs="Times New Roman"/>
          <w:sz w:val="22"/>
          <w:highlight w:val="none"/>
        </w:rPr>
        <w:t xml:space="preserve">  填报日期：          联系电话：            单位负责人签字：</w:t>
      </w:r>
    </w:p>
    <w:p w14:paraId="007D2080">
      <w:pPr>
        <w:keepNext w:val="0"/>
        <w:keepLines w:val="0"/>
        <w:pageBreakBefore w:val="0"/>
        <w:widowControl w:val="0"/>
        <w:kinsoku/>
        <w:overflowPunct/>
        <w:topLinePunct w:val="0"/>
        <w:autoSpaceDE/>
        <w:autoSpaceDN/>
        <w:bidi w:val="0"/>
        <w:adjustRightInd/>
        <w:snapToGrid/>
        <w:spacing w:after="0" w:afterLines="0" w:line="400" w:lineRule="exact"/>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14:paraId="43652811">
      <w:pPr>
        <w:keepNext w:val="0"/>
        <w:keepLines w:val="0"/>
        <w:pageBreakBefore w:val="0"/>
        <w:widowControl w:val="0"/>
        <w:kinsoku/>
        <w:overflowPunct/>
        <w:topLinePunct w:val="0"/>
        <w:autoSpaceDE/>
        <w:autoSpaceDN/>
        <w:bidi w:val="0"/>
        <w:adjustRightInd/>
        <w:snapToGrid/>
        <w:spacing w:after="0" w:afterLines="0" w:line="400" w:lineRule="exact"/>
        <w:jc w:val="left"/>
        <w:textAlignment w:val="auto"/>
        <w:rPr>
          <w:rFonts w:hint="eastAsia" w:ascii="黑体" w:hAnsi="黑体" w:eastAsia="黑体" w:cs="黑体"/>
          <w:sz w:val="32"/>
          <w:szCs w:val="32"/>
          <w:highlight w:val="none"/>
          <w:lang w:val="en-US" w:eastAsia="zh-CN"/>
        </w:rPr>
      </w:pPr>
    </w:p>
    <w:p w14:paraId="4B8F1EEE">
      <w:pPr>
        <w:keepNext w:val="0"/>
        <w:keepLines w:val="0"/>
        <w:pageBreakBefore w:val="0"/>
        <w:widowControl w:val="0"/>
        <w:kinsoku/>
        <w:overflowPunct/>
        <w:topLinePunct w:val="0"/>
        <w:autoSpaceDE/>
        <w:autoSpaceDN/>
        <w:bidi w:val="0"/>
        <w:adjustRightInd/>
        <w:snapToGrid/>
        <w:spacing w:after="120" w:afterLines="50"/>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5"/>
        <w:tblW w:w="10079" w:type="dxa"/>
        <w:jc w:val="center"/>
        <w:tblLayout w:type="autofit"/>
        <w:tblCellMar>
          <w:top w:w="0" w:type="dxa"/>
          <w:left w:w="108" w:type="dxa"/>
          <w:bottom w:w="0" w:type="dxa"/>
          <w:right w:w="108" w:type="dxa"/>
        </w:tblCellMar>
      </w:tblPr>
      <w:tblGrid>
        <w:gridCol w:w="1080"/>
        <w:gridCol w:w="1080"/>
        <w:gridCol w:w="1034"/>
        <w:gridCol w:w="1270"/>
        <w:gridCol w:w="1311"/>
        <w:gridCol w:w="1269"/>
        <w:gridCol w:w="716"/>
        <w:gridCol w:w="873"/>
        <w:gridCol w:w="1446"/>
      </w:tblGrid>
      <w:tr w14:paraId="5530931A">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1D9BCC1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级预算部门名称</w:t>
            </w:r>
          </w:p>
        </w:tc>
        <w:tc>
          <w:tcPr>
            <w:tcW w:w="8999" w:type="dxa"/>
            <w:gridSpan w:val="8"/>
            <w:tcBorders>
              <w:top w:val="single" w:color="auto" w:sz="4" w:space="0"/>
              <w:left w:val="nil"/>
              <w:bottom w:val="single" w:color="auto" w:sz="4" w:space="0"/>
              <w:right w:val="single" w:color="auto" w:sz="4" w:space="0"/>
            </w:tcBorders>
            <w:noWrap w:val="0"/>
            <w:vAlign w:val="center"/>
          </w:tcPr>
          <w:p w14:paraId="5D537A90">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岳阳市不动产登记中心</w:t>
            </w:r>
            <w:r>
              <w:rPr>
                <w:rFonts w:hint="eastAsia" w:ascii="仿宋_GB2312" w:hAnsi="仿宋_GB2312" w:eastAsia="仿宋_GB2312" w:cs="仿宋_GB2312"/>
                <w:color w:val="000000"/>
                <w:sz w:val="20"/>
                <w:szCs w:val="20"/>
                <w:highlight w:val="none"/>
              </w:rPr>
              <w:t>　</w:t>
            </w:r>
          </w:p>
        </w:tc>
      </w:tr>
      <w:tr w14:paraId="4B35410C">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14:paraId="6E1A7201">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年度预</w:t>
            </w:r>
          </w:p>
          <w:p w14:paraId="766B1AE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算申请</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14" w:type="dxa"/>
            <w:gridSpan w:val="2"/>
            <w:tcBorders>
              <w:top w:val="nil"/>
              <w:left w:val="nil"/>
              <w:bottom w:val="single" w:color="auto" w:sz="4" w:space="0"/>
              <w:right w:val="single" w:color="auto" w:sz="4" w:space="0"/>
            </w:tcBorders>
            <w:noWrap w:val="0"/>
            <w:vAlign w:val="center"/>
          </w:tcPr>
          <w:p w14:paraId="0F7927B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p>
        </w:tc>
        <w:tc>
          <w:tcPr>
            <w:tcW w:w="1270" w:type="dxa"/>
            <w:tcBorders>
              <w:top w:val="nil"/>
              <w:left w:val="nil"/>
              <w:bottom w:val="single" w:color="auto" w:sz="4" w:space="0"/>
              <w:right w:val="single" w:color="auto" w:sz="4" w:space="0"/>
            </w:tcBorders>
            <w:noWrap w:val="0"/>
            <w:vAlign w:val="center"/>
          </w:tcPr>
          <w:p w14:paraId="420410A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年初预算数</w:t>
            </w:r>
          </w:p>
        </w:tc>
        <w:tc>
          <w:tcPr>
            <w:tcW w:w="1311" w:type="dxa"/>
            <w:tcBorders>
              <w:top w:val="nil"/>
              <w:left w:val="nil"/>
              <w:bottom w:val="single" w:color="auto" w:sz="4" w:space="0"/>
              <w:right w:val="single" w:color="auto" w:sz="4" w:space="0"/>
            </w:tcBorders>
            <w:noWrap w:val="0"/>
            <w:vAlign w:val="center"/>
          </w:tcPr>
          <w:p w14:paraId="41A80142">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全年预算数</w:t>
            </w:r>
          </w:p>
        </w:tc>
        <w:tc>
          <w:tcPr>
            <w:tcW w:w="1269" w:type="dxa"/>
            <w:tcBorders>
              <w:top w:val="nil"/>
              <w:left w:val="nil"/>
              <w:bottom w:val="single" w:color="auto" w:sz="4" w:space="0"/>
              <w:right w:val="single" w:color="auto" w:sz="4" w:space="0"/>
            </w:tcBorders>
            <w:noWrap w:val="0"/>
            <w:vAlign w:val="center"/>
          </w:tcPr>
          <w:p w14:paraId="7E55F9C0">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全年执行数</w:t>
            </w:r>
          </w:p>
        </w:tc>
        <w:tc>
          <w:tcPr>
            <w:tcW w:w="716" w:type="dxa"/>
            <w:tcBorders>
              <w:top w:val="nil"/>
              <w:left w:val="nil"/>
              <w:bottom w:val="single" w:color="auto" w:sz="4" w:space="0"/>
              <w:right w:val="single" w:color="auto" w:sz="4" w:space="0"/>
            </w:tcBorders>
            <w:noWrap w:val="0"/>
            <w:vAlign w:val="center"/>
          </w:tcPr>
          <w:p w14:paraId="0ED634B1">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nil"/>
              <w:left w:val="nil"/>
              <w:bottom w:val="single" w:color="auto" w:sz="4" w:space="0"/>
              <w:right w:val="single" w:color="auto" w:sz="4" w:space="0"/>
            </w:tcBorders>
            <w:noWrap w:val="0"/>
            <w:vAlign w:val="center"/>
          </w:tcPr>
          <w:p w14:paraId="7A7E9867">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46" w:type="dxa"/>
            <w:tcBorders>
              <w:top w:val="nil"/>
              <w:left w:val="nil"/>
              <w:bottom w:val="single" w:color="auto" w:sz="4" w:space="0"/>
              <w:right w:val="single" w:color="auto" w:sz="4" w:space="0"/>
            </w:tcBorders>
            <w:noWrap w:val="0"/>
            <w:vAlign w:val="center"/>
          </w:tcPr>
          <w:p w14:paraId="0E87A2E9">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14:paraId="0566A73D">
        <w:tblPrEx>
          <w:tblCellMar>
            <w:top w:w="0" w:type="dxa"/>
            <w:left w:w="108" w:type="dxa"/>
            <w:bottom w:w="0" w:type="dxa"/>
            <w:right w:w="108" w:type="dxa"/>
          </w:tblCellMar>
        </w:tblPrEx>
        <w:trPr>
          <w:jc w:val="center"/>
        </w:trPr>
        <w:tc>
          <w:tcPr>
            <w:tcW w:w="1080" w:type="dxa"/>
            <w:vMerge w:val="continue"/>
            <w:tcBorders>
              <w:top w:val="nil"/>
              <w:left w:val="single" w:color="auto" w:sz="4" w:space="0"/>
              <w:right w:val="single" w:color="auto" w:sz="4" w:space="0"/>
            </w:tcBorders>
            <w:noWrap w:val="0"/>
            <w:vAlign w:val="center"/>
          </w:tcPr>
          <w:p w14:paraId="784EE98B">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2114" w:type="dxa"/>
            <w:gridSpan w:val="2"/>
            <w:tcBorders>
              <w:top w:val="nil"/>
              <w:left w:val="nil"/>
              <w:bottom w:val="single" w:color="auto" w:sz="4" w:space="0"/>
              <w:right w:val="single" w:color="auto" w:sz="4" w:space="0"/>
            </w:tcBorders>
            <w:noWrap w:val="0"/>
            <w:vAlign w:val="center"/>
          </w:tcPr>
          <w:p w14:paraId="07B437CE">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000000"/>
                <w:sz w:val="20"/>
                <w:szCs w:val="20"/>
                <w:highlight w:val="none"/>
              </w:rPr>
              <w:t>年度资金总额</w:t>
            </w:r>
          </w:p>
        </w:tc>
        <w:tc>
          <w:tcPr>
            <w:tcW w:w="1270" w:type="dxa"/>
            <w:tcBorders>
              <w:top w:val="nil"/>
              <w:left w:val="nil"/>
              <w:bottom w:val="single" w:color="auto" w:sz="4" w:space="0"/>
              <w:right w:val="single" w:color="auto" w:sz="4" w:space="0"/>
            </w:tcBorders>
            <w:noWrap w:val="0"/>
            <w:vAlign w:val="center"/>
          </w:tcPr>
          <w:p w14:paraId="1F064A14">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2064.61</w:t>
            </w:r>
          </w:p>
        </w:tc>
        <w:tc>
          <w:tcPr>
            <w:tcW w:w="1311" w:type="dxa"/>
            <w:tcBorders>
              <w:top w:val="nil"/>
              <w:left w:val="nil"/>
              <w:bottom w:val="single" w:color="auto" w:sz="4" w:space="0"/>
              <w:right w:val="single" w:color="auto" w:sz="4" w:space="0"/>
            </w:tcBorders>
            <w:noWrap w:val="0"/>
            <w:vAlign w:val="center"/>
          </w:tcPr>
          <w:p w14:paraId="4389AC0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2733.08</w:t>
            </w:r>
          </w:p>
        </w:tc>
        <w:tc>
          <w:tcPr>
            <w:tcW w:w="1269" w:type="dxa"/>
            <w:tcBorders>
              <w:top w:val="nil"/>
              <w:left w:val="nil"/>
              <w:bottom w:val="single" w:color="auto" w:sz="4" w:space="0"/>
              <w:right w:val="single" w:color="auto" w:sz="4" w:space="0"/>
            </w:tcBorders>
            <w:noWrap w:val="0"/>
            <w:vAlign w:val="center"/>
          </w:tcPr>
          <w:p w14:paraId="5E875D9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2628.01</w:t>
            </w:r>
          </w:p>
        </w:tc>
        <w:tc>
          <w:tcPr>
            <w:tcW w:w="716" w:type="dxa"/>
            <w:tcBorders>
              <w:top w:val="nil"/>
              <w:left w:val="nil"/>
              <w:bottom w:val="single" w:color="auto" w:sz="4" w:space="0"/>
              <w:right w:val="single" w:color="auto" w:sz="4" w:space="0"/>
            </w:tcBorders>
            <w:noWrap w:val="0"/>
            <w:vAlign w:val="center"/>
          </w:tcPr>
          <w:p w14:paraId="766B3B79">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w:t>
            </w:r>
          </w:p>
        </w:tc>
        <w:tc>
          <w:tcPr>
            <w:tcW w:w="873" w:type="dxa"/>
            <w:tcBorders>
              <w:top w:val="nil"/>
              <w:left w:val="nil"/>
              <w:bottom w:val="single" w:color="auto" w:sz="4" w:space="0"/>
              <w:right w:val="single" w:color="auto" w:sz="4" w:space="0"/>
            </w:tcBorders>
            <w:noWrap w:val="0"/>
            <w:vAlign w:val="center"/>
          </w:tcPr>
          <w:p w14:paraId="277A05BE">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96.16%</w:t>
            </w:r>
          </w:p>
        </w:tc>
        <w:tc>
          <w:tcPr>
            <w:tcW w:w="1446" w:type="dxa"/>
            <w:tcBorders>
              <w:top w:val="nil"/>
              <w:left w:val="nil"/>
              <w:bottom w:val="single" w:color="auto" w:sz="4" w:space="0"/>
              <w:right w:val="single" w:color="auto" w:sz="4" w:space="0"/>
            </w:tcBorders>
            <w:noWrap w:val="0"/>
            <w:vAlign w:val="center"/>
          </w:tcPr>
          <w:p w14:paraId="3262672B">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w:t>
            </w:r>
          </w:p>
        </w:tc>
      </w:tr>
      <w:tr w14:paraId="7D8917CC">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3C0F20C9">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305C5865">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按收入性质分：</w:t>
            </w:r>
          </w:p>
        </w:tc>
        <w:tc>
          <w:tcPr>
            <w:tcW w:w="4304" w:type="dxa"/>
            <w:gridSpan w:val="4"/>
            <w:tcBorders>
              <w:top w:val="nil"/>
              <w:left w:val="nil"/>
              <w:bottom w:val="single" w:color="auto" w:sz="4" w:space="0"/>
              <w:right w:val="single" w:color="auto" w:sz="4" w:space="0"/>
            </w:tcBorders>
            <w:noWrap w:val="0"/>
            <w:vAlign w:val="center"/>
          </w:tcPr>
          <w:p w14:paraId="282BE670">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按支出性质分：</w:t>
            </w:r>
          </w:p>
        </w:tc>
      </w:tr>
      <w:tr w14:paraId="323EF289">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2EC5D9E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50DFB48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xml:space="preserve">  其中：  一般公共预算：</w:t>
            </w:r>
            <w:r>
              <w:rPr>
                <w:rFonts w:hint="eastAsia" w:ascii="仿宋_GB2312" w:hAnsi="仿宋_GB2312" w:eastAsia="仿宋_GB2312" w:cs="仿宋_GB2312"/>
                <w:color w:val="000000"/>
                <w:sz w:val="20"/>
                <w:szCs w:val="20"/>
                <w:highlight w:val="none"/>
                <w:lang w:val="en-US" w:eastAsia="zh-CN"/>
              </w:rPr>
              <w:t>2547.99</w:t>
            </w:r>
          </w:p>
        </w:tc>
        <w:tc>
          <w:tcPr>
            <w:tcW w:w="4304" w:type="dxa"/>
            <w:gridSpan w:val="4"/>
            <w:tcBorders>
              <w:top w:val="nil"/>
              <w:left w:val="nil"/>
              <w:bottom w:val="single" w:color="auto" w:sz="4" w:space="0"/>
              <w:right w:val="single" w:color="auto" w:sz="4" w:space="0"/>
            </w:tcBorders>
            <w:noWrap w:val="0"/>
            <w:vAlign w:val="center"/>
          </w:tcPr>
          <w:p w14:paraId="2C05CDE3">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其中：基本支出：</w:t>
            </w:r>
            <w:r>
              <w:rPr>
                <w:rFonts w:hint="eastAsia" w:ascii="仿宋_GB2312" w:hAnsi="仿宋_GB2312" w:eastAsia="仿宋_GB2312" w:cs="仿宋_GB2312"/>
                <w:color w:val="000000"/>
                <w:sz w:val="20"/>
                <w:szCs w:val="20"/>
                <w:highlight w:val="none"/>
                <w:lang w:val="en-US" w:eastAsia="zh-CN"/>
              </w:rPr>
              <w:t>2526.73</w:t>
            </w:r>
          </w:p>
        </w:tc>
      </w:tr>
      <w:tr w14:paraId="61E2EDB9">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DBDC51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68B62DAB">
            <w:pPr>
              <w:keepNext w:val="0"/>
              <w:keepLines w:val="0"/>
              <w:pageBreakBefore w:val="0"/>
              <w:widowControl w:val="0"/>
              <w:kinsoku/>
              <w:overflowPunct/>
              <w:topLinePunct w:val="0"/>
              <w:autoSpaceDE/>
              <w:autoSpaceDN/>
              <w:bidi w:val="0"/>
              <w:adjustRightInd/>
              <w:snapToGrid/>
              <w:spacing w:line="240" w:lineRule="exact"/>
              <w:ind w:firstLine="800" w:firstLineChars="4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政府性基金拨款：</w:t>
            </w:r>
            <w:r>
              <w:rPr>
                <w:rFonts w:hint="eastAsia" w:ascii="仿宋_GB2312" w:hAnsi="仿宋_GB2312" w:eastAsia="仿宋_GB2312" w:cs="仿宋_GB2312"/>
                <w:color w:val="000000"/>
                <w:sz w:val="20"/>
                <w:szCs w:val="20"/>
                <w:highlight w:val="none"/>
                <w:lang w:val="en-US" w:eastAsia="zh-CN"/>
              </w:rPr>
              <w:t>80</w:t>
            </w:r>
          </w:p>
        </w:tc>
        <w:tc>
          <w:tcPr>
            <w:tcW w:w="4304" w:type="dxa"/>
            <w:gridSpan w:val="4"/>
            <w:tcBorders>
              <w:top w:val="nil"/>
              <w:left w:val="nil"/>
              <w:bottom w:val="single" w:color="auto" w:sz="4" w:space="0"/>
              <w:right w:val="single" w:color="auto" w:sz="4" w:space="0"/>
            </w:tcBorders>
            <w:noWrap w:val="0"/>
            <w:vAlign w:val="center"/>
          </w:tcPr>
          <w:p w14:paraId="721D9200">
            <w:pPr>
              <w:keepNext w:val="0"/>
              <w:keepLines w:val="0"/>
              <w:pageBreakBefore w:val="0"/>
              <w:widowControl w:val="0"/>
              <w:kinsoku/>
              <w:overflowPunct/>
              <w:topLinePunct w:val="0"/>
              <w:autoSpaceDE/>
              <w:autoSpaceDN/>
              <w:bidi w:val="0"/>
              <w:adjustRightInd/>
              <w:snapToGrid/>
              <w:spacing w:line="240" w:lineRule="exact"/>
              <w:ind w:firstLine="600" w:firstLineChars="3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项目支出：</w:t>
            </w:r>
            <w:r>
              <w:rPr>
                <w:rFonts w:hint="eastAsia" w:ascii="仿宋_GB2312" w:hAnsi="仿宋_GB2312" w:eastAsia="仿宋_GB2312" w:cs="仿宋_GB2312"/>
                <w:color w:val="000000"/>
                <w:sz w:val="20"/>
                <w:szCs w:val="20"/>
                <w:highlight w:val="none"/>
                <w:lang w:val="en-US" w:eastAsia="zh-CN"/>
              </w:rPr>
              <w:t>101.28</w:t>
            </w:r>
          </w:p>
        </w:tc>
      </w:tr>
      <w:tr w14:paraId="0E6DFCA5">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43FB84E0">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067F892D">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纳入专户管理的非税收入拨款：</w:t>
            </w:r>
          </w:p>
        </w:tc>
        <w:tc>
          <w:tcPr>
            <w:tcW w:w="4304" w:type="dxa"/>
            <w:gridSpan w:val="4"/>
            <w:tcBorders>
              <w:top w:val="nil"/>
              <w:left w:val="nil"/>
              <w:bottom w:val="single" w:color="auto" w:sz="4" w:space="0"/>
              <w:right w:val="single" w:color="auto" w:sz="4" w:space="0"/>
            </w:tcBorders>
            <w:noWrap w:val="0"/>
            <w:vAlign w:val="center"/>
          </w:tcPr>
          <w:p w14:paraId="0B7FC782">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14:paraId="72E038F7">
        <w:tblPrEx>
          <w:tblCellMar>
            <w:top w:w="0" w:type="dxa"/>
            <w:left w:w="108" w:type="dxa"/>
            <w:bottom w:w="0" w:type="dxa"/>
            <w:right w:w="108" w:type="dxa"/>
          </w:tblCellMar>
        </w:tblPrEx>
        <w:trPr>
          <w:jc w:val="center"/>
        </w:trPr>
        <w:tc>
          <w:tcPr>
            <w:tcW w:w="1080" w:type="dxa"/>
            <w:vMerge w:val="continue"/>
            <w:tcBorders>
              <w:left w:val="single" w:color="auto" w:sz="4" w:space="0"/>
              <w:bottom w:val="single" w:color="000000" w:sz="4" w:space="0"/>
              <w:right w:val="single" w:color="auto" w:sz="4" w:space="0"/>
            </w:tcBorders>
            <w:noWrap w:val="0"/>
            <w:vAlign w:val="center"/>
          </w:tcPr>
          <w:p w14:paraId="1A5FF55D">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249DAE9C">
            <w:pPr>
              <w:keepNext w:val="0"/>
              <w:keepLines w:val="0"/>
              <w:pageBreakBefore w:val="0"/>
              <w:widowControl w:val="0"/>
              <w:kinsoku/>
              <w:overflowPunct/>
              <w:topLinePunct w:val="0"/>
              <w:autoSpaceDE/>
              <w:autoSpaceDN/>
              <w:bidi w:val="0"/>
              <w:adjustRightInd/>
              <w:snapToGrid/>
              <w:spacing w:line="240" w:lineRule="exact"/>
              <w:ind w:firstLine="1400" w:firstLineChars="7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其他资金：</w:t>
            </w:r>
            <w:r>
              <w:rPr>
                <w:rFonts w:hint="eastAsia" w:ascii="仿宋_GB2312" w:hAnsi="仿宋_GB2312" w:eastAsia="仿宋_GB2312" w:cs="仿宋_GB2312"/>
                <w:color w:val="000000"/>
                <w:sz w:val="20"/>
                <w:szCs w:val="20"/>
                <w:highlight w:val="none"/>
                <w:lang w:val="en-US" w:eastAsia="zh-CN"/>
              </w:rPr>
              <w:t>0.02</w:t>
            </w:r>
          </w:p>
        </w:tc>
        <w:tc>
          <w:tcPr>
            <w:tcW w:w="4304" w:type="dxa"/>
            <w:gridSpan w:val="4"/>
            <w:tcBorders>
              <w:top w:val="nil"/>
              <w:left w:val="nil"/>
              <w:bottom w:val="single" w:color="auto" w:sz="4" w:space="0"/>
              <w:right w:val="single" w:color="auto" w:sz="4" w:space="0"/>
            </w:tcBorders>
            <w:noWrap w:val="0"/>
            <w:vAlign w:val="center"/>
          </w:tcPr>
          <w:p w14:paraId="46AFD706">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14:paraId="3F5E1F47">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219E314C">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695" w:type="dxa"/>
            <w:gridSpan w:val="4"/>
            <w:tcBorders>
              <w:top w:val="single" w:color="auto" w:sz="4" w:space="0"/>
              <w:left w:val="nil"/>
              <w:bottom w:val="single" w:color="auto" w:sz="4" w:space="0"/>
              <w:right w:val="single" w:color="000000" w:sz="4" w:space="0"/>
            </w:tcBorders>
            <w:noWrap w:val="0"/>
            <w:vAlign w:val="center"/>
          </w:tcPr>
          <w:p w14:paraId="15F7C9F9">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04" w:type="dxa"/>
            <w:gridSpan w:val="4"/>
            <w:tcBorders>
              <w:top w:val="single" w:color="auto" w:sz="4" w:space="0"/>
              <w:left w:val="nil"/>
              <w:bottom w:val="single" w:color="auto" w:sz="4" w:space="0"/>
              <w:right w:val="single" w:color="auto" w:sz="4" w:space="0"/>
            </w:tcBorders>
            <w:noWrap w:val="0"/>
            <w:vAlign w:val="center"/>
          </w:tcPr>
          <w:p w14:paraId="6208F696">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14:paraId="295CE3D5">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6EDB8C96">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nil"/>
              <w:bottom w:val="single" w:color="auto" w:sz="4" w:space="0"/>
              <w:right w:val="single" w:color="000000" w:sz="4" w:space="0"/>
            </w:tcBorders>
            <w:noWrap w:val="0"/>
            <w:vAlign w:val="center"/>
          </w:tcPr>
          <w:p w14:paraId="292D3617">
            <w:pPr>
              <w:widowControl/>
              <w:spacing w:line="24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目标 1：全力推进不动产登记高效便民服务,做好不动产登记各项工作。</w:t>
            </w:r>
          </w:p>
          <w:p w14:paraId="04227682">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目标 2：严格按政策完成非税收入 350万元。</w:t>
            </w:r>
            <w:r>
              <w:rPr>
                <w:rFonts w:hint="eastAsia" w:ascii="仿宋_GB2312" w:hAnsi="仿宋_GB2312" w:eastAsia="仿宋_GB2312" w:cs="仿宋_GB2312"/>
                <w:color w:val="000000"/>
                <w:sz w:val="20"/>
                <w:szCs w:val="20"/>
                <w:highlight w:val="none"/>
              </w:rPr>
              <w:t>　　</w:t>
            </w:r>
          </w:p>
        </w:tc>
        <w:tc>
          <w:tcPr>
            <w:tcW w:w="4304" w:type="dxa"/>
            <w:gridSpan w:val="4"/>
            <w:tcBorders>
              <w:top w:val="single" w:color="auto" w:sz="4" w:space="0"/>
              <w:left w:val="nil"/>
              <w:bottom w:val="single" w:color="auto" w:sz="4" w:space="0"/>
              <w:right w:val="single" w:color="auto" w:sz="4" w:space="0"/>
            </w:tcBorders>
            <w:noWrap w:val="0"/>
            <w:vAlign w:val="center"/>
          </w:tcPr>
          <w:p w14:paraId="029D3C37">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rPr>
              <w:t>已全部完成。</w:t>
            </w:r>
          </w:p>
        </w:tc>
      </w:tr>
      <w:tr w14:paraId="706095A3">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14:paraId="1CDE5C9C">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14:paraId="720CE394">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14:paraId="43239140">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14:paraId="2E0952D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p w14:paraId="7184E5C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080" w:type="dxa"/>
            <w:tcBorders>
              <w:top w:val="nil"/>
              <w:left w:val="nil"/>
              <w:bottom w:val="single" w:color="auto" w:sz="4" w:space="0"/>
              <w:right w:val="single" w:color="auto" w:sz="4" w:space="0"/>
            </w:tcBorders>
            <w:noWrap w:val="0"/>
            <w:vAlign w:val="center"/>
          </w:tcPr>
          <w:p w14:paraId="56E8045E">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34" w:type="dxa"/>
            <w:tcBorders>
              <w:top w:val="nil"/>
              <w:left w:val="nil"/>
              <w:bottom w:val="single" w:color="auto" w:sz="4" w:space="0"/>
              <w:right w:val="single" w:color="auto" w:sz="4" w:space="0"/>
            </w:tcBorders>
            <w:noWrap w:val="0"/>
            <w:vAlign w:val="center"/>
          </w:tcPr>
          <w:p w14:paraId="41034F63">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70" w:type="dxa"/>
            <w:tcBorders>
              <w:top w:val="nil"/>
              <w:left w:val="nil"/>
              <w:bottom w:val="single" w:color="auto" w:sz="4" w:space="0"/>
              <w:right w:val="single" w:color="auto" w:sz="4" w:space="0"/>
            </w:tcBorders>
            <w:noWrap w:val="0"/>
            <w:vAlign w:val="center"/>
          </w:tcPr>
          <w:p w14:paraId="42ED5D04">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311" w:type="dxa"/>
            <w:tcBorders>
              <w:top w:val="nil"/>
              <w:left w:val="nil"/>
              <w:bottom w:val="single" w:color="auto" w:sz="4" w:space="0"/>
              <w:right w:val="single" w:color="auto" w:sz="4" w:space="0"/>
            </w:tcBorders>
            <w:noWrap w:val="0"/>
            <w:vAlign w:val="center"/>
          </w:tcPr>
          <w:p w14:paraId="4ACF946C">
            <w:pPr>
              <w:keepNext w:val="0"/>
              <w:keepLines w:val="0"/>
              <w:pageBreakBefore w:val="0"/>
              <w:widowControl w:val="0"/>
              <w:kinsoku/>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年度指标值</w:t>
            </w:r>
          </w:p>
        </w:tc>
        <w:tc>
          <w:tcPr>
            <w:tcW w:w="1269" w:type="dxa"/>
            <w:tcBorders>
              <w:top w:val="nil"/>
              <w:left w:val="nil"/>
              <w:bottom w:val="single" w:color="auto" w:sz="4" w:space="0"/>
              <w:right w:val="single" w:color="auto" w:sz="4" w:space="0"/>
            </w:tcBorders>
            <w:noWrap w:val="0"/>
            <w:vAlign w:val="center"/>
          </w:tcPr>
          <w:p w14:paraId="17E2F071">
            <w:pPr>
              <w:keepNext w:val="0"/>
              <w:keepLines w:val="0"/>
              <w:pageBreakBefore w:val="0"/>
              <w:widowControl w:val="0"/>
              <w:kinsoku/>
              <w:overflowPunct/>
              <w:topLinePunct w:val="0"/>
              <w:autoSpaceDE/>
              <w:autoSpaceDN/>
              <w:bidi w:val="0"/>
              <w:adjustRightInd/>
              <w:snapToGrid/>
              <w:spacing w:line="240" w:lineRule="exac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实际完成值</w:t>
            </w:r>
          </w:p>
        </w:tc>
        <w:tc>
          <w:tcPr>
            <w:tcW w:w="716" w:type="dxa"/>
            <w:tcBorders>
              <w:top w:val="nil"/>
              <w:left w:val="nil"/>
              <w:bottom w:val="single" w:color="auto" w:sz="4" w:space="0"/>
              <w:right w:val="single" w:color="auto" w:sz="4" w:space="0"/>
            </w:tcBorders>
            <w:noWrap w:val="0"/>
            <w:vAlign w:val="center"/>
          </w:tcPr>
          <w:p w14:paraId="74E19AA0">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nil"/>
              <w:left w:val="nil"/>
              <w:bottom w:val="single" w:color="auto" w:sz="4" w:space="0"/>
              <w:right w:val="single" w:color="auto" w:sz="4" w:space="0"/>
            </w:tcBorders>
            <w:noWrap w:val="0"/>
            <w:vAlign w:val="center"/>
          </w:tcPr>
          <w:p w14:paraId="7E9764BB">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46" w:type="dxa"/>
            <w:tcBorders>
              <w:top w:val="nil"/>
              <w:left w:val="nil"/>
              <w:bottom w:val="single" w:color="auto" w:sz="4" w:space="0"/>
              <w:right w:val="single" w:color="auto" w:sz="4" w:space="0"/>
            </w:tcBorders>
            <w:noWrap w:val="0"/>
            <w:vAlign w:val="center"/>
          </w:tcPr>
          <w:p w14:paraId="756039E0">
            <w:pPr>
              <w:keepNext w:val="0"/>
              <w:keepLines w:val="0"/>
              <w:pageBreakBefore w:val="0"/>
              <w:widowControl w:val="0"/>
              <w:kinsoku/>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14:paraId="7312F493">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3E2F898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nil"/>
              <w:left w:val="nil"/>
              <w:right w:val="single" w:color="auto" w:sz="4" w:space="0"/>
            </w:tcBorders>
            <w:noWrap w:val="0"/>
            <w:vAlign w:val="center"/>
          </w:tcPr>
          <w:p w14:paraId="68D22021">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14:paraId="3CF87942">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p w14:paraId="06421A9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34" w:type="dxa"/>
            <w:tcBorders>
              <w:top w:val="nil"/>
              <w:left w:val="nil"/>
              <w:bottom w:val="single" w:color="auto" w:sz="4" w:space="0"/>
              <w:right w:val="single" w:color="auto" w:sz="4" w:space="0"/>
            </w:tcBorders>
            <w:noWrap w:val="0"/>
            <w:vAlign w:val="center"/>
          </w:tcPr>
          <w:p w14:paraId="26A5B69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70" w:type="dxa"/>
            <w:tcBorders>
              <w:top w:val="nil"/>
              <w:left w:val="nil"/>
              <w:bottom w:val="single" w:color="auto" w:sz="4" w:space="0"/>
              <w:right w:val="single" w:color="auto" w:sz="4" w:space="0"/>
            </w:tcBorders>
            <w:noWrap w:val="0"/>
            <w:vAlign w:val="center"/>
          </w:tcPr>
          <w:p w14:paraId="74E165AF">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颁发不动产登记证书证明</w:t>
            </w:r>
          </w:p>
        </w:tc>
        <w:tc>
          <w:tcPr>
            <w:tcW w:w="1311" w:type="dxa"/>
            <w:tcBorders>
              <w:top w:val="nil"/>
              <w:left w:val="nil"/>
              <w:bottom w:val="single" w:color="auto" w:sz="4" w:space="0"/>
              <w:right w:val="single" w:color="auto" w:sz="4" w:space="0"/>
            </w:tcBorders>
            <w:noWrap w:val="0"/>
            <w:vAlign w:val="center"/>
          </w:tcPr>
          <w:p w14:paraId="397906B8">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w:t>
            </w:r>
            <w:r>
              <w:rPr>
                <w:rFonts w:hint="eastAsia" w:ascii="仿宋_GB2312" w:hAnsi="仿宋_GB2312" w:eastAsia="仿宋_GB2312" w:cs="仿宋_GB2312"/>
                <w:color w:val="000000"/>
                <w:sz w:val="20"/>
                <w:szCs w:val="20"/>
                <w:lang w:val="en-US" w:eastAsia="zh-CN"/>
              </w:rPr>
              <w:t>50</w:t>
            </w:r>
            <w:r>
              <w:rPr>
                <w:rFonts w:hint="eastAsia" w:ascii="仿宋_GB2312" w:hAnsi="仿宋_GB2312" w:eastAsia="仿宋_GB2312" w:cs="仿宋_GB2312"/>
                <w:color w:val="000000"/>
                <w:sz w:val="20"/>
                <w:szCs w:val="20"/>
              </w:rPr>
              <w:t>000</w:t>
            </w:r>
          </w:p>
        </w:tc>
        <w:tc>
          <w:tcPr>
            <w:tcW w:w="1269" w:type="dxa"/>
            <w:tcBorders>
              <w:top w:val="nil"/>
              <w:left w:val="nil"/>
              <w:bottom w:val="single" w:color="auto" w:sz="4" w:space="0"/>
              <w:right w:val="single" w:color="auto" w:sz="4" w:space="0"/>
            </w:tcBorders>
            <w:noWrap w:val="0"/>
            <w:vAlign w:val="center"/>
          </w:tcPr>
          <w:p w14:paraId="36637E77">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100%</w:t>
            </w:r>
          </w:p>
        </w:tc>
        <w:tc>
          <w:tcPr>
            <w:tcW w:w="716" w:type="dxa"/>
            <w:tcBorders>
              <w:top w:val="nil"/>
              <w:left w:val="nil"/>
              <w:bottom w:val="single" w:color="auto" w:sz="4" w:space="0"/>
              <w:right w:val="single" w:color="auto" w:sz="4" w:space="0"/>
            </w:tcBorders>
            <w:noWrap w:val="0"/>
            <w:vAlign w:val="center"/>
          </w:tcPr>
          <w:p w14:paraId="3744263C">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873" w:type="dxa"/>
            <w:tcBorders>
              <w:top w:val="nil"/>
              <w:left w:val="nil"/>
              <w:bottom w:val="single" w:color="auto" w:sz="4" w:space="0"/>
              <w:right w:val="single" w:color="auto" w:sz="4" w:space="0"/>
            </w:tcBorders>
            <w:noWrap w:val="0"/>
            <w:vAlign w:val="center"/>
          </w:tcPr>
          <w:p w14:paraId="551C1AC0">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1446" w:type="dxa"/>
            <w:tcBorders>
              <w:top w:val="nil"/>
              <w:left w:val="nil"/>
              <w:bottom w:val="single" w:color="auto" w:sz="4" w:space="0"/>
              <w:right w:val="single" w:color="auto" w:sz="4" w:space="0"/>
            </w:tcBorders>
            <w:noWrap w:val="0"/>
            <w:vAlign w:val="center"/>
          </w:tcPr>
          <w:p w14:paraId="090C3D39">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1344B983">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1344DE4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14:paraId="2F0FE6F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tcBorders>
              <w:top w:val="single" w:color="auto" w:sz="4" w:space="0"/>
              <w:left w:val="nil"/>
              <w:right w:val="single" w:color="auto" w:sz="4" w:space="0"/>
            </w:tcBorders>
            <w:noWrap w:val="0"/>
            <w:vAlign w:val="center"/>
          </w:tcPr>
          <w:p w14:paraId="0952F47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70" w:type="dxa"/>
            <w:tcBorders>
              <w:top w:val="single" w:color="auto" w:sz="4" w:space="0"/>
              <w:left w:val="nil"/>
              <w:bottom w:val="single" w:color="auto" w:sz="4" w:space="0"/>
              <w:right w:val="single" w:color="auto" w:sz="4" w:space="0"/>
            </w:tcBorders>
            <w:noWrap w:val="0"/>
            <w:vAlign w:val="center"/>
          </w:tcPr>
          <w:p w14:paraId="16DB68EA">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全力推进</w:t>
            </w:r>
            <w:r>
              <w:rPr>
                <w:rFonts w:hint="eastAsia" w:ascii="仿宋_GB2312" w:hAnsi="仿宋_GB2312" w:eastAsia="仿宋_GB2312" w:cs="仿宋_GB2312"/>
                <w:color w:val="000000"/>
                <w:sz w:val="20"/>
                <w:szCs w:val="20"/>
                <w:lang w:val="en-US" w:eastAsia="zh-CN"/>
              </w:rPr>
              <w:t>互联网+不动产登记</w:t>
            </w:r>
          </w:p>
        </w:tc>
        <w:tc>
          <w:tcPr>
            <w:tcW w:w="1311" w:type="dxa"/>
            <w:tcBorders>
              <w:top w:val="nil"/>
              <w:left w:val="nil"/>
              <w:bottom w:val="single" w:color="auto" w:sz="4" w:space="0"/>
              <w:right w:val="single" w:color="auto" w:sz="4" w:space="0"/>
            </w:tcBorders>
            <w:noWrap w:val="0"/>
            <w:vAlign w:val="center"/>
          </w:tcPr>
          <w:p w14:paraId="6605C25C">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w:t>
            </w:r>
            <w:r>
              <w:rPr>
                <w:rFonts w:hint="eastAsia" w:ascii="仿宋_GB2312" w:hAnsi="仿宋_GB2312" w:eastAsia="仿宋_GB2312" w:cs="仿宋_GB2312"/>
                <w:color w:val="000000"/>
                <w:sz w:val="20"/>
                <w:szCs w:val="20"/>
                <w:lang w:val="en-US" w:eastAsia="zh-CN"/>
              </w:rPr>
              <w:t>75</w:t>
            </w:r>
            <w:r>
              <w:rPr>
                <w:rFonts w:hint="eastAsia" w:ascii="仿宋_GB2312" w:hAnsi="仿宋_GB2312" w:eastAsia="仿宋_GB2312" w:cs="仿宋_GB2312"/>
                <w:color w:val="000000"/>
                <w:sz w:val="20"/>
                <w:szCs w:val="20"/>
              </w:rPr>
              <w:t>%</w:t>
            </w:r>
          </w:p>
        </w:tc>
        <w:tc>
          <w:tcPr>
            <w:tcW w:w="1269" w:type="dxa"/>
            <w:tcBorders>
              <w:top w:val="nil"/>
              <w:left w:val="nil"/>
              <w:bottom w:val="single" w:color="auto" w:sz="4" w:space="0"/>
              <w:right w:val="single" w:color="auto" w:sz="4" w:space="0"/>
            </w:tcBorders>
            <w:noWrap w:val="0"/>
            <w:vAlign w:val="center"/>
          </w:tcPr>
          <w:p w14:paraId="190B5396">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100%</w:t>
            </w:r>
          </w:p>
        </w:tc>
        <w:tc>
          <w:tcPr>
            <w:tcW w:w="716" w:type="dxa"/>
            <w:tcBorders>
              <w:top w:val="nil"/>
              <w:left w:val="nil"/>
              <w:bottom w:val="single" w:color="auto" w:sz="4" w:space="0"/>
              <w:right w:val="single" w:color="auto" w:sz="4" w:space="0"/>
            </w:tcBorders>
            <w:noWrap w:val="0"/>
            <w:vAlign w:val="center"/>
          </w:tcPr>
          <w:p w14:paraId="79EAAD40">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873" w:type="dxa"/>
            <w:tcBorders>
              <w:top w:val="nil"/>
              <w:left w:val="nil"/>
              <w:bottom w:val="single" w:color="auto" w:sz="4" w:space="0"/>
              <w:right w:val="single" w:color="auto" w:sz="4" w:space="0"/>
            </w:tcBorders>
            <w:noWrap w:val="0"/>
            <w:vAlign w:val="center"/>
          </w:tcPr>
          <w:p w14:paraId="5FEB9727">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1446" w:type="dxa"/>
            <w:tcBorders>
              <w:top w:val="nil"/>
              <w:left w:val="nil"/>
              <w:bottom w:val="single" w:color="auto" w:sz="4" w:space="0"/>
              <w:right w:val="single" w:color="auto" w:sz="4" w:space="0"/>
            </w:tcBorders>
            <w:noWrap w:val="0"/>
            <w:vAlign w:val="center"/>
          </w:tcPr>
          <w:p w14:paraId="558224B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C1BB3F1">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A08DC0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14:paraId="7F8E2C8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292C47C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70" w:type="dxa"/>
            <w:tcBorders>
              <w:top w:val="single" w:color="auto" w:sz="4" w:space="0"/>
              <w:left w:val="nil"/>
              <w:bottom w:val="single" w:color="auto" w:sz="4" w:space="0"/>
              <w:right w:val="single" w:color="auto" w:sz="4" w:space="0"/>
            </w:tcBorders>
            <w:noWrap w:val="0"/>
            <w:vAlign w:val="center"/>
          </w:tcPr>
          <w:p w14:paraId="4D93BD56">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eastAsia="zh-CN"/>
              </w:rPr>
              <w:t>不断推出高效便民服务举措</w:t>
            </w:r>
          </w:p>
        </w:tc>
        <w:tc>
          <w:tcPr>
            <w:tcW w:w="1311" w:type="dxa"/>
            <w:tcBorders>
              <w:top w:val="nil"/>
              <w:left w:val="nil"/>
              <w:bottom w:val="single" w:color="auto" w:sz="4" w:space="0"/>
              <w:right w:val="single" w:color="auto" w:sz="4" w:space="0"/>
            </w:tcBorders>
            <w:noWrap w:val="0"/>
            <w:vAlign w:val="center"/>
          </w:tcPr>
          <w:p w14:paraId="10E95036">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≤60分钟</w:t>
            </w:r>
          </w:p>
        </w:tc>
        <w:tc>
          <w:tcPr>
            <w:tcW w:w="1269" w:type="dxa"/>
            <w:tcBorders>
              <w:top w:val="nil"/>
              <w:left w:val="nil"/>
              <w:bottom w:val="single" w:color="auto" w:sz="4" w:space="0"/>
              <w:right w:val="single" w:color="auto" w:sz="4" w:space="0"/>
            </w:tcBorders>
            <w:noWrap w:val="0"/>
            <w:vAlign w:val="center"/>
          </w:tcPr>
          <w:p w14:paraId="2C4060A4">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100%</w:t>
            </w:r>
          </w:p>
        </w:tc>
        <w:tc>
          <w:tcPr>
            <w:tcW w:w="716" w:type="dxa"/>
            <w:tcBorders>
              <w:top w:val="nil"/>
              <w:left w:val="nil"/>
              <w:bottom w:val="single" w:color="auto" w:sz="4" w:space="0"/>
              <w:right w:val="single" w:color="auto" w:sz="4" w:space="0"/>
            </w:tcBorders>
            <w:noWrap w:val="0"/>
            <w:vAlign w:val="center"/>
          </w:tcPr>
          <w:p w14:paraId="456CF8BE">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10</w:t>
            </w:r>
          </w:p>
        </w:tc>
        <w:tc>
          <w:tcPr>
            <w:tcW w:w="873" w:type="dxa"/>
            <w:tcBorders>
              <w:top w:val="nil"/>
              <w:left w:val="nil"/>
              <w:bottom w:val="single" w:color="auto" w:sz="4" w:space="0"/>
              <w:right w:val="single" w:color="auto" w:sz="4" w:space="0"/>
            </w:tcBorders>
            <w:noWrap w:val="0"/>
            <w:vAlign w:val="center"/>
          </w:tcPr>
          <w:p w14:paraId="02AC098C">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10</w:t>
            </w:r>
          </w:p>
        </w:tc>
        <w:tc>
          <w:tcPr>
            <w:tcW w:w="1446" w:type="dxa"/>
            <w:tcBorders>
              <w:top w:val="nil"/>
              <w:left w:val="nil"/>
              <w:bottom w:val="single" w:color="auto" w:sz="4" w:space="0"/>
              <w:right w:val="single" w:color="auto" w:sz="4" w:space="0"/>
            </w:tcBorders>
            <w:noWrap w:val="0"/>
            <w:vAlign w:val="center"/>
          </w:tcPr>
          <w:p w14:paraId="7EC5DA40">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5C7AB4C">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4138FFDB">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14:paraId="188467C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nil"/>
              <w:right w:val="single" w:color="auto" w:sz="4" w:space="0"/>
            </w:tcBorders>
            <w:noWrap w:val="0"/>
            <w:vAlign w:val="center"/>
          </w:tcPr>
          <w:p w14:paraId="485839E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70" w:type="dxa"/>
            <w:tcBorders>
              <w:top w:val="single" w:color="auto" w:sz="4" w:space="0"/>
              <w:left w:val="nil"/>
              <w:bottom w:val="single" w:color="auto" w:sz="4" w:space="0"/>
              <w:right w:val="single" w:color="auto" w:sz="4" w:space="0"/>
            </w:tcBorders>
            <w:noWrap w:val="0"/>
            <w:vAlign w:val="center"/>
          </w:tcPr>
          <w:p w14:paraId="3F779F74">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日常业务管理运转经费</w:t>
            </w:r>
          </w:p>
        </w:tc>
        <w:tc>
          <w:tcPr>
            <w:tcW w:w="1311" w:type="dxa"/>
            <w:tcBorders>
              <w:top w:val="nil"/>
              <w:left w:val="nil"/>
              <w:bottom w:val="single" w:color="auto" w:sz="4" w:space="0"/>
              <w:right w:val="single" w:color="auto" w:sz="4" w:space="0"/>
            </w:tcBorders>
            <w:noWrap w:val="0"/>
            <w:vAlign w:val="center"/>
          </w:tcPr>
          <w:p w14:paraId="3E4876E1">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w:t>
            </w:r>
            <w:r>
              <w:rPr>
                <w:rFonts w:hint="eastAsia" w:ascii="仿宋_GB2312" w:hAnsi="仿宋_GB2312" w:eastAsia="仿宋_GB2312" w:cs="仿宋_GB2312"/>
                <w:color w:val="000000"/>
                <w:sz w:val="20"/>
                <w:szCs w:val="20"/>
                <w:lang w:val="en-US" w:eastAsia="zh-CN"/>
              </w:rPr>
              <w:t>795.96</w:t>
            </w:r>
          </w:p>
        </w:tc>
        <w:tc>
          <w:tcPr>
            <w:tcW w:w="1269" w:type="dxa"/>
            <w:tcBorders>
              <w:top w:val="nil"/>
              <w:left w:val="nil"/>
              <w:bottom w:val="single" w:color="auto" w:sz="4" w:space="0"/>
              <w:right w:val="single" w:color="auto" w:sz="4" w:space="0"/>
            </w:tcBorders>
            <w:noWrap w:val="0"/>
            <w:vAlign w:val="center"/>
          </w:tcPr>
          <w:p w14:paraId="480A71E3">
            <w:pPr>
              <w:widowControl/>
              <w:spacing w:line="26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按预算数执行</w:t>
            </w:r>
          </w:p>
        </w:tc>
        <w:tc>
          <w:tcPr>
            <w:tcW w:w="716" w:type="dxa"/>
            <w:tcBorders>
              <w:top w:val="nil"/>
              <w:left w:val="nil"/>
              <w:bottom w:val="single" w:color="auto" w:sz="4" w:space="0"/>
              <w:right w:val="single" w:color="auto" w:sz="4" w:space="0"/>
            </w:tcBorders>
            <w:noWrap w:val="0"/>
            <w:vAlign w:val="center"/>
          </w:tcPr>
          <w:p w14:paraId="6D1AA184">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873" w:type="dxa"/>
            <w:tcBorders>
              <w:top w:val="nil"/>
              <w:left w:val="nil"/>
              <w:bottom w:val="single" w:color="auto" w:sz="4" w:space="0"/>
              <w:right w:val="single" w:color="auto" w:sz="4" w:space="0"/>
            </w:tcBorders>
            <w:noWrap w:val="0"/>
            <w:vAlign w:val="center"/>
          </w:tcPr>
          <w:p w14:paraId="25CBD8D5">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ascii="仿宋_GB2312" w:hAnsi="仿宋_GB2312" w:eastAsia="仿宋_GB2312" w:cs="仿宋_GB2312"/>
                <w:color w:val="000000"/>
                <w:sz w:val="20"/>
                <w:szCs w:val="20"/>
              </w:rPr>
              <w:t>9</w:t>
            </w:r>
          </w:p>
        </w:tc>
        <w:tc>
          <w:tcPr>
            <w:tcW w:w="1446" w:type="dxa"/>
            <w:tcBorders>
              <w:top w:val="nil"/>
              <w:left w:val="nil"/>
              <w:bottom w:val="single" w:color="auto" w:sz="4" w:space="0"/>
              <w:right w:val="single" w:color="auto" w:sz="4" w:space="0"/>
            </w:tcBorders>
            <w:noWrap w:val="0"/>
            <w:vAlign w:val="center"/>
          </w:tcPr>
          <w:p w14:paraId="48B62387">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0FDB2AE">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729AF27">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14:paraId="06E87A87">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left w:val="nil"/>
              <w:bottom w:val="single" w:color="auto" w:sz="4" w:space="0"/>
              <w:right w:val="single" w:color="auto" w:sz="4" w:space="0"/>
            </w:tcBorders>
            <w:noWrap w:val="0"/>
            <w:vAlign w:val="center"/>
          </w:tcPr>
          <w:p w14:paraId="1388077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nil"/>
              <w:left w:val="nil"/>
              <w:bottom w:val="single" w:color="auto" w:sz="4" w:space="0"/>
              <w:right w:val="single" w:color="auto" w:sz="4" w:space="0"/>
            </w:tcBorders>
            <w:noWrap w:val="0"/>
            <w:vAlign w:val="center"/>
          </w:tcPr>
          <w:p w14:paraId="135BA987">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社会成本指标</w:t>
            </w:r>
          </w:p>
        </w:tc>
        <w:tc>
          <w:tcPr>
            <w:tcW w:w="1311" w:type="dxa"/>
            <w:tcBorders>
              <w:top w:val="nil"/>
              <w:left w:val="nil"/>
              <w:bottom w:val="single" w:color="auto" w:sz="4" w:space="0"/>
              <w:right w:val="single" w:color="auto" w:sz="4" w:space="0"/>
            </w:tcBorders>
            <w:noWrap w:val="0"/>
            <w:vAlign w:val="center"/>
          </w:tcPr>
          <w:p w14:paraId="5F1F43B0">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无负面影响</w:t>
            </w:r>
          </w:p>
        </w:tc>
        <w:tc>
          <w:tcPr>
            <w:tcW w:w="1269" w:type="dxa"/>
            <w:tcBorders>
              <w:top w:val="nil"/>
              <w:left w:val="nil"/>
              <w:bottom w:val="single" w:color="auto" w:sz="4" w:space="0"/>
              <w:right w:val="single" w:color="auto" w:sz="4" w:space="0"/>
            </w:tcBorders>
            <w:noWrap w:val="0"/>
            <w:vAlign w:val="center"/>
          </w:tcPr>
          <w:p w14:paraId="6EF93D84">
            <w:pPr>
              <w:widowControl/>
              <w:spacing w:line="26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无负面影响</w:t>
            </w:r>
          </w:p>
        </w:tc>
        <w:tc>
          <w:tcPr>
            <w:tcW w:w="716" w:type="dxa"/>
            <w:tcBorders>
              <w:top w:val="nil"/>
              <w:left w:val="nil"/>
              <w:bottom w:val="single" w:color="auto" w:sz="4" w:space="0"/>
              <w:right w:val="single" w:color="auto" w:sz="4" w:space="0"/>
            </w:tcBorders>
            <w:noWrap w:val="0"/>
            <w:vAlign w:val="center"/>
          </w:tcPr>
          <w:p w14:paraId="270BC07E">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873" w:type="dxa"/>
            <w:tcBorders>
              <w:top w:val="nil"/>
              <w:left w:val="nil"/>
              <w:bottom w:val="single" w:color="auto" w:sz="4" w:space="0"/>
              <w:right w:val="single" w:color="auto" w:sz="4" w:space="0"/>
            </w:tcBorders>
            <w:noWrap w:val="0"/>
            <w:vAlign w:val="center"/>
          </w:tcPr>
          <w:p w14:paraId="67F04B9F">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1446" w:type="dxa"/>
            <w:tcBorders>
              <w:top w:val="nil"/>
              <w:left w:val="nil"/>
              <w:bottom w:val="single" w:color="auto" w:sz="4" w:space="0"/>
              <w:right w:val="single" w:color="auto" w:sz="4" w:space="0"/>
            </w:tcBorders>
            <w:noWrap w:val="0"/>
            <w:vAlign w:val="center"/>
          </w:tcPr>
          <w:p w14:paraId="2184D11B">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3EAC852E">
        <w:tblPrEx>
          <w:tblCellMar>
            <w:top w:w="0" w:type="dxa"/>
            <w:left w:w="108" w:type="dxa"/>
            <w:bottom w:w="0" w:type="dxa"/>
            <w:right w:w="108" w:type="dxa"/>
          </w:tblCellMar>
        </w:tblPrEx>
        <w:trPr>
          <w:trHeight w:val="501" w:hRule="atLeast"/>
          <w:jc w:val="center"/>
        </w:trPr>
        <w:tc>
          <w:tcPr>
            <w:tcW w:w="1080" w:type="dxa"/>
            <w:vMerge w:val="continue"/>
            <w:tcBorders>
              <w:left w:val="single" w:color="auto" w:sz="4" w:space="0"/>
              <w:right w:val="single" w:color="auto" w:sz="4" w:space="0"/>
            </w:tcBorders>
            <w:noWrap w:val="0"/>
            <w:vAlign w:val="center"/>
          </w:tcPr>
          <w:p w14:paraId="2A0C5B0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nil"/>
              <w:right w:val="single" w:color="auto" w:sz="4" w:space="0"/>
            </w:tcBorders>
            <w:noWrap w:val="0"/>
            <w:vAlign w:val="center"/>
          </w:tcPr>
          <w:p w14:paraId="1724040B">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14:paraId="2E29ACBD">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p w14:paraId="05C8D5FB">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14:paraId="097CFB79">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4" w:type="dxa"/>
            <w:tcBorders>
              <w:top w:val="single" w:color="auto" w:sz="4" w:space="0"/>
              <w:left w:val="nil"/>
              <w:bottom w:val="single" w:color="auto" w:sz="4" w:space="0"/>
              <w:right w:val="single" w:color="auto" w:sz="4" w:space="0"/>
            </w:tcBorders>
            <w:noWrap w:val="0"/>
            <w:vAlign w:val="center"/>
          </w:tcPr>
          <w:p w14:paraId="61B21A9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14:paraId="41594918">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nil"/>
              <w:bottom w:val="single" w:color="auto" w:sz="4" w:space="0"/>
              <w:right w:val="single" w:color="auto" w:sz="4" w:space="0"/>
            </w:tcBorders>
            <w:noWrap w:val="0"/>
            <w:vAlign w:val="center"/>
          </w:tcPr>
          <w:p w14:paraId="4878BB05">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 xml:space="preserve">完成非税收入 </w:t>
            </w:r>
          </w:p>
        </w:tc>
        <w:tc>
          <w:tcPr>
            <w:tcW w:w="1311" w:type="dxa"/>
            <w:tcBorders>
              <w:top w:val="nil"/>
              <w:left w:val="nil"/>
              <w:bottom w:val="single" w:color="auto" w:sz="4" w:space="0"/>
              <w:right w:val="single" w:color="auto" w:sz="4" w:space="0"/>
            </w:tcBorders>
            <w:noWrap w:val="0"/>
            <w:vAlign w:val="center"/>
          </w:tcPr>
          <w:p w14:paraId="6844403D">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350</w:t>
            </w:r>
          </w:p>
        </w:tc>
        <w:tc>
          <w:tcPr>
            <w:tcW w:w="1269" w:type="dxa"/>
            <w:tcBorders>
              <w:top w:val="nil"/>
              <w:left w:val="nil"/>
              <w:bottom w:val="single" w:color="auto" w:sz="4" w:space="0"/>
              <w:right w:val="single" w:color="auto" w:sz="4" w:space="0"/>
            </w:tcBorders>
            <w:noWrap w:val="0"/>
            <w:vAlign w:val="center"/>
          </w:tcPr>
          <w:p w14:paraId="5DC3254F">
            <w:pPr>
              <w:widowControl/>
              <w:spacing w:line="240" w:lineRule="exact"/>
              <w:jc w:val="center"/>
              <w:rPr>
                <w:rFonts w:hint="default"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389</w:t>
            </w:r>
          </w:p>
        </w:tc>
        <w:tc>
          <w:tcPr>
            <w:tcW w:w="716" w:type="dxa"/>
            <w:tcBorders>
              <w:top w:val="nil"/>
              <w:left w:val="nil"/>
              <w:bottom w:val="single" w:color="auto" w:sz="4" w:space="0"/>
              <w:right w:val="single" w:color="auto" w:sz="4" w:space="0"/>
            </w:tcBorders>
            <w:noWrap w:val="0"/>
            <w:vAlign w:val="center"/>
          </w:tcPr>
          <w:p w14:paraId="721793FF">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10</w:t>
            </w:r>
          </w:p>
        </w:tc>
        <w:tc>
          <w:tcPr>
            <w:tcW w:w="873" w:type="dxa"/>
            <w:tcBorders>
              <w:top w:val="nil"/>
              <w:left w:val="nil"/>
              <w:bottom w:val="single" w:color="auto" w:sz="4" w:space="0"/>
              <w:right w:val="single" w:color="auto" w:sz="4" w:space="0"/>
            </w:tcBorders>
            <w:noWrap w:val="0"/>
            <w:vAlign w:val="center"/>
          </w:tcPr>
          <w:p w14:paraId="5ADEEEDB">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10</w:t>
            </w:r>
          </w:p>
        </w:tc>
        <w:tc>
          <w:tcPr>
            <w:tcW w:w="1446" w:type="dxa"/>
            <w:tcBorders>
              <w:top w:val="nil"/>
              <w:left w:val="nil"/>
              <w:bottom w:val="single" w:color="auto" w:sz="4" w:space="0"/>
              <w:right w:val="single" w:color="auto" w:sz="4" w:space="0"/>
            </w:tcBorders>
            <w:noWrap w:val="0"/>
            <w:vAlign w:val="center"/>
          </w:tcPr>
          <w:p w14:paraId="0A639FEE">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91F05D3">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1623FBB1">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14:paraId="2BE83EA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tcBorders>
              <w:top w:val="nil"/>
              <w:left w:val="nil"/>
              <w:bottom w:val="single" w:color="auto" w:sz="4" w:space="0"/>
              <w:right w:val="single" w:color="auto" w:sz="4" w:space="0"/>
            </w:tcBorders>
            <w:noWrap w:val="0"/>
            <w:vAlign w:val="center"/>
          </w:tcPr>
          <w:p w14:paraId="3D03C43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14:paraId="337CC261">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nil"/>
              <w:left w:val="nil"/>
              <w:bottom w:val="single" w:color="auto" w:sz="4" w:space="0"/>
              <w:right w:val="single" w:color="auto" w:sz="4" w:space="0"/>
            </w:tcBorders>
            <w:noWrap w:val="0"/>
            <w:vAlign w:val="center"/>
          </w:tcPr>
          <w:p w14:paraId="2C469188">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负责市城区范围不动产登记工作</w:t>
            </w:r>
          </w:p>
        </w:tc>
        <w:tc>
          <w:tcPr>
            <w:tcW w:w="1311" w:type="dxa"/>
            <w:tcBorders>
              <w:top w:val="nil"/>
              <w:left w:val="nil"/>
              <w:bottom w:val="single" w:color="auto" w:sz="4" w:space="0"/>
              <w:right w:val="single" w:color="auto" w:sz="4" w:space="0"/>
            </w:tcBorders>
            <w:noWrap w:val="0"/>
            <w:vAlign w:val="center"/>
          </w:tcPr>
          <w:p w14:paraId="2F9F5922">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保障登记工作日常开展</w:t>
            </w:r>
          </w:p>
        </w:tc>
        <w:tc>
          <w:tcPr>
            <w:tcW w:w="1269" w:type="dxa"/>
            <w:tcBorders>
              <w:top w:val="nil"/>
              <w:left w:val="nil"/>
              <w:bottom w:val="single" w:color="auto" w:sz="4" w:space="0"/>
              <w:right w:val="single" w:color="auto" w:sz="4" w:space="0"/>
            </w:tcBorders>
            <w:noWrap w:val="0"/>
            <w:vAlign w:val="center"/>
          </w:tcPr>
          <w:p w14:paraId="5EB83924">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完成市城区范围不动产登记工</w:t>
            </w:r>
          </w:p>
        </w:tc>
        <w:tc>
          <w:tcPr>
            <w:tcW w:w="716" w:type="dxa"/>
            <w:tcBorders>
              <w:top w:val="nil"/>
              <w:left w:val="nil"/>
              <w:bottom w:val="single" w:color="auto" w:sz="4" w:space="0"/>
              <w:right w:val="single" w:color="auto" w:sz="4" w:space="0"/>
            </w:tcBorders>
            <w:noWrap w:val="0"/>
            <w:vAlign w:val="center"/>
          </w:tcPr>
          <w:p w14:paraId="00881EE8">
            <w:pPr>
              <w:widowControl/>
              <w:spacing w:line="240" w:lineRule="exact"/>
              <w:jc w:val="center"/>
              <w:rPr>
                <w:rFonts w:hint="default"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10</w:t>
            </w:r>
          </w:p>
        </w:tc>
        <w:tc>
          <w:tcPr>
            <w:tcW w:w="873" w:type="dxa"/>
            <w:tcBorders>
              <w:top w:val="nil"/>
              <w:left w:val="nil"/>
              <w:bottom w:val="single" w:color="auto" w:sz="4" w:space="0"/>
              <w:right w:val="single" w:color="auto" w:sz="4" w:space="0"/>
            </w:tcBorders>
            <w:noWrap w:val="0"/>
            <w:vAlign w:val="center"/>
          </w:tcPr>
          <w:p w14:paraId="045AF3D2">
            <w:pPr>
              <w:widowControl/>
              <w:spacing w:line="240" w:lineRule="exact"/>
              <w:jc w:val="center"/>
              <w:rPr>
                <w:rFonts w:hint="default"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10</w:t>
            </w:r>
          </w:p>
        </w:tc>
        <w:tc>
          <w:tcPr>
            <w:tcW w:w="1446" w:type="dxa"/>
            <w:tcBorders>
              <w:top w:val="nil"/>
              <w:left w:val="nil"/>
              <w:bottom w:val="single" w:color="auto" w:sz="4" w:space="0"/>
              <w:right w:val="single" w:color="auto" w:sz="4" w:space="0"/>
            </w:tcBorders>
            <w:noWrap w:val="0"/>
            <w:vAlign w:val="center"/>
          </w:tcPr>
          <w:p w14:paraId="3AE4322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15A5D6B4">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75EFFC1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14:paraId="37E7A5F7">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tcBorders>
              <w:top w:val="nil"/>
              <w:left w:val="nil"/>
              <w:bottom w:val="single" w:color="auto" w:sz="4" w:space="0"/>
              <w:right w:val="single" w:color="auto" w:sz="4" w:space="0"/>
            </w:tcBorders>
            <w:noWrap w:val="0"/>
            <w:vAlign w:val="center"/>
          </w:tcPr>
          <w:p w14:paraId="4671204B">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14:paraId="508E06A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nil"/>
              <w:left w:val="nil"/>
              <w:bottom w:val="single" w:color="auto" w:sz="4" w:space="0"/>
              <w:right w:val="single" w:color="auto" w:sz="4" w:space="0"/>
            </w:tcBorders>
            <w:noWrap w:val="0"/>
            <w:vAlign w:val="center"/>
          </w:tcPr>
          <w:p w14:paraId="2C31BD00">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无负面影响</w:t>
            </w:r>
          </w:p>
        </w:tc>
        <w:tc>
          <w:tcPr>
            <w:tcW w:w="1311" w:type="dxa"/>
            <w:tcBorders>
              <w:top w:val="nil"/>
              <w:left w:val="nil"/>
              <w:bottom w:val="single" w:color="auto" w:sz="4" w:space="0"/>
              <w:right w:val="single" w:color="auto" w:sz="4" w:space="0"/>
            </w:tcBorders>
            <w:noWrap w:val="0"/>
            <w:vAlign w:val="center"/>
          </w:tcPr>
          <w:p w14:paraId="45B21F8E">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无负面影响</w:t>
            </w:r>
          </w:p>
        </w:tc>
        <w:tc>
          <w:tcPr>
            <w:tcW w:w="1269" w:type="dxa"/>
            <w:tcBorders>
              <w:top w:val="nil"/>
              <w:left w:val="nil"/>
              <w:bottom w:val="single" w:color="auto" w:sz="4" w:space="0"/>
              <w:right w:val="single" w:color="auto" w:sz="4" w:space="0"/>
            </w:tcBorders>
            <w:noWrap w:val="0"/>
            <w:vAlign w:val="center"/>
          </w:tcPr>
          <w:p w14:paraId="17849571">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无负面影响</w:t>
            </w:r>
          </w:p>
        </w:tc>
        <w:tc>
          <w:tcPr>
            <w:tcW w:w="716" w:type="dxa"/>
            <w:tcBorders>
              <w:top w:val="nil"/>
              <w:left w:val="nil"/>
              <w:bottom w:val="single" w:color="auto" w:sz="4" w:space="0"/>
              <w:right w:val="single" w:color="auto" w:sz="4" w:space="0"/>
            </w:tcBorders>
            <w:noWrap w:val="0"/>
            <w:vAlign w:val="center"/>
          </w:tcPr>
          <w:p w14:paraId="646ECFED">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5</w:t>
            </w:r>
          </w:p>
        </w:tc>
        <w:tc>
          <w:tcPr>
            <w:tcW w:w="873" w:type="dxa"/>
            <w:tcBorders>
              <w:top w:val="nil"/>
              <w:left w:val="nil"/>
              <w:bottom w:val="single" w:color="auto" w:sz="4" w:space="0"/>
              <w:right w:val="single" w:color="auto" w:sz="4" w:space="0"/>
            </w:tcBorders>
            <w:noWrap w:val="0"/>
            <w:vAlign w:val="center"/>
          </w:tcPr>
          <w:p w14:paraId="6B1E4E15">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5</w:t>
            </w:r>
          </w:p>
        </w:tc>
        <w:tc>
          <w:tcPr>
            <w:tcW w:w="1446" w:type="dxa"/>
            <w:tcBorders>
              <w:top w:val="nil"/>
              <w:left w:val="nil"/>
              <w:bottom w:val="single" w:color="auto" w:sz="4" w:space="0"/>
              <w:right w:val="single" w:color="auto" w:sz="4" w:space="0"/>
            </w:tcBorders>
            <w:noWrap w:val="0"/>
            <w:vAlign w:val="center"/>
          </w:tcPr>
          <w:p w14:paraId="4F25A31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13DD072">
        <w:tblPrEx>
          <w:tblCellMar>
            <w:top w:w="0" w:type="dxa"/>
            <w:left w:w="108" w:type="dxa"/>
            <w:bottom w:w="0" w:type="dxa"/>
            <w:right w:w="108" w:type="dxa"/>
          </w:tblCellMar>
        </w:tblPrEx>
        <w:trPr>
          <w:trHeight w:val="290" w:hRule="atLeast"/>
          <w:jc w:val="center"/>
        </w:trPr>
        <w:tc>
          <w:tcPr>
            <w:tcW w:w="1080" w:type="dxa"/>
            <w:vMerge w:val="continue"/>
            <w:tcBorders>
              <w:left w:val="single" w:color="auto" w:sz="4" w:space="0"/>
              <w:right w:val="single" w:color="auto" w:sz="4" w:space="0"/>
            </w:tcBorders>
            <w:noWrap w:val="0"/>
            <w:vAlign w:val="center"/>
          </w:tcPr>
          <w:p w14:paraId="0519159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bottom w:val="single" w:color="auto" w:sz="4" w:space="0"/>
              <w:right w:val="single" w:color="auto" w:sz="4" w:space="0"/>
            </w:tcBorders>
            <w:noWrap w:val="0"/>
            <w:vAlign w:val="center"/>
          </w:tcPr>
          <w:p w14:paraId="45720061">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tcBorders>
              <w:top w:val="single" w:color="auto" w:sz="4" w:space="0"/>
              <w:left w:val="single" w:color="auto" w:sz="4" w:space="0"/>
              <w:bottom w:val="single" w:color="auto" w:sz="4" w:space="0"/>
              <w:right w:val="single" w:color="auto" w:sz="4" w:space="0"/>
            </w:tcBorders>
            <w:noWrap w:val="0"/>
            <w:vAlign w:val="center"/>
          </w:tcPr>
          <w:p w14:paraId="0BD4AF48">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35A7065F">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无负面影响</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7DF6006A">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无负面影响</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686ACA30">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无负面影响</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0BBAC18E">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1D39099">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5A700E01">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135ACD8B">
        <w:tblPrEx>
          <w:tblCellMar>
            <w:top w:w="0" w:type="dxa"/>
            <w:left w:w="108" w:type="dxa"/>
            <w:bottom w:w="0" w:type="dxa"/>
            <w:right w:w="108" w:type="dxa"/>
          </w:tblCellMar>
        </w:tblPrEx>
        <w:trPr>
          <w:trHeight w:val="330" w:hRule="atLeast"/>
          <w:jc w:val="center"/>
        </w:trPr>
        <w:tc>
          <w:tcPr>
            <w:tcW w:w="1080" w:type="dxa"/>
            <w:vMerge w:val="continue"/>
            <w:tcBorders>
              <w:left w:val="single" w:color="auto" w:sz="4" w:space="0"/>
              <w:right w:val="single" w:color="auto" w:sz="4" w:space="0"/>
            </w:tcBorders>
            <w:noWrap w:val="0"/>
            <w:vAlign w:val="center"/>
          </w:tcPr>
          <w:p w14:paraId="1B523F6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nil"/>
              <w:bottom w:val="single" w:color="auto" w:sz="4" w:space="0"/>
              <w:right w:val="single" w:color="auto" w:sz="4" w:space="0"/>
            </w:tcBorders>
            <w:noWrap w:val="0"/>
            <w:vAlign w:val="center"/>
          </w:tcPr>
          <w:p w14:paraId="74773F64">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14:paraId="07B32E89">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14:paraId="7DDEC86B">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34" w:type="dxa"/>
            <w:tcBorders>
              <w:top w:val="single" w:color="auto" w:sz="4" w:space="0"/>
              <w:left w:val="nil"/>
              <w:bottom w:val="single" w:color="auto" w:sz="4" w:space="0"/>
              <w:right w:val="single" w:color="auto" w:sz="4" w:space="0"/>
            </w:tcBorders>
            <w:noWrap w:val="0"/>
            <w:vAlign w:val="center"/>
          </w:tcPr>
          <w:p w14:paraId="2BDB04A6">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70" w:type="dxa"/>
            <w:tcBorders>
              <w:top w:val="nil"/>
              <w:left w:val="nil"/>
              <w:bottom w:val="single" w:color="auto" w:sz="4" w:space="0"/>
              <w:right w:val="single" w:color="auto" w:sz="4" w:space="0"/>
            </w:tcBorders>
            <w:noWrap w:val="0"/>
            <w:vAlign w:val="center"/>
          </w:tcPr>
          <w:p w14:paraId="3C13FECB">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社会公众或服务对象满意</w:t>
            </w:r>
          </w:p>
        </w:tc>
        <w:tc>
          <w:tcPr>
            <w:tcW w:w="1311" w:type="dxa"/>
            <w:tcBorders>
              <w:top w:val="nil"/>
              <w:left w:val="nil"/>
              <w:bottom w:val="single" w:color="auto" w:sz="4" w:space="0"/>
              <w:right w:val="single" w:color="auto" w:sz="4" w:space="0"/>
            </w:tcBorders>
            <w:noWrap w:val="0"/>
            <w:vAlign w:val="center"/>
          </w:tcPr>
          <w:p w14:paraId="5E529E4B">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≥9</w:t>
            </w:r>
            <w:r>
              <w:rPr>
                <w:rFonts w:hint="eastAsia" w:ascii="仿宋_GB2312" w:hAnsi="仿宋_GB2312" w:eastAsia="仿宋_GB2312" w:cs="仿宋_GB2312"/>
                <w:color w:val="000000"/>
                <w:sz w:val="20"/>
                <w:szCs w:val="20"/>
                <w:lang w:val="en-US" w:eastAsia="zh-CN"/>
              </w:rPr>
              <w:t>5</w:t>
            </w:r>
            <w:r>
              <w:rPr>
                <w:rFonts w:hint="eastAsia" w:ascii="仿宋_GB2312" w:hAnsi="仿宋_GB2312" w:eastAsia="仿宋_GB2312" w:cs="仿宋_GB2312"/>
                <w:color w:val="000000"/>
                <w:sz w:val="20"/>
                <w:szCs w:val="20"/>
              </w:rPr>
              <w:t>%</w:t>
            </w:r>
          </w:p>
        </w:tc>
        <w:tc>
          <w:tcPr>
            <w:tcW w:w="1269" w:type="dxa"/>
            <w:tcBorders>
              <w:top w:val="nil"/>
              <w:left w:val="nil"/>
              <w:bottom w:val="single" w:color="auto" w:sz="4" w:space="0"/>
              <w:right w:val="single" w:color="auto" w:sz="4" w:space="0"/>
            </w:tcBorders>
            <w:noWrap w:val="0"/>
            <w:vAlign w:val="center"/>
          </w:tcPr>
          <w:p w14:paraId="3CD64290">
            <w:pPr>
              <w:widowControl/>
              <w:spacing w:line="26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9</w:t>
            </w:r>
            <w:r>
              <w:rPr>
                <w:rFonts w:hint="eastAsia" w:ascii="仿宋_GB2312" w:hAnsi="仿宋_GB2312" w:eastAsia="仿宋_GB2312" w:cs="仿宋_GB2312"/>
                <w:color w:val="000000"/>
                <w:sz w:val="20"/>
                <w:szCs w:val="20"/>
                <w:lang w:val="en-US" w:eastAsia="zh-CN"/>
              </w:rPr>
              <w:t>8</w:t>
            </w:r>
            <w:r>
              <w:rPr>
                <w:rFonts w:hint="eastAsia" w:ascii="仿宋_GB2312" w:hAnsi="仿宋_GB2312" w:eastAsia="仿宋_GB2312" w:cs="仿宋_GB2312"/>
                <w:color w:val="000000"/>
                <w:sz w:val="20"/>
                <w:szCs w:val="20"/>
              </w:rPr>
              <w:t>%</w:t>
            </w:r>
          </w:p>
        </w:tc>
        <w:tc>
          <w:tcPr>
            <w:tcW w:w="716" w:type="dxa"/>
            <w:tcBorders>
              <w:top w:val="nil"/>
              <w:left w:val="nil"/>
              <w:bottom w:val="single" w:color="auto" w:sz="4" w:space="0"/>
              <w:right w:val="single" w:color="auto" w:sz="4" w:space="0"/>
            </w:tcBorders>
            <w:noWrap w:val="0"/>
            <w:vAlign w:val="center"/>
          </w:tcPr>
          <w:p w14:paraId="6B3EDC96">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873" w:type="dxa"/>
            <w:tcBorders>
              <w:top w:val="nil"/>
              <w:left w:val="nil"/>
              <w:bottom w:val="single" w:color="auto" w:sz="4" w:space="0"/>
              <w:right w:val="single" w:color="auto" w:sz="4" w:space="0"/>
            </w:tcBorders>
            <w:noWrap w:val="0"/>
            <w:vAlign w:val="center"/>
          </w:tcPr>
          <w:p w14:paraId="71C5A687">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1446" w:type="dxa"/>
            <w:tcBorders>
              <w:top w:val="nil"/>
              <w:left w:val="nil"/>
              <w:bottom w:val="single" w:color="auto" w:sz="4" w:space="0"/>
              <w:right w:val="single" w:color="auto" w:sz="4" w:space="0"/>
            </w:tcBorders>
            <w:noWrap w:val="0"/>
            <w:vAlign w:val="center"/>
          </w:tcPr>
          <w:p w14:paraId="7522FC72">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7466165">
        <w:tblPrEx>
          <w:tblCellMar>
            <w:top w:w="0" w:type="dxa"/>
            <w:left w:w="108" w:type="dxa"/>
            <w:bottom w:w="0" w:type="dxa"/>
            <w:right w:w="108" w:type="dxa"/>
          </w:tblCellMar>
        </w:tblPrEx>
        <w:trPr>
          <w:trHeight w:val="270" w:hRule="atLeast"/>
          <w:jc w:val="center"/>
        </w:trPr>
        <w:tc>
          <w:tcPr>
            <w:tcW w:w="7044" w:type="dxa"/>
            <w:gridSpan w:val="6"/>
            <w:tcBorders>
              <w:top w:val="single" w:color="auto" w:sz="4" w:space="0"/>
              <w:left w:val="single" w:color="auto" w:sz="4" w:space="0"/>
              <w:bottom w:val="single" w:color="auto" w:sz="4" w:space="0"/>
              <w:right w:val="single" w:color="000000" w:sz="4" w:space="0"/>
            </w:tcBorders>
            <w:noWrap w:val="0"/>
            <w:vAlign w:val="center"/>
          </w:tcPr>
          <w:p w14:paraId="2647F488">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16" w:type="dxa"/>
            <w:tcBorders>
              <w:top w:val="nil"/>
              <w:left w:val="nil"/>
              <w:bottom w:val="single" w:color="auto" w:sz="4" w:space="0"/>
              <w:right w:val="single" w:color="auto" w:sz="4" w:space="0"/>
            </w:tcBorders>
            <w:noWrap w:val="0"/>
            <w:vAlign w:val="center"/>
          </w:tcPr>
          <w:p w14:paraId="119C81FC">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nil"/>
              <w:left w:val="nil"/>
              <w:bottom w:val="single" w:color="auto" w:sz="4" w:space="0"/>
              <w:right w:val="single" w:color="auto" w:sz="4" w:space="0"/>
            </w:tcBorders>
            <w:noWrap w:val="0"/>
            <w:vAlign w:val="center"/>
          </w:tcPr>
          <w:p w14:paraId="169FF936">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98</w:t>
            </w:r>
          </w:p>
        </w:tc>
        <w:tc>
          <w:tcPr>
            <w:tcW w:w="1446" w:type="dxa"/>
            <w:tcBorders>
              <w:top w:val="nil"/>
              <w:left w:val="nil"/>
              <w:bottom w:val="single" w:color="auto" w:sz="4" w:space="0"/>
              <w:right w:val="single" w:color="auto" w:sz="4" w:space="0"/>
            </w:tcBorders>
            <w:noWrap w:val="0"/>
            <w:vAlign w:val="center"/>
          </w:tcPr>
          <w:p w14:paraId="481784C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14:paraId="3F9E2595"/>
    <w:p w14:paraId="428A4FC4">
      <w:r>
        <w:rPr>
          <w:rFonts w:hint="default" w:ascii="Times New Roman" w:hAnsi="Times New Roman" w:eastAsia="仿宋_GB2312" w:cs="Times New Roman"/>
          <w:sz w:val="22"/>
          <w:szCs w:val="22"/>
          <w:highlight w:val="none"/>
        </w:rPr>
        <w:t xml:space="preserve">填表人：      填报日期：         联系电话：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单位负责人签字：</w:t>
      </w:r>
    </w:p>
    <w:p w14:paraId="3D8F3E61">
      <w:pPr>
        <w:rPr>
          <w:rFonts w:hint="default" w:ascii="Times New Roman" w:hAnsi="Times New Roman" w:eastAsia="仿宋_GB2312" w:cs="Times New Roman"/>
          <w:sz w:val="22"/>
          <w:highlight w:val="none"/>
        </w:rPr>
      </w:pPr>
    </w:p>
    <w:p w14:paraId="00FA9F99"/>
    <w:p w14:paraId="2490F36F"/>
    <w:p w14:paraId="5712B6EB"/>
    <w:p w14:paraId="49D47401">
      <w:pPr>
        <w:spacing w:line="600" w:lineRule="exact"/>
        <w:jc w:val="left"/>
        <w:rPr>
          <w:rFonts w:hint="eastAsia" w:ascii="黑体" w:hAnsi="黑体" w:eastAsia="黑体" w:cs="黑体"/>
          <w:sz w:val="32"/>
          <w:szCs w:val="32"/>
        </w:rPr>
      </w:pPr>
      <w:r>
        <w:rPr>
          <w:rFonts w:hint="eastAsia" w:ascii="黑体" w:hAnsi="黑体" w:eastAsia="黑体" w:cs="黑体"/>
          <w:sz w:val="32"/>
          <w:szCs w:val="32"/>
        </w:rPr>
        <w:t>附件3</w:t>
      </w:r>
    </w:p>
    <w:p w14:paraId="0277D621">
      <w:pPr>
        <w:spacing w:line="400" w:lineRule="exact"/>
        <w:jc w:val="left"/>
        <w:rPr>
          <w:rFonts w:hint="eastAsia" w:ascii="黑体" w:hAnsi="黑体" w:eastAsia="黑体" w:cs="黑体"/>
          <w:sz w:val="32"/>
          <w:szCs w:val="32"/>
        </w:rPr>
      </w:pPr>
    </w:p>
    <w:p w14:paraId="3C74DB62">
      <w:pPr>
        <w:spacing w:line="600" w:lineRule="exact"/>
        <w:jc w:val="center"/>
        <w:rPr>
          <w:rFonts w:hint="eastAsia"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2025年度项目支出绩效自评表</w:t>
      </w:r>
    </w:p>
    <w:tbl>
      <w:tblPr>
        <w:tblStyle w:val="5"/>
        <w:tblW w:w="9851" w:type="dxa"/>
        <w:jc w:val="center"/>
        <w:tblLayout w:type="autofit"/>
        <w:tblCellMar>
          <w:top w:w="0" w:type="dxa"/>
          <w:left w:w="108" w:type="dxa"/>
          <w:bottom w:w="0" w:type="dxa"/>
          <w:right w:w="108" w:type="dxa"/>
        </w:tblCellMar>
      </w:tblPr>
      <w:tblGrid>
        <w:gridCol w:w="1062"/>
        <w:gridCol w:w="1063"/>
        <w:gridCol w:w="1056"/>
        <w:gridCol w:w="994"/>
        <w:gridCol w:w="1798"/>
        <w:gridCol w:w="816"/>
        <w:gridCol w:w="817"/>
        <w:gridCol w:w="864"/>
        <w:gridCol w:w="1381"/>
      </w:tblGrid>
      <w:tr w14:paraId="3E76E368">
        <w:tblPrEx>
          <w:tblCellMar>
            <w:top w:w="0" w:type="dxa"/>
            <w:left w:w="108" w:type="dxa"/>
            <w:bottom w:w="0" w:type="dxa"/>
            <w:right w:w="108" w:type="dxa"/>
          </w:tblCellMar>
        </w:tblPrEx>
        <w:trPr>
          <w:jc w:val="center"/>
        </w:trPr>
        <w:tc>
          <w:tcPr>
            <w:tcW w:w="1062" w:type="dxa"/>
            <w:tcBorders>
              <w:top w:val="single" w:color="auto" w:sz="4" w:space="0"/>
              <w:left w:val="single" w:color="auto" w:sz="4" w:space="0"/>
              <w:bottom w:val="single" w:color="auto" w:sz="4" w:space="0"/>
              <w:right w:val="single" w:color="auto" w:sz="4" w:space="0"/>
            </w:tcBorders>
            <w:vAlign w:val="center"/>
          </w:tcPr>
          <w:p w14:paraId="71D267C6">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项目支</w:t>
            </w:r>
          </w:p>
          <w:p w14:paraId="447B1BE2">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出名称</w:t>
            </w:r>
          </w:p>
        </w:tc>
        <w:tc>
          <w:tcPr>
            <w:tcW w:w="8789" w:type="dxa"/>
            <w:gridSpan w:val="8"/>
            <w:tcBorders>
              <w:top w:val="single" w:color="auto" w:sz="4" w:space="0"/>
              <w:left w:val="nil"/>
              <w:bottom w:val="single" w:color="auto" w:sz="4" w:space="0"/>
              <w:right w:val="single" w:color="auto" w:sz="4" w:space="0"/>
            </w:tcBorders>
            <w:vAlign w:val="center"/>
          </w:tcPr>
          <w:p w14:paraId="32C4A22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岳阳市不动产登记中心2025年一库一平台建设项目　</w:t>
            </w:r>
          </w:p>
        </w:tc>
      </w:tr>
      <w:tr w14:paraId="5BAACE68">
        <w:tblPrEx>
          <w:tblCellMar>
            <w:top w:w="0" w:type="dxa"/>
            <w:left w:w="108" w:type="dxa"/>
            <w:bottom w:w="0" w:type="dxa"/>
            <w:right w:w="108" w:type="dxa"/>
          </w:tblCellMar>
        </w:tblPrEx>
        <w:trPr>
          <w:jc w:val="center"/>
        </w:trPr>
        <w:tc>
          <w:tcPr>
            <w:tcW w:w="1062" w:type="dxa"/>
            <w:tcBorders>
              <w:top w:val="nil"/>
              <w:left w:val="single" w:color="auto" w:sz="4" w:space="0"/>
              <w:bottom w:val="single" w:color="auto" w:sz="4" w:space="0"/>
              <w:right w:val="single" w:color="auto" w:sz="4" w:space="0"/>
            </w:tcBorders>
            <w:vAlign w:val="center"/>
          </w:tcPr>
          <w:p w14:paraId="1EDAA9DC">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主管部门</w:t>
            </w:r>
          </w:p>
        </w:tc>
        <w:tc>
          <w:tcPr>
            <w:tcW w:w="4911" w:type="dxa"/>
            <w:gridSpan w:val="4"/>
            <w:tcBorders>
              <w:top w:val="single" w:color="auto" w:sz="4" w:space="0"/>
              <w:left w:val="nil"/>
              <w:bottom w:val="single" w:color="auto" w:sz="4" w:space="0"/>
              <w:right w:val="single" w:color="auto" w:sz="4" w:space="0"/>
            </w:tcBorders>
            <w:vAlign w:val="center"/>
          </w:tcPr>
          <w:p w14:paraId="282A9D99">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岳阳市自然资源和规划局</w:t>
            </w:r>
          </w:p>
        </w:tc>
        <w:tc>
          <w:tcPr>
            <w:tcW w:w="816" w:type="dxa"/>
            <w:tcBorders>
              <w:top w:val="single" w:color="auto" w:sz="4" w:space="0"/>
              <w:left w:val="nil"/>
              <w:bottom w:val="single" w:color="auto" w:sz="4" w:space="0"/>
              <w:right w:val="single" w:color="000000" w:sz="4" w:space="0"/>
            </w:tcBorders>
            <w:vAlign w:val="center"/>
          </w:tcPr>
          <w:p w14:paraId="3C88B2D7">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实施单位</w:t>
            </w:r>
          </w:p>
        </w:tc>
        <w:tc>
          <w:tcPr>
            <w:tcW w:w="3062" w:type="dxa"/>
            <w:gridSpan w:val="3"/>
            <w:tcBorders>
              <w:top w:val="single" w:color="auto" w:sz="4" w:space="0"/>
              <w:left w:val="nil"/>
              <w:bottom w:val="single" w:color="auto" w:sz="4" w:space="0"/>
              <w:right w:val="single" w:color="auto" w:sz="4" w:space="0"/>
            </w:tcBorders>
            <w:vAlign w:val="center"/>
          </w:tcPr>
          <w:p w14:paraId="2C0E107B">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岳阳市不动产登记中心</w:t>
            </w:r>
          </w:p>
        </w:tc>
      </w:tr>
      <w:tr w14:paraId="72328B46">
        <w:tblPrEx>
          <w:tblCellMar>
            <w:top w:w="0" w:type="dxa"/>
            <w:left w:w="108" w:type="dxa"/>
            <w:bottom w:w="0" w:type="dxa"/>
            <w:right w:w="108" w:type="dxa"/>
          </w:tblCellMar>
        </w:tblPrEx>
        <w:trPr>
          <w:jc w:val="center"/>
        </w:trPr>
        <w:tc>
          <w:tcPr>
            <w:tcW w:w="1062" w:type="dxa"/>
            <w:vMerge w:val="restart"/>
            <w:tcBorders>
              <w:top w:val="nil"/>
              <w:left w:val="single" w:color="auto" w:sz="4" w:space="0"/>
              <w:bottom w:val="single" w:color="000000" w:sz="4" w:space="0"/>
              <w:right w:val="single" w:color="auto" w:sz="4" w:space="0"/>
            </w:tcBorders>
            <w:vAlign w:val="center"/>
          </w:tcPr>
          <w:p w14:paraId="7A679DEE">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项目资金</w:t>
            </w:r>
            <w:r>
              <w:rPr>
                <w:rFonts w:hint="eastAsia" w:ascii="仿宋_GB2312" w:hAnsi="仿宋_GB2312" w:eastAsia="仿宋_GB2312" w:cs="仿宋_GB2312"/>
                <w:color w:val="000000"/>
                <w:sz w:val="20"/>
                <w:szCs w:val="20"/>
              </w:rPr>
              <w:br w:type="textWrapping"/>
            </w:r>
            <w:r>
              <w:rPr>
                <w:rFonts w:hint="eastAsia" w:ascii="仿宋_GB2312" w:hAnsi="仿宋_GB2312" w:eastAsia="仿宋_GB2312" w:cs="仿宋_GB2312"/>
                <w:color w:val="000000"/>
                <w:sz w:val="20"/>
                <w:szCs w:val="20"/>
              </w:rPr>
              <w:t>（万元）</w:t>
            </w:r>
          </w:p>
        </w:tc>
        <w:tc>
          <w:tcPr>
            <w:tcW w:w="2119" w:type="dxa"/>
            <w:gridSpan w:val="2"/>
            <w:tcBorders>
              <w:top w:val="nil"/>
              <w:left w:val="nil"/>
              <w:bottom w:val="single" w:color="auto" w:sz="4" w:space="0"/>
              <w:right w:val="single" w:color="auto" w:sz="4" w:space="0"/>
            </w:tcBorders>
            <w:vAlign w:val="center"/>
          </w:tcPr>
          <w:p w14:paraId="74F8BDC9">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994" w:type="dxa"/>
            <w:tcBorders>
              <w:top w:val="nil"/>
              <w:left w:val="nil"/>
              <w:bottom w:val="single" w:color="auto" w:sz="4" w:space="0"/>
              <w:right w:val="single" w:color="auto" w:sz="4" w:space="0"/>
            </w:tcBorders>
            <w:vAlign w:val="center"/>
          </w:tcPr>
          <w:p w14:paraId="319A0FD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年初</w:t>
            </w:r>
          </w:p>
          <w:p w14:paraId="7B33AF40">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798" w:type="dxa"/>
            <w:tcBorders>
              <w:top w:val="nil"/>
              <w:left w:val="nil"/>
              <w:bottom w:val="single" w:color="auto" w:sz="4" w:space="0"/>
              <w:right w:val="single" w:color="auto" w:sz="4" w:space="0"/>
            </w:tcBorders>
            <w:vAlign w:val="center"/>
          </w:tcPr>
          <w:p w14:paraId="4AFC034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全年</w:t>
            </w:r>
          </w:p>
          <w:p w14:paraId="70945E23">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816" w:type="dxa"/>
            <w:tcBorders>
              <w:top w:val="nil"/>
              <w:left w:val="nil"/>
              <w:bottom w:val="single" w:color="auto" w:sz="4" w:space="0"/>
              <w:right w:val="single" w:color="auto" w:sz="4" w:space="0"/>
            </w:tcBorders>
            <w:vAlign w:val="center"/>
          </w:tcPr>
          <w:p w14:paraId="304D6862">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全年</w:t>
            </w:r>
          </w:p>
          <w:p w14:paraId="7A7A0AD7">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执行数</w:t>
            </w:r>
          </w:p>
        </w:tc>
        <w:tc>
          <w:tcPr>
            <w:tcW w:w="817" w:type="dxa"/>
            <w:tcBorders>
              <w:top w:val="nil"/>
              <w:left w:val="nil"/>
              <w:bottom w:val="single" w:color="auto" w:sz="4" w:space="0"/>
              <w:right w:val="single" w:color="auto" w:sz="4" w:space="0"/>
            </w:tcBorders>
            <w:vAlign w:val="center"/>
          </w:tcPr>
          <w:p w14:paraId="5D4C7B38">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分值</w:t>
            </w:r>
          </w:p>
        </w:tc>
        <w:tc>
          <w:tcPr>
            <w:tcW w:w="864" w:type="dxa"/>
            <w:tcBorders>
              <w:top w:val="nil"/>
              <w:left w:val="nil"/>
              <w:bottom w:val="single" w:color="auto" w:sz="4" w:space="0"/>
              <w:right w:val="single" w:color="auto" w:sz="4" w:space="0"/>
            </w:tcBorders>
            <w:vAlign w:val="center"/>
          </w:tcPr>
          <w:p w14:paraId="38F45768">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执行率</w:t>
            </w:r>
          </w:p>
        </w:tc>
        <w:tc>
          <w:tcPr>
            <w:tcW w:w="1381" w:type="dxa"/>
            <w:tcBorders>
              <w:top w:val="nil"/>
              <w:left w:val="nil"/>
              <w:bottom w:val="single" w:color="auto" w:sz="4" w:space="0"/>
              <w:right w:val="single" w:color="auto" w:sz="4" w:space="0"/>
            </w:tcBorders>
            <w:vAlign w:val="center"/>
          </w:tcPr>
          <w:p w14:paraId="31DC28CF">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得分</w:t>
            </w:r>
          </w:p>
        </w:tc>
      </w:tr>
      <w:tr w14:paraId="59E85426">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60B5AECA">
            <w:pPr>
              <w:spacing w:line="260" w:lineRule="exact"/>
              <w:jc w:val="left"/>
              <w:rPr>
                <w:rFonts w:hint="eastAsia" w:ascii="仿宋_GB2312" w:hAnsi="仿宋_GB2312" w:eastAsia="仿宋_GB2312" w:cs="仿宋_GB2312"/>
                <w:color w:val="000000"/>
                <w:sz w:val="20"/>
                <w:szCs w:val="20"/>
              </w:rPr>
            </w:pPr>
          </w:p>
        </w:tc>
        <w:tc>
          <w:tcPr>
            <w:tcW w:w="2119" w:type="dxa"/>
            <w:gridSpan w:val="2"/>
            <w:tcBorders>
              <w:top w:val="nil"/>
              <w:left w:val="nil"/>
              <w:bottom w:val="single" w:color="auto" w:sz="4" w:space="0"/>
              <w:right w:val="single" w:color="auto" w:sz="4" w:space="0"/>
            </w:tcBorders>
            <w:vAlign w:val="center"/>
          </w:tcPr>
          <w:p w14:paraId="0D43FFA7">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年度资金总额　</w:t>
            </w:r>
          </w:p>
        </w:tc>
        <w:tc>
          <w:tcPr>
            <w:tcW w:w="994" w:type="dxa"/>
            <w:tcBorders>
              <w:top w:val="nil"/>
              <w:left w:val="nil"/>
              <w:bottom w:val="single" w:color="auto" w:sz="4" w:space="0"/>
              <w:right w:val="single" w:color="auto" w:sz="4" w:space="0"/>
            </w:tcBorders>
            <w:vAlign w:val="center"/>
          </w:tcPr>
          <w:p w14:paraId="30DC0433">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0</w:t>
            </w:r>
          </w:p>
        </w:tc>
        <w:tc>
          <w:tcPr>
            <w:tcW w:w="1798" w:type="dxa"/>
            <w:tcBorders>
              <w:top w:val="nil"/>
              <w:left w:val="nil"/>
              <w:bottom w:val="single" w:color="auto" w:sz="4" w:space="0"/>
              <w:right w:val="single" w:color="auto" w:sz="4" w:space="0"/>
            </w:tcBorders>
            <w:vAlign w:val="center"/>
          </w:tcPr>
          <w:p w14:paraId="7371B59B">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16" w:type="dxa"/>
            <w:tcBorders>
              <w:top w:val="nil"/>
              <w:left w:val="nil"/>
              <w:bottom w:val="single" w:color="auto" w:sz="4" w:space="0"/>
              <w:right w:val="single" w:color="auto" w:sz="4" w:space="0"/>
            </w:tcBorders>
            <w:vAlign w:val="center"/>
          </w:tcPr>
          <w:p w14:paraId="346CD0EB">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17" w:type="dxa"/>
            <w:tcBorders>
              <w:top w:val="nil"/>
              <w:left w:val="nil"/>
              <w:bottom w:val="single" w:color="auto" w:sz="4" w:space="0"/>
              <w:right w:val="single" w:color="auto" w:sz="4" w:space="0"/>
            </w:tcBorders>
            <w:vAlign w:val="center"/>
          </w:tcPr>
          <w:p w14:paraId="611B835F">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864" w:type="dxa"/>
            <w:tcBorders>
              <w:top w:val="nil"/>
              <w:left w:val="nil"/>
              <w:bottom w:val="single" w:color="auto" w:sz="4" w:space="0"/>
              <w:right w:val="single" w:color="auto" w:sz="4" w:space="0"/>
            </w:tcBorders>
            <w:vAlign w:val="center"/>
          </w:tcPr>
          <w:p w14:paraId="5F4BA758">
            <w:pPr>
              <w:spacing w:line="260" w:lineRule="exact"/>
              <w:ind w:firstLine="200" w:firstLineChars="100"/>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1381" w:type="dxa"/>
            <w:tcBorders>
              <w:top w:val="nil"/>
              <w:left w:val="nil"/>
              <w:bottom w:val="single" w:color="auto" w:sz="4" w:space="0"/>
              <w:right w:val="single" w:color="auto" w:sz="4" w:space="0"/>
            </w:tcBorders>
            <w:vAlign w:val="center"/>
          </w:tcPr>
          <w:p w14:paraId="0AF6E68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r>
      <w:tr w14:paraId="46C21524">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164DD4AD">
            <w:pPr>
              <w:spacing w:line="260" w:lineRule="exact"/>
              <w:jc w:val="left"/>
              <w:rPr>
                <w:rFonts w:hint="eastAsia" w:ascii="仿宋_GB2312" w:hAnsi="仿宋_GB2312" w:eastAsia="仿宋_GB2312" w:cs="仿宋_GB2312"/>
                <w:color w:val="000000"/>
                <w:sz w:val="20"/>
                <w:szCs w:val="20"/>
              </w:rPr>
            </w:pPr>
          </w:p>
        </w:tc>
        <w:tc>
          <w:tcPr>
            <w:tcW w:w="2119" w:type="dxa"/>
            <w:gridSpan w:val="2"/>
            <w:tcBorders>
              <w:top w:val="nil"/>
              <w:left w:val="nil"/>
              <w:bottom w:val="single" w:color="auto" w:sz="4" w:space="0"/>
              <w:right w:val="single" w:color="auto" w:sz="4" w:space="0"/>
            </w:tcBorders>
            <w:vAlign w:val="center"/>
          </w:tcPr>
          <w:p w14:paraId="0F3CBF4C">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其中：当年财政拨款　</w:t>
            </w:r>
          </w:p>
        </w:tc>
        <w:tc>
          <w:tcPr>
            <w:tcW w:w="994" w:type="dxa"/>
            <w:tcBorders>
              <w:top w:val="nil"/>
              <w:left w:val="nil"/>
              <w:bottom w:val="single" w:color="auto" w:sz="4" w:space="0"/>
              <w:right w:val="single" w:color="auto" w:sz="4" w:space="0"/>
            </w:tcBorders>
            <w:vAlign w:val="center"/>
          </w:tcPr>
          <w:p w14:paraId="3845354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0</w:t>
            </w:r>
          </w:p>
        </w:tc>
        <w:tc>
          <w:tcPr>
            <w:tcW w:w="1798" w:type="dxa"/>
            <w:tcBorders>
              <w:top w:val="nil"/>
              <w:left w:val="nil"/>
              <w:bottom w:val="single" w:color="auto" w:sz="4" w:space="0"/>
              <w:right w:val="single" w:color="auto" w:sz="4" w:space="0"/>
            </w:tcBorders>
            <w:vAlign w:val="center"/>
          </w:tcPr>
          <w:p w14:paraId="67BB97FF">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16" w:type="dxa"/>
            <w:tcBorders>
              <w:top w:val="nil"/>
              <w:left w:val="nil"/>
              <w:bottom w:val="single" w:color="auto" w:sz="4" w:space="0"/>
              <w:right w:val="single" w:color="auto" w:sz="4" w:space="0"/>
            </w:tcBorders>
            <w:vAlign w:val="center"/>
          </w:tcPr>
          <w:p w14:paraId="0CEF8AA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17" w:type="dxa"/>
            <w:tcBorders>
              <w:top w:val="nil"/>
              <w:left w:val="nil"/>
              <w:bottom w:val="single" w:color="auto" w:sz="4" w:space="0"/>
              <w:right w:val="single" w:color="auto" w:sz="4" w:space="0"/>
            </w:tcBorders>
            <w:vAlign w:val="center"/>
          </w:tcPr>
          <w:p w14:paraId="47688AEB">
            <w:pPr>
              <w:spacing w:line="260" w:lineRule="exact"/>
              <w:jc w:val="center"/>
              <w:rPr>
                <w:rFonts w:hint="eastAsia" w:ascii="仿宋_GB2312" w:hAnsi="仿宋_GB2312" w:eastAsia="仿宋_GB2312" w:cs="仿宋_GB2312"/>
                <w:color w:val="000000"/>
                <w:sz w:val="20"/>
                <w:szCs w:val="20"/>
              </w:rPr>
            </w:pPr>
          </w:p>
        </w:tc>
        <w:tc>
          <w:tcPr>
            <w:tcW w:w="864" w:type="dxa"/>
            <w:tcBorders>
              <w:top w:val="nil"/>
              <w:left w:val="nil"/>
              <w:bottom w:val="single" w:color="auto" w:sz="4" w:space="0"/>
              <w:right w:val="single" w:color="auto" w:sz="4" w:space="0"/>
            </w:tcBorders>
            <w:vAlign w:val="center"/>
          </w:tcPr>
          <w:p w14:paraId="570F81E9">
            <w:pPr>
              <w:spacing w:line="260" w:lineRule="exact"/>
              <w:jc w:val="center"/>
              <w:rPr>
                <w:rFonts w:hint="eastAsia" w:ascii="仿宋_GB2312" w:hAnsi="仿宋_GB2312" w:eastAsia="仿宋_GB2312" w:cs="仿宋_GB2312"/>
                <w:color w:val="000000"/>
                <w:sz w:val="20"/>
                <w:szCs w:val="20"/>
              </w:rPr>
            </w:pPr>
          </w:p>
        </w:tc>
        <w:tc>
          <w:tcPr>
            <w:tcW w:w="1381" w:type="dxa"/>
            <w:tcBorders>
              <w:top w:val="nil"/>
              <w:left w:val="nil"/>
              <w:bottom w:val="single" w:color="auto" w:sz="4" w:space="0"/>
              <w:right w:val="single" w:color="auto" w:sz="4" w:space="0"/>
            </w:tcBorders>
            <w:vAlign w:val="center"/>
          </w:tcPr>
          <w:p w14:paraId="0B570FB9">
            <w:pPr>
              <w:spacing w:line="260" w:lineRule="exact"/>
              <w:jc w:val="center"/>
              <w:rPr>
                <w:rFonts w:hint="eastAsia" w:ascii="仿宋_GB2312" w:hAnsi="仿宋_GB2312" w:eastAsia="仿宋_GB2312" w:cs="仿宋_GB2312"/>
                <w:color w:val="000000"/>
                <w:sz w:val="20"/>
                <w:szCs w:val="20"/>
              </w:rPr>
            </w:pPr>
          </w:p>
        </w:tc>
      </w:tr>
      <w:tr w14:paraId="663BEACC">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4A73A084">
            <w:pPr>
              <w:spacing w:line="260" w:lineRule="exact"/>
              <w:jc w:val="left"/>
              <w:rPr>
                <w:rFonts w:hint="eastAsia" w:ascii="仿宋_GB2312" w:hAnsi="仿宋_GB2312" w:eastAsia="仿宋_GB2312" w:cs="仿宋_GB2312"/>
                <w:color w:val="000000"/>
                <w:sz w:val="20"/>
                <w:szCs w:val="20"/>
              </w:rPr>
            </w:pPr>
          </w:p>
        </w:tc>
        <w:tc>
          <w:tcPr>
            <w:tcW w:w="2119" w:type="dxa"/>
            <w:gridSpan w:val="2"/>
            <w:tcBorders>
              <w:top w:val="nil"/>
              <w:left w:val="nil"/>
              <w:bottom w:val="single" w:color="auto" w:sz="4" w:space="0"/>
              <w:right w:val="single" w:color="auto" w:sz="4" w:space="0"/>
            </w:tcBorders>
            <w:vAlign w:val="center"/>
          </w:tcPr>
          <w:p w14:paraId="6A993BA9">
            <w:pPr>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上年结转资金　</w:t>
            </w:r>
          </w:p>
        </w:tc>
        <w:tc>
          <w:tcPr>
            <w:tcW w:w="994" w:type="dxa"/>
            <w:tcBorders>
              <w:top w:val="nil"/>
              <w:left w:val="nil"/>
              <w:bottom w:val="single" w:color="auto" w:sz="4" w:space="0"/>
              <w:right w:val="single" w:color="auto" w:sz="4" w:space="0"/>
            </w:tcBorders>
            <w:vAlign w:val="center"/>
          </w:tcPr>
          <w:p w14:paraId="1553DE96">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798" w:type="dxa"/>
            <w:tcBorders>
              <w:top w:val="nil"/>
              <w:left w:val="nil"/>
              <w:bottom w:val="single" w:color="auto" w:sz="4" w:space="0"/>
              <w:right w:val="single" w:color="auto" w:sz="4" w:space="0"/>
            </w:tcBorders>
            <w:vAlign w:val="center"/>
          </w:tcPr>
          <w:p w14:paraId="65253A07">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16" w:type="dxa"/>
            <w:tcBorders>
              <w:top w:val="nil"/>
              <w:left w:val="nil"/>
              <w:bottom w:val="single" w:color="auto" w:sz="4" w:space="0"/>
              <w:right w:val="single" w:color="auto" w:sz="4" w:space="0"/>
            </w:tcBorders>
            <w:vAlign w:val="center"/>
          </w:tcPr>
          <w:p w14:paraId="62AF05FF">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17" w:type="dxa"/>
            <w:tcBorders>
              <w:top w:val="nil"/>
              <w:left w:val="nil"/>
              <w:bottom w:val="single" w:color="auto" w:sz="4" w:space="0"/>
              <w:right w:val="single" w:color="auto" w:sz="4" w:space="0"/>
            </w:tcBorders>
            <w:vAlign w:val="center"/>
          </w:tcPr>
          <w:p w14:paraId="5E609DA2">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64" w:type="dxa"/>
            <w:tcBorders>
              <w:top w:val="nil"/>
              <w:left w:val="nil"/>
              <w:bottom w:val="single" w:color="auto" w:sz="4" w:space="0"/>
              <w:right w:val="single" w:color="auto" w:sz="4" w:space="0"/>
            </w:tcBorders>
            <w:vAlign w:val="center"/>
          </w:tcPr>
          <w:p w14:paraId="4605E580">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381" w:type="dxa"/>
            <w:tcBorders>
              <w:top w:val="nil"/>
              <w:left w:val="nil"/>
              <w:bottom w:val="single" w:color="auto" w:sz="4" w:space="0"/>
              <w:right w:val="single" w:color="auto" w:sz="4" w:space="0"/>
            </w:tcBorders>
            <w:vAlign w:val="center"/>
          </w:tcPr>
          <w:p w14:paraId="78CBED45">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14:paraId="0A863393">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1FB60CF9">
            <w:pPr>
              <w:spacing w:line="260" w:lineRule="exact"/>
              <w:jc w:val="left"/>
              <w:rPr>
                <w:rFonts w:hint="eastAsia" w:ascii="仿宋_GB2312" w:hAnsi="仿宋_GB2312" w:eastAsia="仿宋_GB2312" w:cs="仿宋_GB2312"/>
                <w:color w:val="000000"/>
                <w:sz w:val="20"/>
                <w:szCs w:val="20"/>
              </w:rPr>
            </w:pPr>
          </w:p>
        </w:tc>
        <w:tc>
          <w:tcPr>
            <w:tcW w:w="2119" w:type="dxa"/>
            <w:gridSpan w:val="2"/>
            <w:tcBorders>
              <w:top w:val="nil"/>
              <w:left w:val="nil"/>
              <w:bottom w:val="single" w:color="auto" w:sz="4" w:space="0"/>
              <w:right w:val="single" w:color="auto" w:sz="4" w:space="0"/>
            </w:tcBorders>
            <w:vAlign w:val="center"/>
          </w:tcPr>
          <w:p w14:paraId="710AE406">
            <w:pPr>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其他资金</w:t>
            </w:r>
          </w:p>
        </w:tc>
        <w:tc>
          <w:tcPr>
            <w:tcW w:w="994" w:type="dxa"/>
            <w:tcBorders>
              <w:top w:val="nil"/>
              <w:left w:val="nil"/>
              <w:bottom w:val="single" w:color="auto" w:sz="4" w:space="0"/>
              <w:right w:val="single" w:color="auto" w:sz="4" w:space="0"/>
            </w:tcBorders>
            <w:vAlign w:val="center"/>
          </w:tcPr>
          <w:p w14:paraId="424A52AE">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798" w:type="dxa"/>
            <w:tcBorders>
              <w:top w:val="nil"/>
              <w:left w:val="nil"/>
              <w:bottom w:val="single" w:color="auto" w:sz="4" w:space="0"/>
              <w:right w:val="single" w:color="auto" w:sz="4" w:space="0"/>
            </w:tcBorders>
            <w:vAlign w:val="center"/>
          </w:tcPr>
          <w:p w14:paraId="39E5CBEE">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16" w:type="dxa"/>
            <w:tcBorders>
              <w:top w:val="nil"/>
              <w:left w:val="nil"/>
              <w:bottom w:val="single" w:color="auto" w:sz="4" w:space="0"/>
              <w:right w:val="single" w:color="auto" w:sz="4" w:space="0"/>
            </w:tcBorders>
            <w:vAlign w:val="center"/>
          </w:tcPr>
          <w:p w14:paraId="35F9D7A8">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17" w:type="dxa"/>
            <w:tcBorders>
              <w:top w:val="nil"/>
              <w:left w:val="nil"/>
              <w:bottom w:val="single" w:color="auto" w:sz="4" w:space="0"/>
              <w:right w:val="single" w:color="auto" w:sz="4" w:space="0"/>
            </w:tcBorders>
            <w:vAlign w:val="center"/>
          </w:tcPr>
          <w:p w14:paraId="3C2E6CAA">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64" w:type="dxa"/>
            <w:tcBorders>
              <w:top w:val="nil"/>
              <w:left w:val="nil"/>
              <w:bottom w:val="single" w:color="auto" w:sz="4" w:space="0"/>
              <w:right w:val="single" w:color="auto" w:sz="4" w:space="0"/>
            </w:tcBorders>
            <w:vAlign w:val="center"/>
          </w:tcPr>
          <w:p w14:paraId="201B1B20">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381" w:type="dxa"/>
            <w:tcBorders>
              <w:top w:val="nil"/>
              <w:left w:val="nil"/>
              <w:bottom w:val="single" w:color="auto" w:sz="4" w:space="0"/>
              <w:right w:val="single" w:color="auto" w:sz="4" w:space="0"/>
            </w:tcBorders>
            <w:vAlign w:val="center"/>
          </w:tcPr>
          <w:p w14:paraId="5426BEDE">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14:paraId="5E506462">
        <w:tblPrEx>
          <w:tblCellMar>
            <w:top w:w="0" w:type="dxa"/>
            <w:left w:w="108" w:type="dxa"/>
            <w:bottom w:w="0" w:type="dxa"/>
            <w:right w:w="108" w:type="dxa"/>
          </w:tblCellMar>
        </w:tblPrEx>
        <w:trPr>
          <w:jc w:val="center"/>
        </w:trPr>
        <w:tc>
          <w:tcPr>
            <w:tcW w:w="1062" w:type="dxa"/>
            <w:vMerge w:val="restart"/>
            <w:tcBorders>
              <w:top w:val="nil"/>
              <w:left w:val="single" w:color="auto" w:sz="4" w:space="0"/>
              <w:bottom w:val="single" w:color="000000" w:sz="4" w:space="0"/>
              <w:right w:val="single" w:color="auto" w:sz="4" w:space="0"/>
            </w:tcBorders>
            <w:vAlign w:val="center"/>
          </w:tcPr>
          <w:p w14:paraId="74FEF016">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年度总体目标</w:t>
            </w:r>
          </w:p>
        </w:tc>
        <w:tc>
          <w:tcPr>
            <w:tcW w:w="4911" w:type="dxa"/>
            <w:gridSpan w:val="4"/>
            <w:tcBorders>
              <w:top w:val="single" w:color="auto" w:sz="4" w:space="0"/>
              <w:left w:val="nil"/>
              <w:bottom w:val="single" w:color="auto" w:sz="4" w:space="0"/>
              <w:right w:val="single" w:color="000000" w:sz="4" w:space="0"/>
            </w:tcBorders>
            <w:vAlign w:val="center"/>
          </w:tcPr>
          <w:p w14:paraId="6480981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预期目标</w:t>
            </w:r>
          </w:p>
        </w:tc>
        <w:tc>
          <w:tcPr>
            <w:tcW w:w="3878" w:type="dxa"/>
            <w:gridSpan w:val="4"/>
            <w:tcBorders>
              <w:top w:val="single" w:color="auto" w:sz="4" w:space="0"/>
              <w:left w:val="nil"/>
              <w:bottom w:val="single" w:color="auto" w:sz="4" w:space="0"/>
              <w:right w:val="single" w:color="auto" w:sz="4" w:space="0"/>
            </w:tcBorders>
            <w:vAlign w:val="center"/>
          </w:tcPr>
          <w:p w14:paraId="6442E3C7">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实际完成情况　</w:t>
            </w:r>
          </w:p>
        </w:tc>
      </w:tr>
      <w:tr w14:paraId="789AC77F">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52129F26">
            <w:pPr>
              <w:spacing w:line="260" w:lineRule="exact"/>
              <w:jc w:val="left"/>
              <w:rPr>
                <w:rFonts w:hint="eastAsia" w:ascii="仿宋_GB2312" w:hAnsi="仿宋_GB2312" w:eastAsia="仿宋_GB2312" w:cs="仿宋_GB2312"/>
                <w:color w:val="000000"/>
                <w:sz w:val="20"/>
                <w:szCs w:val="20"/>
              </w:rPr>
            </w:pPr>
          </w:p>
        </w:tc>
        <w:tc>
          <w:tcPr>
            <w:tcW w:w="4911" w:type="dxa"/>
            <w:gridSpan w:val="4"/>
            <w:tcBorders>
              <w:top w:val="single" w:color="auto" w:sz="4" w:space="0"/>
              <w:left w:val="nil"/>
              <w:bottom w:val="single" w:color="auto" w:sz="4" w:space="0"/>
              <w:right w:val="single" w:color="000000" w:sz="4" w:space="0"/>
            </w:tcBorders>
            <w:vAlign w:val="center"/>
          </w:tcPr>
          <w:p w14:paraId="43A46360">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eastAsia="zh-CN"/>
              </w:rPr>
              <w:t>将岳阳市登记数据、权籍数据、档案数据迁移至省级一库一平台系统数据库，部署省级不动产登记发证系统、省级不动产权籍系统、省级档案系统。对接岳阳市外联单位系统并完成系统业务联调测试。</w:t>
            </w:r>
            <w:r>
              <w:rPr>
                <w:rFonts w:hint="eastAsia" w:ascii="仿宋_GB2312" w:hAnsi="仿宋_GB2312" w:eastAsia="仿宋_GB2312" w:cs="仿宋_GB2312"/>
                <w:color w:val="000000"/>
                <w:sz w:val="20"/>
                <w:szCs w:val="20"/>
              </w:rPr>
              <w:t>　　</w:t>
            </w:r>
          </w:p>
        </w:tc>
        <w:tc>
          <w:tcPr>
            <w:tcW w:w="3878" w:type="dxa"/>
            <w:gridSpan w:val="4"/>
            <w:tcBorders>
              <w:top w:val="single" w:color="auto" w:sz="4" w:space="0"/>
              <w:left w:val="nil"/>
              <w:bottom w:val="single" w:color="auto" w:sz="4" w:space="0"/>
              <w:right w:val="single" w:color="auto" w:sz="4" w:space="0"/>
            </w:tcBorders>
            <w:vAlign w:val="center"/>
          </w:tcPr>
          <w:p w14:paraId="3023A58B">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已完成</w:t>
            </w:r>
          </w:p>
        </w:tc>
      </w:tr>
      <w:tr w14:paraId="2943B98D">
        <w:tblPrEx>
          <w:tblCellMar>
            <w:top w:w="0" w:type="dxa"/>
            <w:left w:w="108" w:type="dxa"/>
            <w:bottom w:w="0" w:type="dxa"/>
            <w:right w:w="108" w:type="dxa"/>
          </w:tblCellMar>
        </w:tblPrEx>
        <w:trPr>
          <w:jc w:val="center"/>
        </w:trPr>
        <w:tc>
          <w:tcPr>
            <w:tcW w:w="1062" w:type="dxa"/>
            <w:vMerge w:val="restart"/>
            <w:tcBorders>
              <w:top w:val="nil"/>
              <w:left w:val="single" w:color="auto" w:sz="4" w:space="0"/>
              <w:right w:val="single" w:color="auto" w:sz="4" w:space="0"/>
            </w:tcBorders>
            <w:vAlign w:val="center"/>
          </w:tcPr>
          <w:p w14:paraId="5427CBD8">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绩</w:t>
            </w:r>
          </w:p>
          <w:p w14:paraId="3E98E0A1">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w:t>
            </w:r>
          </w:p>
          <w:p w14:paraId="75FA799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w:t>
            </w:r>
          </w:p>
          <w:p w14:paraId="054820FA">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标</w:t>
            </w:r>
          </w:p>
        </w:tc>
        <w:tc>
          <w:tcPr>
            <w:tcW w:w="1063" w:type="dxa"/>
            <w:tcBorders>
              <w:top w:val="nil"/>
              <w:left w:val="nil"/>
              <w:bottom w:val="single" w:color="auto" w:sz="4" w:space="0"/>
              <w:right w:val="single" w:color="auto" w:sz="4" w:space="0"/>
            </w:tcBorders>
            <w:vAlign w:val="center"/>
          </w:tcPr>
          <w:p w14:paraId="63800F2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一级指标</w:t>
            </w:r>
          </w:p>
        </w:tc>
        <w:tc>
          <w:tcPr>
            <w:tcW w:w="1056" w:type="dxa"/>
            <w:tcBorders>
              <w:top w:val="nil"/>
              <w:left w:val="nil"/>
              <w:bottom w:val="single" w:color="auto" w:sz="4" w:space="0"/>
              <w:right w:val="single" w:color="auto" w:sz="4" w:space="0"/>
            </w:tcBorders>
            <w:vAlign w:val="center"/>
          </w:tcPr>
          <w:p w14:paraId="2159B5A6">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二级指标</w:t>
            </w:r>
          </w:p>
        </w:tc>
        <w:tc>
          <w:tcPr>
            <w:tcW w:w="994" w:type="dxa"/>
            <w:tcBorders>
              <w:top w:val="nil"/>
              <w:left w:val="nil"/>
              <w:bottom w:val="single" w:color="auto" w:sz="4" w:space="0"/>
              <w:right w:val="single" w:color="auto" w:sz="4" w:space="0"/>
            </w:tcBorders>
            <w:vAlign w:val="center"/>
          </w:tcPr>
          <w:p w14:paraId="314CF83D">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三级指标</w:t>
            </w:r>
          </w:p>
        </w:tc>
        <w:tc>
          <w:tcPr>
            <w:tcW w:w="1798" w:type="dxa"/>
            <w:tcBorders>
              <w:top w:val="nil"/>
              <w:left w:val="nil"/>
              <w:bottom w:val="single" w:color="auto" w:sz="4" w:space="0"/>
              <w:right w:val="single" w:color="auto" w:sz="4" w:space="0"/>
            </w:tcBorders>
            <w:vAlign w:val="center"/>
          </w:tcPr>
          <w:p w14:paraId="43DC5BD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w:t>
            </w:r>
          </w:p>
          <w:p w14:paraId="2634D3B8">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指标值</w:t>
            </w:r>
          </w:p>
        </w:tc>
        <w:tc>
          <w:tcPr>
            <w:tcW w:w="816" w:type="dxa"/>
            <w:tcBorders>
              <w:top w:val="nil"/>
              <w:left w:val="nil"/>
              <w:bottom w:val="single" w:color="auto" w:sz="4" w:space="0"/>
              <w:right w:val="single" w:color="auto" w:sz="4" w:space="0"/>
            </w:tcBorders>
            <w:vAlign w:val="center"/>
          </w:tcPr>
          <w:p w14:paraId="5E46F4E0">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w:t>
            </w:r>
          </w:p>
          <w:p w14:paraId="07B41C0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完成值</w:t>
            </w:r>
          </w:p>
        </w:tc>
        <w:tc>
          <w:tcPr>
            <w:tcW w:w="817" w:type="dxa"/>
            <w:tcBorders>
              <w:top w:val="nil"/>
              <w:left w:val="nil"/>
              <w:bottom w:val="single" w:color="auto" w:sz="4" w:space="0"/>
              <w:right w:val="single" w:color="auto" w:sz="4" w:space="0"/>
            </w:tcBorders>
            <w:vAlign w:val="center"/>
          </w:tcPr>
          <w:p w14:paraId="32B667E9">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分值</w:t>
            </w:r>
          </w:p>
        </w:tc>
        <w:tc>
          <w:tcPr>
            <w:tcW w:w="864" w:type="dxa"/>
            <w:tcBorders>
              <w:top w:val="nil"/>
              <w:left w:val="nil"/>
              <w:bottom w:val="single" w:color="auto" w:sz="4" w:space="0"/>
              <w:right w:val="single" w:color="auto" w:sz="4" w:space="0"/>
            </w:tcBorders>
            <w:vAlign w:val="center"/>
          </w:tcPr>
          <w:p w14:paraId="0B5CAB41">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得分</w:t>
            </w:r>
          </w:p>
        </w:tc>
        <w:tc>
          <w:tcPr>
            <w:tcW w:w="1381" w:type="dxa"/>
            <w:tcBorders>
              <w:top w:val="nil"/>
              <w:left w:val="nil"/>
              <w:bottom w:val="single" w:color="auto" w:sz="4" w:space="0"/>
              <w:right w:val="single" w:color="auto" w:sz="4" w:space="0"/>
            </w:tcBorders>
            <w:vAlign w:val="center"/>
          </w:tcPr>
          <w:p w14:paraId="29286DE1">
            <w:pPr>
              <w:spacing w:line="260" w:lineRule="exac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偏差原因分析及改进措施</w:t>
            </w:r>
          </w:p>
        </w:tc>
      </w:tr>
      <w:tr w14:paraId="7D4F833E">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514B6F64">
            <w:pPr>
              <w:spacing w:line="260" w:lineRule="exact"/>
              <w:jc w:val="left"/>
              <w:rPr>
                <w:rFonts w:hint="eastAsia" w:ascii="仿宋_GB2312" w:hAnsi="仿宋_GB2312" w:eastAsia="仿宋_GB2312" w:cs="仿宋_GB2312"/>
                <w:color w:val="000000"/>
                <w:sz w:val="20"/>
                <w:szCs w:val="20"/>
              </w:rPr>
            </w:pPr>
          </w:p>
        </w:tc>
        <w:tc>
          <w:tcPr>
            <w:tcW w:w="1063" w:type="dxa"/>
            <w:vMerge w:val="restart"/>
            <w:tcBorders>
              <w:top w:val="nil"/>
              <w:left w:val="nil"/>
              <w:right w:val="single" w:color="auto" w:sz="4" w:space="0"/>
            </w:tcBorders>
            <w:vAlign w:val="center"/>
          </w:tcPr>
          <w:p w14:paraId="213853D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产出指标</w:t>
            </w:r>
          </w:p>
          <w:p w14:paraId="1213D18E">
            <w:pPr>
              <w:spacing w:line="260" w:lineRule="exact"/>
              <w:jc w:val="center"/>
              <w:rPr>
                <w:rFonts w:hint="eastAsia" w:ascii="仿宋_GB2312" w:hAnsi="仿宋_GB2312" w:eastAsia="仿宋_GB2312" w:cs="仿宋_GB2312"/>
                <w:color w:val="000000"/>
                <w:sz w:val="20"/>
                <w:szCs w:val="20"/>
              </w:rPr>
            </w:pPr>
          </w:p>
          <w:p w14:paraId="1EE498AD">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(50分)</w:t>
            </w:r>
          </w:p>
        </w:tc>
        <w:tc>
          <w:tcPr>
            <w:tcW w:w="1056" w:type="dxa"/>
            <w:vMerge w:val="restart"/>
            <w:tcBorders>
              <w:top w:val="single" w:color="auto" w:sz="4" w:space="0"/>
              <w:left w:val="nil"/>
              <w:bottom w:val="single" w:color="auto" w:sz="4" w:space="0"/>
              <w:right w:val="single" w:color="auto" w:sz="4" w:space="0"/>
            </w:tcBorders>
            <w:vAlign w:val="center"/>
          </w:tcPr>
          <w:p w14:paraId="666202D2">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数量指标</w:t>
            </w:r>
          </w:p>
        </w:tc>
        <w:tc>
          <w:tcPr>
            <w:tcW w:w="994" w:type="dxa"/>
            <w:tcBorders>
              <w:top w:val="single" w:color="auto" w:sz="4" w:space="0"/>
              <w:left w:val="nil"/>
              <w:bottom w:val="single" w:color="auto" w:sz="4" w:space="0"/>
              <w:right w:val="single" w:color="auto" w:sz="4" w:space="0"/>
            </w:tcBorders>
            <w:vAlign w:val="center"/>
          </w:tcPr>
          <w:p w14:paraId="239A1D22">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年度业务量</w:t>
            </w:r>
          </w:p>
        </w:tc>
        <w:tc>
          <w:tcPr>
            <w:tcW w:w="1798" w:type="dxa"/>
            <w:tcBorders>
              <w:top w:val="single" w:color="auto" w:sz="4" w:space="0"/>
              <w:left w:val="nil"/>
              <w:bottom w:val="single" w:color="auto" w:sz="4" w:space="0"/>
              <w:right w:val="single" w:color="auto" w:sz="4" w:space="0"/>
            </w:tcBorders>
            <w:vAlign w:val="center"/>
          </w:tcPr>
          <w:p w14:paraId="1833290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使用系统办件的业务量（不包含查询）150000(件)</w:t>
            </w:r>
          </w:p>
        </w:tc>
        <w:tc>
          <w:tcPr>
            <w:tcW w:w="816" w:type="dxa"/>
            <w:tcBorders>
              <w:top w:val="single" w:color="auto" w:sz="4" w:space="0"/>
              <w:left w:val="nil"/>
              <w:bottom w:val="single" w:color="auto" w:sz="4" w:space="0"/>
              <w:right w:val="single" w:color="auto" w:sz="4" w:space="0"/>
            </w:tcBorders>
            <w:vAlign w:val="center"/>
          </w:tcPr>
          <w:p w14:paraId="659DC821">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130000</w:t>
            </w:r>
          </w:p>
        </w:tc>
        <w:tc>
          <w:tcPr>
            <w:tcW w:w="817" w:type="dxa"/>
            <w:tcBorders>
              <w:top w:val="single" w:color="auto" w:sz="4" w:space="0"/>
              <w:left w:val="nil"/>
              <w:bottom w:val="single" w:color="auto" w:sz="4" w:space="0"/>
              <w:right w:val="single" w:color="auto" w:sz="4" w:space="0"/>
            </w:tcBorders>
            <w:vAlign w:val="center"/>
          </w:tcPr>
          <w:p w14:paraId="6F4D262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864" w:type="dxa"/>
            <w:tcBorders>
              <w:top w:val="single" w:color="auto" w:sz="4" w:space="0"/>
              <w:left w:val="nil"/>
              <w:bottom w:val="single" w:color="auto" w:sz="4" w:space="0"/>
              <w:right w:val="single" w:color="auto" w:sz="4" w:space="0"/>
            </w:tcBorders>
            <w:vAlign w:val="center"/>
          </w:tcPr>
          <w:p w14:paraId="7BC0AE1F">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8</w:t>
            </w:r>
          </w:p>
        </w:tc>
        <w:tc>
          <w:tcPr>
            <w:tcW w:w="1381" w:type="dxa"/>
            <w:tcBorders>
              <w:top w:val="single" w:color="auto" w:sz="4" w:space="0"/>
              <w:left w:val="nil"/>
              <w:bottom w:val="single" w:color="auto" w:sz="4" w:space="0"/>
              <w:right w:val="single" w:color="auto" w:sz="4" w:space="0"/>
            </w:tcBorders>
            <w:vAlign w:val="center"/>
          </w:tcPr>
          <w:p w14:paraId="1860510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因市场原因实际业务量偏低</w:t>
            </w:r>
          </w:p>
        </w:tc>
      </w:tr>
      <w:tr w14:paraId="6740A368">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55A3F6B3">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left w:val="nil"/>
              <w:right w:val="single" w:color="auto" w:sz="4" w:space="0"/>
            </w:tcBorders>
            <w:vAlign w:val="center"/>
          </w:tcPr>
          <w:p w14:paraId="0DA588FC">
            <w:pPr>
              <w:spacing w:line="260" w:lineRule="exact"/>
              <w:jc w:val="left"/>
              <w:rPr>
                <w:rFonts w:hint="eastAsia" w:ascii="仿宋_GB2312" w:hAnsi="仿宋_GB2312" w:eastAsia="仿宋_GB2312" w:cs="仿宋_GB2312"/>
                <w:color w:val="000000"/>
                <w:sz w:val="20"/>
                <w:szCs w:val="20"/>
              </w:rPr>
            </w:pPr>
          </w:p>
        </w:tc>
        <w:tc>
          <w:tcPr>
            <w:tcW w:w="1056" w:type="dxa"/>
            <w:vMerge w:val="continue"/>
            <w:tcBorders>
              <w:top w:val="single" w:color="auto" w:sz="4" w:space="0"/>
              <w:left w:val="nil"/>
              <w:bottom w:val="single" w:color="auto" w:sz="4" w:space="0"/>
              <w:right w:val="single" w:color="auto" w:sz="4" w:space="0"/>
            </w:tcBorders>
            <w:vAlign w:val="center"/>
          </w:tcPr>
          <w:p w14:paraId="7C3A30C3">
            <w:pPr>
              <w:spacing w:line="260" w:lineRule="exact"/>
              <w:jc w:val="center"/>
              <w:rPr>
                <w:rFonts w:hint="eastAsia" w:ascii="仿宋_GB2312" w:hAnsi="仿宋_GB2312" w:eastAsia="仿宋_GB2312" w:cs="仿宋_GB2312"/>
                <w:color w:val="000000"/>
                <w:sz w:val="20"/>
                <w:szCs w:val="20"/>
              </w:rPr>
            </w:pPr>
          </w:p>
        </w:tc>
        <w:tc>
          <w:tcPr>
            <w:tcW w:w="994" w:type="dxa"/>
            <w:tcBorders>
              <w:top w:val="single" w:color="auto" w:sz="4" w:space="0"/>
              <w:left w:val="nil"/>
              <w:bottom w:val="single" w:color="auto" w:sz="4" w:space="0"/>
              <w:right w:val="single" w:color="auto" w:sz="4" w:space="0"/>
            </w:tcBorders>
            <w:vAlign w:val="center"/>
          </w:tcPr>
          <w:p w14:paraId="55499A11">
            <w:pPr>
              <w:spacing w:line="260" w:lineRule="exact"/>
              <w:jc w:val="center"/>
              <w:rPr>
                <w:rFonts w:ascii="仿宋_GB2312" w:hAnsi="仿宋_GB2312" w:eastAsia="仿宋_GB2312" w:cs="仿宋_GB2312"/>
                <w:color w:val="000000"/>
                <w:sz w:val="20"/>
                <w:szCs w:val="20"/>
              </w:rPr>
            </w:pPr>
            <w:r>
              <w:rPr>
                <w:rFonts w:ascii="仿宋_GB2312" w:hAnsi="仿宋_GB2312" w:eastAsia="仿宋_GB2312" w:cs="仿宋_GB2312"/>
                <w:color w:val="000000"/>
                <w:sz w:val="20"/>
                <w:szCs w:val="20"/>
              </w:rPr>
              <w:t>年度人均业务量</w:t>
            </w:r>
          </w:p>
          <w:p w14:paraId="537D557E">
            <w:pPr>
              <w:spacing w:line="260" w:lineRule="exact"/>
              <w:jc w:val="center"/>
              <w:rPr>
                <w:rFonts w:hint="eastAsia" w:ascii="仿宋_GB2312" w:hAnsi="仿宋_GB2312" w:eastAsia="仿宋_GB2312" w:cs="仿宋_GB2312"/>
                <w:color w:val="000000"/>
                <w:sz w:val="20"/>
                <w:szCs w:val="20"/>
              </w:rPr>
            </w:pPr>
          </w:p>
        </w:tc>
        <w:tc>
          <w:tcPr>
            <w:tcW w:w="1798" w:type="dxa"/>
            <w:tcBorders>
              <w:top w:val="single" w:color="auto" w:sz="4" w:space="0"/>
              <w:left w:val="nil"/>
              <w:bottom w:val="single" w:color="auto" w:sz="4" w:space="0"/>
              <w:right w:val="single" w:color="auto" w:sz="4" w:space="0"/>
            </w:tcBorders>
            <w:vAlign w:val="center"/>
          </w:tcPr>
          <w:p w14:paraId="0B357DB7">
            <w:pPr>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平均每用户办理/查询业务数</w:t>
            </w:r>
          </w:p>
          <w:p w14:paraId="713B1B30">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 xml:space="preserve">量 </w:t>
            </w:r>
            <w:r>
              <w:rPr>
                <w:rFonts w:hint="eastAsia" w:ascii="仿宋_GB2312" w:hAnsi="仿宋_GB2312" w:eastAsia="仿宋_GB2312" w:cs="仿宋_GB2312"/>
                <w:color w:val="000000"/>
                <w:sz w:val="20"/>
                <w:szCs w:val="20"/>
              </w:rPr>
              <w:t>80</w:t>
            </w:r>
            <w:r>
              <w:rPr>
                <w:rFonts w:ascii="仿宋_GB2312" w:hAnsi="仿宋_GB2312" w:eastAsia="仿宋_GB2312" w:cs="仿宋_GB2312"/>
                <w:color w:val="000000"/>
                <w:sz w:val="20"/>
                <w:szCs w:val="20"/>
              </w:rPr>
              <w:t>( % )</w:t>
            </w:r>
          </w:p>
        </w:tc>
        <w:tc>
          <w:tcPr>
            <w:tcW w:w="816" w:type="dxa"/>
            <w:tcBorders>
              <w:top w:val="single" w:color="auto" w:sz="4" w:space="0"/>
              <w:left w:val="nil"/>
              <w:bottom w:val="single" w:color="auto" w:sz="4" w:space="0"/>
              <w:right w:val="single" w:color="auto" w:sz="4" w:space="0"/>
            </w:tcBorders>
            <w:vAlign w:val="center"/>
          </w:tcPr>
          <w:p w14:paraId="4C138350">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17" w:type="dxa"/>
            <w:tcBorders>
              <w:top w:val="single" w:color="auto" w:sz="4" w:space="0"/>
              <w:left w:val="nil"/>
              <w:bottom w:val="single" w:color="auto" w:sz="4" w:space="0"/>
              <w:right w:val="single" w:color="auto" w:sz="4" w:space="0"/>
            </w:tcBorders>
            <w:vAlign w:val="center"/>
          </w:tcPr>
          <w:p w14:paraId="71DCF077">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single" w:color="auto" w:sz="4" w:space="0"/>
              <w:left w:val="nil"/>
              <w:bottom w:val="single" w:color="auto" w:sz="4" w:space="0"/>
              <w:right w:val="single" w:color="auto" w:sz="4" w:space="0"/>
            </w:tcBorders>
            <w:vAlign w:val="center"/>
          </w:tcPr>
          <w:p w14:paraId="291EB6E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single" w:color="auto" w:sz="4" w:space="0"/>
              <w:left w:val="nil"/>
              <w:bottom w:val="single" w:color="auto" w:sz="4" w:space="0"/>
              <w:right w:val="single" w:color="auto" w:sz="4" w:space="0"/>
            </w:tcBorders>
            <w:vAlign w:val="center"/>
          </w:tcPr>
          <w:p w14:paraId="1213FC82">
            <w:pPr>
              <w:spacing w:line="260" w:lineRule="exact"/>
              <w:jc w:val="center"/>
              <w:rPr>
                <w:rFonts w:hint="eastAsia" w:ascii="仿宋_GB2312" w:hAnsi="仿宋_GB2312" w:eastAsia="仿宋_GB2312" w:cs="仿宋_GB2312"/>
                <w:color w:val="000000"/>
                <w:sz w:val="20"/>
                <w:szCs w:val="20"/>
              </w:rPr>
            </w:pPr>
          </w:p>
        </w:tc>
      </w:tr>
      <w:tr w14:paraId="18EABC61">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392BC410">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left w:val="nil"/>
              <w:right w:val="single" w:color="auto" w:sz="4" w:space="0"/>
            </w:tcBorders>
            <w:vAlign w:val="center"/>
          </w:tcPr>
          <w:p w14:paraId="186135C5">
            <w:pPr>
              <w:spacing w:line="260" w:lineRule="exact"/>
              <w:jc w:val="left"/>
              <w:rPr>
                <w:rFonts w:hint="eastAsia" w:ascii="仿宋_GB2312" w:hAnsi="仿宋_GB2312" w:eastAsia="仿宋_GB2312" w:cs="仿宋_GB2312"/>
                <w:color w:val="000000"/>
                <w:sz w:val="20"/>
                <w:szCs w:val="20"/>
              </w:rPr>
            </w:pPr>
          </w:p>
        </w:tc>
        <w:tc>
          <w:tcPr>
            <w:tcW w:w="1056" w:type="dxa"/>
            <w:vMerge w:val="continue"/>
            <w:tcBorders>
              <w:top w:val="single" w:color="auto" w:sz="4" w:space="0"/>
              <w:left w:val="nil"/>
              <w:bottom w:val="single" w:color="auto" w:sz="4" w:space="0"/>
              <w:right w:val="single" w:color="auto" w:sz="4" w:space="0"/>
            </w:tcBorders>
            <w:vAlign w:val="center"/>
          </w:tcPr>
          <w:p w14:paraId="0516C3BA">
            <w:pPr>
              <w:spacing w:line="260" w:lineRule="exact"/>
              <w:jc w:val="center"/>
              <w:rPr>
                <w:rFonts w:hint="eastAsia" w:ascii="仿宋_GB2312" w:hAnsi="仿宋_GB2312" w:eastAsia="仿宋_GB2312" w:cs="仿宋_GB2312"/>
                <w:color w:val="000000"/>
                <w:sz w:val="20"/>
                <w:szCs w:val="20"/>
              </w:rPr>
            </w:pPr>
          </w:p>
        </w:tc>
        <w:tc>
          <w:tcPr>
            <w:tcW w:w="994" w:type="dxa"/>
            <w:tcBorders>
              <w:top w:val="single" w:color="auto" w:sz="4" w:space="0"/>
              <w:left w:val="nil"/>
              <w:bottom w:val="single" w:color="auto" w:sz="4" w:space="0"/>
              <w:right w:val="single" w:color="auto" w:sz="4" w:space="0"/>
            </w:tcBorders>
            <w:vAlign w:val="center"/>
          </w:tcPr>
          <w:p w14:paraId="49213BF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系统用户数</w:t>
            </w:r>
          </w:p>
        </w:tc>
        <w:tc>
          <w:tcPr>
            <w:tcW w:w="1798" w:type="dxa"/>
            <w:tcBorders>
              <w:top w:val="single" w:color="auto" w:sz="4" w:space="0"/>
              <w:left w:val="nil"/>
              <w:bottom w:val="single" w:color="auto" w:sz="4" w:space="0"/>
              <w:right w:val="single" w:color="auto" w:sz="4" w:space="0"/>
            </w:tcBorders>
            <w:vAlign w:val="center"/>
          </w:tcPr>
          <w:p w14:paraId="7EF83E09">
            <w:pPr>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系统用户总数及分类用户数</w:t>
            </w:r>
          </w:p>
          <w:p w14:paraId="1470CB3F">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2000</w:t>
            </w:r>
            <w:r>
              <w:rPr>
                <w:rFonts w:ascii="仿宋_GB2312" w:hAnsi="仿宋_GB2312" w:eastAsia="仿宋_GB2312" w:cs="仿宋_GB2312"/>
                <w:color w:val="000000"/>
                <w:sz w:val="20"/>
                <w:szCs w:val="20"/>
              </w:rPr>
              <w:t>(个)</w:t>
            </w:r>
          </w:p>
          <w:p w14:paraId="37DDBEAC">
            <w:pPr>
              <w:spacing w:line="260" w:lineRule="exact"/>
              <w:jc w:val="center"/>
              <w:rPr>
                <w:rFonts w:hint="eastAsia" w:ascii="仿宋_GB2312" w:hAnsi="仿宋_GB2312" w:eastAsia="仿宋_GB2312" w:cs="仿宋_GB2312"/>
                <w:color w:val="000000"/>
                <w:sz w:val="20"/>
                <w:szCs w:val="20"/>
              </w:rPr>
            </w:pPr>
          </w:p>
        </w:tc>
        <w:tc>
          <w:tcPr>
            <w:tcW w:w="816" w:type="dxa"/>
            <w:tcBorders>
              <w:top w:val="single" w:color="auto" w:sz="4" w:space="0"/>
              <w:left w:val="nil"/>
              <w:bottom w:val="single" w:color="auto" w:sz="4" w:space="0"/>
              <w:right w:val="single" w:color="auto" w:sz="4" w:space="0"/>
            </w:tcBorders>
            <w:vAlign w:val="center"/>
          </w:tcPr>
          <w:p w14:paraId="4C6255D1">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2700</w:t>
            </w:r>
          </w:p>
        </w:tc>
        <w:tc>
          <w:tcPr>
            <w:tcW w:w="817" w:type="dxa"/>
            <w:tcBorders>
              <w:top w:val="single" w:color="auto" w:sz="4" w:space="0"/>
              <w:left w:val="nil"/>
              <w:bottom w:val="single" w:color="auto" w:sz="4" w:space="0"/>
              <w:right w:val="single" w:color="auto" w:sz="4" w:space="0"/>
            </w:tcBorders>
            <w:vAlign w:val="center"/>
          </w:tcPr>
          <w:p w14:paraId="3B74ADE6">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single" w:color="auto" w:sz="4" w:space="0"/>
              <w:left w:val="nil"/>
              <w:bottom w:val="single" w:color="auto" w:sz="4" w:space="0"/>
              <w:right w:val="single" w:color="auto" w:sz="4" w:space="0"/>
            </w:tcBorders>
            <w:vAlign w:val="center"/>
          </w:tcPr>
          <w:p w14:paraId="6B8EDA5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single" w:color="auto" w:sz="4" w:space="0"/>
              <w:left w:val="nil"/>
              <w:bottom w:val="single" w:color="auto" w:sz="4" w:space="0"/>
              <w:right w:val="single" w:color="auto" w:sz="4" w:space="0"/>
            </w:tcBorders>
            <w:vAlign w:val="center"/>
          </w:tcPr>
          <w:p w14:paraId="74F82286">
            <w:pPr>
              <w:spacing w:line="260" w:lineRule="exact"/>
              <w:jc w:val="center"/>
              <w:rPr>
                <w:rFonts w:hint="eastAsia" w:ascii="仿宋_GB2312" w:hAnsi="仿宋_GB2312" w:eastAsia="仿宋_GB2312" w:cs="仿宋_GB2312"/>
                <w:color w:val="000000"/>
                <w:sz w:val="20"/>
                <w:szCs w:val="20"/>
              </w:rPr>
            </w:pPr>
          </w:p>
        </w:tc>
      </w:tr>
      <w:tr w14:paraId="54354EAD">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52B2A540">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left w:val="nil"/>
              <w:right w:val="single" w:color="auto" w:sz="4" w:space="0"/>
            </w:tcBorders>
            <w:vAlign w:val="center"/>
          </w:tcPr>
          <w:p w14:paraId="2A7A71E7">
            <w:pPr>
              <w:spacing w:line="260" w:lineRule="exact"/>
              <w:jc w:val="left"/>
              <w:rPr>
                <w:rFonts w:hint="eastAsia" w:ascii="仿宋_GB2312" w:hAnsi="仿宋_GB2312" w:eastAsia="仿宋_GB2312" w:cs="仿宋_GB2312"/>
                <w:color w:val="000000"/>
                <w:sz w:val="20"/>
                <w:szCs w:val="20"/>
              </w:rPr>
            </w:pPr>
          </w:p>
        </w:tc>
        <w:tc>
          <w:tcPr>
            <w:tcW w:w="1056" w:type="dxa"/>
            <w:vMerge w:val="continue"/>
            <w:tcBorders>
              <w:top w:val="single" w:color="auto" w:sz="4" w:space="0"/>
              <w:left w:val="nil"/>
              <w:bottom w:val="single" w:color="auto" w:sz="4" w:space="0"/>
              <w:right w:val="single" w:color="auto" w:sz="4" w:space="0"/>
            </w:tcBorders>
            <w:vAlign w:val="center"/>
          </w:tcPr>
          <w:p w14:paraId="367062BE">
            <w:pPr>
              <w:spacing w:line="260" w:lineRule="exact"/>
              <w:jc w:val="center"/>
              <w:rPr>
                <w:rFonts w:hint="eastAsia" w:ascii="仿宋_GB2312" w:hAnsi="仿宋_GB2312" w:eastAsia="仿宋_GB2312" w:cs="仿宋_GB2312"/>
                <w:color w:val="000000"/>
                <w:sz w:val="20"/>
                <w:szCs w:val="20"/>
              </w:rPr>
            </w:pPr>
          </w:p>
        </w:tc>
        <w:tc>
          <w:tcPr>
            <w:tcW w:w="994" w:type="dxa"/>
            <w:tcBorders>
              <w:top w:val="single" w:color="auto" w:sz="4" w:space="0"/>
              <w:left w:val="nil"/>
              <w:bottom w:val="single" w:color="auto" w:sz="4" w:space="0"/>
              <w:right w:val="single" w:color="auto" w:sz="4" w:space="0"/>
            </w:tcBorders>
            <w:vAlign w:val="center"/>
          </w:tcPr>
          <w:p w14:paraId="1088D2DE">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年度新增数据量</w:t>
            </w:r>
          </w:p>
        </w:tc>
        <w:tc>
          <w:tcPr>
            <w:tcW w:w="1798" w:type="dxa"/>
            <w:tcBorders>
              <w:top w:val="single" w:color="auto" w:sz="4" w:space="0"/>
              <w:left w:val="nil"/>
              <w:bottom w:val="single" w:color="auto" w:sz="4" w:space="0"/>
              <w:right w:val="single" w:color="auto" w:sz="4" w:space="0"/>
            </w:tcBorders>
            <w:vAlign w:val="center"/>
          </w:tcPr>
          <w:p w14:paraId="6C0E38D5">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系统新增业务数据量</w:t>
            </w:r>
            <w:r>
              <w:rPr>
                <w:rFonts w:hint="eastAsia" w:ascii="仿宋_GB2312" w:hAnsi="仿宋_GB2312" w:eastAsia="仿宋_GB2312" w:cs="仿宋_GB2312"/>
                <w:color w:val="000000"/>
                <w:sz w:val="20"/>
                <w:szCs w:val="20"/>
              </w:rPr>
              <w:t>150000</w:t>
            </w:r>
            <w:r>
              <w:rPr>
                <w:rFonts w:ascii="仿宋_GB2312" w:hAnsi="仿宋_GB2312" w:eastAsia="仿宋_GB2312" w:cs="仿宋_GB2312"/>
                <w:color w:val="000000"/>
                <w:sz w:val="20"/>
                <w:szCs w:val="20"/>
              </w:rPr>
              <w:t>(条)</w:t>
            </w:r>
          </w:p>
        </w:tc>
        <w:tc>
          <w:tcPr>
            <w:tcW w:w="816" w:type="dxa"/>
            <w:tcBorders>
              <w:top w:val="single" w:color="auto" w:sz="4" w:space="0"/>
              <w:left w:val="nil"/>
              <w:bottom w:val="single" w:color="auto" w:sz="4" w:space="0"/>
              <w:right w:val="single" w:color="auto" w:sz="4" w:space="0"/>
            </w:tcBorders>
            <w:vAlign w:val="center"/>
          </w:tcPr>
          <w:p w14:paraId="78A7275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150000</w:t>
            </w:r>
          </w:p>
        </w:tc>
        <w:tc>
          <w:tcPr>
            <w:tcW w:w="817" w:type="dxa"/>
            <w:tcBorders>
              <w:top w:val="single" w:color="auto" w:sz="4" w:space="0"/>
              <w:left w:val="nil"/>
              <w:bottom w:val="single" w:color="auto" w:sz="4" w:space="0"/>
              <w:right w:val="single" w:color="auto" w:sz="4" w:space="0"/>
            </w:tcBorders>
            <w:vAlign w:val="center"/>
          </w:tcPr>
          <w:p w14:paraId="3F9CCDB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single" w:color="auto" w:sz="4" w:space="0"/>
              <w:left w:val="nil"/>
              <w:bottom w:val="single" w:color="auto" w:sz="4" w:space="0"/>
              <w:right w:val="single" w:color="auto" w:sz="4" w:space="0"/>
            </w:tcBorders>
            <w:vAlign w:val="center"/>
          </w:tcPr>
          <w:p w14:paraId="7D8C6CE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single" w:color="auto" w:sz="4" w:space="0"/>
              <w:left w:val="nil"/>
              <w:bottom w:val="single" w:color="auto" w:sz="4" w:space="0"/>
              <w:right w:val="single" w:color="auto" w:sz="4" w:space="0"/>
            </w:tcBorders>
            <w:vAlign w:val="center"/>
          </w:tcPr>
          <w:p w14:paraId="0F3A8CB9">
            <w:pPr>
              <w:spacing w:line="260" w:lineRule="exact"/>
              <w:jc w:val="center"/>
              <w:rPr>
                <w:rFonts w:hint="eastAsia" w:ascii="仿宋_GB2312" w:hAnsi="仿宋_GB2312" w:eastAsia="仿宋_GB2312" w:cs="仿宋_GB2312"/>
                <w:color w:val="000000"/>
                <w:sz w:val="20"/>
                <w:szCs w:val="20"/>
              </w:rPr>
            </w:pPr>
          </w:p>
        </w:tc>
      </w:tr>
      <w:tr w14:paraId="1DC52552">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0BB83F6F">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left w:val="nil"/>
              <w:right w:val="single" w:color="auto" w:sz="4" w:space="0"/>
            </w:tcBorders>
            <w:vAlign w:val="center"/>
          </w:tcPr>
          <w:p w14:paraId="793CC966">
            <w:pPr>
              <w:spacing w:line="260" w:lineRule="exact"/>
              <w:jc w:val="left"/>
              <w:rPr>
                <w:rFonts w:hint="eastAsia" w:ascii="仿宋_GB2312" w:hAnsi="仿宋_GB2312" w:eastAsia="仿宋_GB2312" w:cs="仿宋_GB2312"/>
                <w:color w:val="000000"/>
                <w:sz w:val="20"/>
                <w:szCs w:val="20"/>
              </w:rPr>
            </w:pPr>
          </w:p>
        </w:tc>
        <w:tc>
          <w:tcPr>
            <w:tcW w:w="1056" w:type="dxa"/>
            <w:vMerge w:val="restart"/>
            <w:tcBorders>
              <w:top w:val="single" w:color="auto" w:sz="4" w:space="0"/>
              <w:left w:val="nil"/>
              <w:right w:val="single" w:color="auto" w:sz="4" w:space="0"/>
            </w:tcBorders>
            <w:vAlign w:val="center"/>
          </w:tcPr>
          <w:p w14:paraId="4FD4DB6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质量指标</w:t>
            </w:r>
          </w:p>
        </w:tc>
        <w:tc>
          <w:tcPr>
            <w:tcW w:w="994" w:type="dxa"/>
            <w:tcBorders>
              <w:top w:val="single" w:color="auto" w:sz="4" w:space="0"/>
              <w:left w:val="nil"/>
              <w:bottom w:val="single" w:color="auto" w:sz="4" w:space="0"/>
              <w:right w:val="single" w:color="auto" w:sz="4" w:space="0"/>
            </w:tcBorders>
            <w:vAlign w:val="center"/>
          </w:tcPr>
          <w:p w14:paraId="69104C6E">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服务对象</w:t>
            </w:r>
          </w:p>
        </w:tc>
        <w:tc>
          <w:tcPr>
            <w:tcW w:w="1798" w:type="dxa"/>
            <w:tcBorders>
              <w:top w:val="single" w:color="auto" w:sz="4" w:space="0"/>
              <w:left w:val="nil"/>
              <w:bottom w:val="single" w:color="auto" w:sz="4" w:space="0"/>
              <w:right w:val="single" w:color="auto" w:sz="4" w:space="0"/>
            </w:tcBorders>
            <w:vAlign w:val="center"/>
          </w:tcPr>
          <w:p w14:paraId="48A4131E">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金融机构、开发企业、不动产登记机构</w:t>
            </w:r>
          </w:p>
        </w:tc>
        <w:tc>
          <w:tcPr>
            <w:tcW w:w="816" w:type="dxa"/>
            <w:tcBorders>
              <w:top w:val="single" w:color="auto" w:sz="4" w:space="0"/>
              <w:left w:val="nil"/>
              <w:bottom w:val="single" w:color="auto" w:sz="4" w:space="0"/>
              <w:right w:val="single" w:color="auto" w:sz="4" w:space="0"/>
            </w:tcBorders>
            <w:vAlign w:val="center"/>
          </w:tcPr>
          <w:p w14:paraId="4E67B869">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已完成</w:t>
            </w:r>
          </w:p>
        </w:tc>
        <w:tc>
          <w:tcPr>
            <w:tcW w:w="817" w:type="dxa"/>
            <w:tcBorders>
              <w:top w:val="single" w:color="auto" w:sz="4" w:space="0"/>
              <w:left w:val="nil"/>
              <w:bottom w:val="single" w:color="auto" w:sz="4" w:space="0"/>
              <w:right w:val="single" w:color="auto" w:sz="4" w:space="0"/>
            </w:tcBorders>
            <w:vAlign w:val="center"/>
          </w:tcPr>
          <w:p w14:paraId="4128DFA3">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single" w:color="auto" w:sz="4" w:space="0"/>
              <w:left w:val="nil"/>
              <w:bottom w:val="single" w:color="auto" w:sz="4" w:space="0"/>
              <w:right w:val="single" w:color="auto" w:sz="4" w:space="0"/>
            </w:tcBorders>
            <w:vAlign w:val="center"/>
          </w:tcPr>
          <w:p w14:paraId="1328D3CA">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single" w:color="auto" w:sz="4" w:space="0"/>
              <w:left w:val="nil"/>
              <w:bottom w:val="single" w:color="auto" w:sz="4" w:space="0"/>
              <w:right w:val="single" w:color="auto" w:sz="4" w:space="0"/>
            </w:tcBorders>
            <w:vAlign w:val="center"/>
          </w:tcPr>
          <w:p w14:paraId="59973A74">
            <w:pPr>
              <w:spacing w:line="260" w:lineRule="exact"/>
              <w:jc w:val="center"/>
              <w:rPr>
                <w:rFonts w:hint="eastAsia" w:ascii="仿宋_GB2312" w:hAnsi="仿宋_GB2312" w:eastAsia="仿宋_GB2312" w:cs="仿宋_GB2312"/>
                <w:color w:val="000000"/>
                <w:sz w:val="20"/>
                <w:szCs w:val="20"/>
              </w:rPr>
            </w:pPr>
          </w:p>
        </w:tc>
      </w:tr>
      <w:tr w14:paraId="17A64BD3">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0F2DEBF7">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left w:val="nil"/>
              <w:right w:val="single" w:color="auto" w:sz="4" w:space="0"/>
            </w:tcBorders>
            <w:vAlign w:val="center"/>
          </w:tcPr>
          <w:p w14:paraId="59904707">
            <w:pPr>
              <w:spacing w:line="260" w:lineRule="exact"/>
              <w:jc w:val="left"/>
              <w:rPr>
                <w:rFonts w:hint="eastAsia" w:ascii="仿宋_GB2312" w:hAnsi="仿宋_GB2312" w:eastAsia="仿宋_GB2312" w:cs="仿宋_GB2312"/>
                <w:color w:val="000000"/>
                <w:sz w:val="20"/>
                <w:szCs w:val="20"/>
              </w:rPr>
            </w:pPr>
          </w:p>
        </w:tc>
        <w:tc>
          <w:tcPr>
            <w:tcW w:w="1056" w:type="dxa"/>
            <w:vMerge w:val="continue"/>
            <w:tcBorders>
              <w:left w:val="nil"/>
              <w:right w:val="single" w:color="auto" w:sz="4" w:space="0"/>
            </w:tcBorders>
            <w:vAlign w:val="center"/>
          </w:tcPr>
          <w:p w14:paraId="3890FE7A">
            <w:pPr>
              <w:spacing w:line="260" w:lineRule="exact"/>
              <w:jc w:val="center"/>
              <w:rPr>
                <w:rFonts w:hint="eastAsia" w:ascii="仿宋_GB2312" w:hAnsi="仿宋_GB2312" w:eastAsia="仿宋_GB2312" w:cs="仿宋_GB2312"/>
                <w:color w:val="000000"/>
                <w:sz w:val="20"/>
                <w:szCs w:val="20"/>
              </w:rPr>
            </w:pPr>
          </w:p>
        </w:tc>
        <w:tc>
          <w:tcPr>
            <w:tcW w:w="994" w:type="dxa"/>
            <w:tcBorders>
              <w:top w:val="nil"/>
              <w:left w:val="nil"/>
              <w:bottom w:val="single" w:color="auto" w:sz="4" w:space="0"/>
              <w:right w:val="single" w:color="auto" w:sz="4" w:space="0"/>
            </w:tcBorders>
            <w:vAlign w:val="center"/>
          </w:tcPr>
          <w:p w14:paraId="5A3DAA2C">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新增电子证照量</w:t>
            </w:r>
          </w:p>
        </w:tc>
        <w:tc>
          <w:tcPr>
            <w:tcW w:w="1798" w:type="dxa"/>
            <w:tcBorders>
              <w:top w:val="nil"/>
              <w:left w:val="nil"/>
              <w:bottom w:val="single" w:color="auto" w:sz="4" w:space="0"/>
              <w:right w:val="single" w:color="auto" w:sz="4" w:space="0"/>
            </w:tcBorders>
            <w:vAlign w:val="center"/>
          </w:tcPr>
          <w:p w14:paraId="2A5A9A4C">
            <w:pPr>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一定周期内系统签发电子证照</w:t>
            </w:r>
          </w:p>
          <w:p w14:paraId="7695E4B5">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的增加量</w:t>
            </w:r>
            <w:r>
              <w:rPr>
                <w:rFonts w:hint="eastAsia" w:ascii="仿宋_GB2312" w:hAnsi="仿宋_GB2312" w:eastAsia="仿宋_GB2312" w:cs="仿宋_GB2312"/>
                <w:color w:val="000000"/>
                <w:sz w:val="20"/>
                <w:szCs w:val="20"/>
              </w:rPr>
              <w:t>15000左右</w:t>
            </w:r>
            <w:r>
              <w:rPr>
                <w:rFonts w:ascii="仿宋_GB2312" w:hAnsi="仿宋_GB2312" w:eastAsia="仿宋_GB2312" w:cs="仿宋_GB2312"/>
                <w:color w:val="000000"/>
                <w:sz w:val="20"/>
                <w:szCs w:val="20"/>
              </w:rPr>
              <w:t>(个)</w:t>
            </w:r>
          </w:p>
        </w:tc>
        <w:tc>
          <w:tcPr>
            <w:tcW w:w="816" w:type="dxa"/>
            <w:tcBorders>
              <w:top w:val="nil"/>
              <w:left w:val="nil"/>
              <w:bottom w:val="single" w:color="auto" w:sz="4" w:space="0"/>
              <w:right w:val="single" w:color="auto" w:sz="4" w:space="0"/>
            </w:tcBorders>
            <w:vAlign w:val="center"/>
          </w:tcPr>
          <w:p w14:paraId="43B8E7CF">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15000</w:t>
            </w:r>
          </w:p>
        </w:tc>
        <w:tc>
          <w:tcPr>
            <w:tcW w:w="817" w:type="dxa"/>
            <w:tcBorders>
              <w:top w:val="nil"/>
              <w:left w:val="nil"/>
              <w:bottom w:val="single" w:color="auto" w:sz="4" w:space="0"/>
              <w:right w:val="single" w:color="auto" w:sz="4" w:space="0"/>
            </w:tcBorders>
            <w:vAlign w:val="center"/>
          </w:tcPr>
          <w:p w14:paraId="3823BD58">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nil"/>
              <w:left w:val="nil"/>
              <w:bottom w:val="single" w:color="auto" w:sz="4" w:space="0"/>
              <w:right w:val="single" w:color="auto" w:sz="4" w:space="0"/>
            </w:tcBorders>
            <w:vAlign w:val="center"/>
          </w:tcPr>
          <w:p w14:paraId="3C244CE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nil"/>
              <w:left w:val="nil"/>
              <w:bottom w:val="single" w:color="auto" w:sz="4" w:space="0"/>
              <w:right w:val="single" w:color="auto" w:sz="4" w:space="0"/>
            </w:tcBorders>
            <w:vAlign w:val="center"/>
          </w:tcPr>
          <w:p w14:paraId="4AD7D95F">
            <w:pPr>
              <w:spacing w:line="260" w:lineRule="exact"/>
              <w:jc w:val="center"/>
              <w:rPr>
                <w:rFonts w:hint="eastAsia" w:ascii="仿宋_GB2312" w:hAnsi="仿宋_GB2312" w:eastAsia="仿宋_GB2312" w:cs="仿宋_GB2312"/>
                <w:color w:val="000000"/>
                <w:sz w:val="20"/>
                <w:szCs w:val="20"/>
              </w:rPr>
            </w:pPr>
          </w:p>
        </w:tc>
      </w:tr>
      <w:tr w14:paraId="3DFDA047">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68A51403">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left w:val="nil"/>
              <w:right w:val="single" w:color="auto" w:sz="4" w:space="0"/>
            </w:tcBorders>
            <w:vAlign w:val="center"/>
          </w:tcPr>
          <w:p w14:paraId="6D8725BD">
            <w:pPr>
              <w:spacing w:line="260" w:lineRule="exact"/>
              <w:jc w:val="left"/>
              <w:rPr>
                <w:rFonts w:hint="eastAsia" w:ascii="仿宋_GB2312" w:hAnsi="仿宋_GB2312" w:eastAsia="仿宋_GB2312" w:cs="仿宋_GB2312"/>
                <w:color w:val="000000"/>
                <w:sz w:val="20"/>
                <w:szCs w:val="20"/>
              </w:rPr>
            </w:pPr>
          </w:p>
        </w:tc>
        <w:tc>
          <w:tcPr>
            <w:tcW w:w="1056" w:type="dxa"/>
            <w:vMerge w:val="continue"/>
            <w:tcBorders>
              <w:left w:val="nil"/>
              <w:bottom w:val="single" w:color="auto" w:sz="4" w:space="0"/>
              <w:right w:val="single" w:color="auto" w:sz="4" w:space="0"/>
            </w:tcBorders>
            <w:vAlign w:val="center"/>
          </w:tcPr>
          <w:p w14:paraId="05EC4987">
            <w:pPr>
              <w:spacing w:line="260" w:lineRule="exact"/>
              <w:jc w:val="center"/>
              <w:rPr>
                <w:rFonts w:hint="eastAsia" w:ascii="仿宋_GB2312" w:hAnsi="仿宋_GB2312" w:eastAsia="仿宋_GB2312" w:cs="仿宋_GB2312"/>
                <w:color w:val="000000"/>
                <w:sz w:val="20"/>
                <w:szCs w:val="20"/>
              </w:rPr>
            </w:pPr>
          </w:p>
        </w:tc>
        <w:tc>
          <w:tcPr>
            <w:tcW w:w="994" w:type="dxa"/>
            <w:tcBorders>
              <w:top w:val="nil"/>
              <w:left w:val="nil"/>
              <w:bottom w:val="single" w:color="auto" w:sz="4" w:space="0"/>
              <w:right w:val="single" w:color="auto" w:sz="4" w:space="0"/>
            </w:tcBorders>
            <w:vAlign w:val="center"/>
          </w:tcPr>
          <w:p w14:paraId="2744BA0D">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网办事项数量</w:t>
            </w:r>
          </w:p>
        </w:tc>
        <w:tc>
          <w:tcPr>
            <w:tcW w:w="1798" w:type="dxa"/>
            <w:tcBorders>
              <w:top w:val="nil"/>
              <w:left w:val="nil"/>
              <w:bottom w:val="single" w:color="auto" w:sz="4" w:space="0"/>
              <w:right w:val="single" w:color="auto" w:sz="4" w:space="0"/>
            </w:tcBorders>
            <w:vAlign w:val="center"/>
          </w:tcPr>
          <w:p w14:paraId="77604242">
            <w:pPr>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系统中涉及网办事项的个数</w:t>
            </w:r>
          </w:p>
          <w:p w14:paraId="6083024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82</w:t>
            </w:r>
            <w:r>
              <w:rPr>
                <w:rFonts w:ascii="仿宋_GB2312" w:hAnsi="仿宋_GB2312" w:eastAsia="仿宋_GB2312" w:cs="仿宋_GB2312"/>
                <w:color w:val="000000"/>
                <w:sz w:val="20"/>
                <w:szCs w:val="20"/>
              </w:rPr>
              <w:t>(个)</w:t>
            </w:r>
          </w:p>
        </w:tc>
        <w:tc>
          <w:tcPr>
            <w:tcW w:w="816" w:type="dxa"/>
            <w:tcBorders>
              <w:top w:val="nil"/>
              <w:left w:val="nil"/>
              <w:bottom w:val="single" w:color="auto" w:sz="4" w:space="0"/>
              <w:right w:val="single" w:color="auto" w:sz="4" w:space="0"/>
            </w:tcBorders>
            <w:vAlign w:val="center"/>
          </w:tcPr>
          <w:p w14:paraId="6D6A5DB9">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已完成</w:t>
            </w:r>
          </w:p>
        </w:tc>
        <w:tc>
          <w:tcPr>
            <w:tcW w:w="817" w:type="dxa"/>
            <w:tcBorders>
              <w:top w:val="nil"/>
              <w:left w:val="nil"/>
              <w:bottom w:val="single" w:color="auto" w:sz="4" w:space="0"/>
              <w:right w:val="single" w:color="auto" w:sz="4" w:space="0"/>
            </w:tcBorders>
            <w:vAlign w:val="center"/>
          </w:tcPr>
          <w:p w14:paraId="357A48E6">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nil"/>
              <w:left w:val="nil"/>
              <w:bottom w:val="single" w:color="auto" w:sz="4" w:space="0"/>
              <w:right w:val="single" w:color="auto" w:sz="4" w:space="0"/>
            </w:tcBorders>
            <w:vAlign w:val="center"/>
          </w:tcPr>
          <w:p w14:paraId="0634C7DA">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nil"/>
              <w:left w:val="nil"/>
              <w:bottom w:val="single" w:color="auto" w:sz="4" w:space="0"/>
              <w:right w:val="single" w:color="auto" w:sz="4" w:space="0"/>
            </w:tcBorders>
            <w:vAlign w:val="center"/>
          </w:tcPr>
          <w:p w14:paraId="2B76438A">
            <w:pPr>
              <w:spacing w:line="260" w:lineRule="exact"/>
              <w:jc w:val="center"/>
              <w:rPr>
                <w:rFonts w:hint="eastAsia" w:ascii="仿宋_GB2312" w:hAnsi="仿宋_GB2312" w:eastAsia="仿宋_GB2312" w:cs="仿宋_GB2312"/>
                <w:color w:val="000000"/>
                <w:sz w:val="20"/>
                <w:szCs w:val="20"/>
              </w:rPr>
            </w:pPr>
          </w:p>
        </w:tc>
      </w:tr>
      <w:tr w14:paraId="43CC1B78">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36C7A70D">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left w:val="nil"/>
              <w:right w:val="single" w:color="auto" w:sz="4" w:space="0"/>
            </w:tcBorders>
            <w:vAlign w:val="center"/>
          </w:tcPr>
          <w:p w14:paraId="193BC881">
            <w:pPr>
              <w:spacing w:line="260" w:lineRule="exact"/>
              <w:jc w:val="left"/>
              <w:rPr>
                <w:rFonts w:hint="eastAsia" w:ascii="仿宋_GB2312" w:hAnsi="仿宋_GB2312" w:eastAsia="仿宋_GB2312" w:cs="仿宋_GB2312"/>
                <w:color w:val="000000"/>
                <w:sz w:val="20"/>
                <w:szCs w:val="20"/>
              </w:rPr>
            </w:pPr>
          </w:p>
        </w:tc>
        <w:tc>
          <w:tcPr>
            <w:tcW w:w="1056" w:type="dxa"/>
            <w:tcBorders>
              <w:top w:val="single" w:color="auto" w:sz="4" w:space="0"/>
              <w:left w:val="nil"/>
              <w:bottom w:val="single" w:color="auto" w:sz="4" w:space="0"/>
              <w:right w:val="single" w:color="auto" w:sz="4" w:space="0"/>
            </w:tcBorders>
            <w:vAlign w:val="center"/>
          </w:tcPr>
          <w:p w14:paraId="259E445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时效指标</w:t>
            </w:r>
          </w:p>
        </w:tc>
        <w:tc>
          <w:tcPr>
            <w:tcW w:w="994" w:type="dxa"/>
            <w:tcBorders>
              <w:top w:val="single" w:color="auto" w:sz="4" w:space="0"/>
              <w:left w:val="nil"/>
              <w:bottom w:val="single" w:color="auto" w:sz="4" w:space="0"/>
              <w:right w:val="single" w:color="auto" w:sz="4" w:space="0"/>
            </w:tcBorders>
            <w:vAlign w:val="center"/>
          </w:tcPr>
          <w:p w14:paraId="3E216E85">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响应时间</w:t>
            </w:r>
          </w:p>
        </w:tc>
        <w:tc>
          <w:tcPr>
            <w:tcW w:w="1798" w:type="dxa"/>
            <w:tcBorders>
              <w:top w:val="single" w:color="auto" w:sz="4" w:space="0"/>
              <w:left w:val="nil"/>
              <w:bottom w:val="single" w:color="auto" w:sz="4" w:space="0"/>
              <w:right w:val="single" w:color="auto" w:sz="4" w:space="0"/>
            </w:tcBorders>
            <w:vAlign w:val="center"/>
          </w:tcPr>
          <w:p w14:paraId="185B26B5">
            <w:pPr>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系统对用户操作的响应时间</w:t>
            </w:r>
          </w:p>
          <w:p w14:paraId="54C315A1">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0.0005</w:t>
            </w:r>
            <w:r>
              <w:rPr>
                <w:rFonts w:ascii="仿宋_GB2312" w:hAnsi="仿宋_GB2312" w:eastAsia="仿宋_GB2312" w:cs="仿宋_GB2312"/>
                <w:color w:val="000000"/>
                <w:sz w:val="20"/>
                <w:szCs w:val="20"/>
              </w:rPr>
              <w:t>(秒)</w:t>
            </w:r>
          </w:p>
        </w:tc>
        <w:tc>
          <w:tcPr>
            <w:tcW w:w="816" w:type="dxa"/>
            <w:tcBorders>
              <w:top w:val="single" w:color="auto" w:sz="4" w:space="0"/>
              <w:left w:val="nil"/>
              <w:bottom w:val="single" w:color="auto" w:sz="4" w:space="0"/>
              <w:right w:val="single" w:color="auto" w:sz="4" w:space="0"/>
            </w:tcBorders>
            <w:vAlign w:val="center"/>
          </w:tcPr>
          <w:p w14:paraId="004BF5CA">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已完成</w:t>
            </w:r>
          </w:p>
        </w:tc>
        <w:tc>
          <w:tcPr>
            <w:tcW w:w="817" w:type="dxa"/>
            <w:tcBorders>
              <w:top w:val="single" w:color="auto" w:sz="4" w:space="0"/>
              <w:left w:val="nil"/>
              <w:bottom w:val="single" w:color="auto" w:sz="4" w:space="0"/>
              <w:right w:val="single" w:color="auto" w:sz="4" w:space="0"/>
            </w:tcBorders>
            <w:vAlign w:val="center"/>
          </w:tcPr>
          <w:p w14:paraId="6470757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single" w:color="auto" w:sz="4" w:space="0"/>
              <w:left w:val="nil"/>
              <w:bottom w:val="single" w:color="auto" w:sz="4" w:space="0"/>
              <w:right w:val="single" w:color="auto" w:sz="4" w:space="0"/>
            </w:tcBorders>
            <w:vAlign w:val="center"/>
          </w:tcPr>
          <w:p w14:paraId="54DC53B9">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nil"/>
              <w:left w:val="nil"/>
              <w:bottom w:val="single" w:color="auto" w:sz="4" w:space="0"/>
              <w:right w:val="single" w:color="auto" w:sz="4" w:space="0"/>
            </w:tcBorders>
            <w:vAlign w:val="center"/>
          </w:tcPr>
          <w:p w14:paraId="277D37EE">
            <w:pPr>
              <w:spacing w:line="260" w:lineRule="exact"/>
              <w:jc w:val="center"/>
              <w:rPr>
                <w:rFonts w:hint="eastAsia" w:ascii="仿宋_GB2312" w:hAnsi="仿宋_GB2312" w:eastAsia="仿宋_GB2312" w:cs="仿宋_GB2312"/>
                <w:color w:val="000000"/>
                <w:sz w:val="20"/>
                <w:szCs w:val="20"/>
              </w:rPr>
            </w:pPr>
          </w:p>
        </w:tc>
      </w:tr>
      <w:tr w14:paraId="3FF34C1E">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2CD34E01">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left w:val="nil"/>
              <w:right w:val="single" w:color="auto" w:sz="4" w:space="0"/>
            </w:tcBorders>
            <w:vAlign w:val="center"/>
          </w:tcPr>
          <w:p w14:paraId="317A2A9C">
            <w:pPr>
              <w:spacing w:line="260" w:lineRule="exact"/>
              <w:jc w:val="left"/>
              <w:rPr>
                <w:rFonts w:hint="eastAsia" w:ascii="仿宋_GB2312" w:hAnsi="仿宋_GB2312" w:eastAsia="仿宋_GB2312" w:cs="仿宋_GB2312"/>
                <w:color w:val="000000"/>
                <w:sz w:val="20"/>
                <w:szCs w:val="20"/>
              </w:rPr>
            </w:pPr>
          </w:p>
        </w:tc>
        <w:tc>
          <w:tcPr>
            <w:tcW w:w="1056" w:type="dxa"/>
            <w:tcBorders>
              <w:top w:val="single" w:color="auto" w:sz="4" w:space="0"/>
              <w:left w:val="nil"/>
              <w:right w:val="single" w:color="auto" w:sz="4" w:space="0"/>
            </w:tcBorders>
            <w:vAlign w:val="center"/>
          </w:tcPr>
          <w:p w14:paraId="03C3102F">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成本指标</w:t>
            </w:r>
          </w:p>
        </w:tc>
        <w:tc>
          <w:tcPr>
            <w:tcW w:w="994" w:type="dxa"/>
            <w:tcBorders>
              <w:top w:val="single" w:color="auto" w:sz="4" w:space="0"/>
              <w:left w:val="nil"/>
              <w:bottom w:val="single" w:color="auto" w:sz="4" w:space="0"/>
              <w:right w:val="single" w:color="auto" w:sz="4" w:space="0"/>
            </w:tcBorders>
            <w:vAlign w:val="center"/>
          </w:tcPr>
          <w:p w14:paraId="6660392B">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硬件采购成本</w:t>
            </w:r>
          </w:p>
        </w:tc>
        <w:tc>
          <w:tcPr>
            <w:tcW w:w="1798" w:type="dxa"/>
            <w:tcBorders>
              <w:top w:val="single" w:color="auto" w:sz="4" w:space="0"/>
              <w:left w:val="nil"/>
              <w:bottom w:val="single" w:color="auto" w:sz="4" w:space="0"/>
              <w:right w:val="single" w:color="auto" w:sz="4" w:space="0"/>
            </w:tcBorders>
            <w:vAlign w:val="center"/>
          </w:tcPr>
          <w:p w14:paraId="5C2E08BE">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服务器、存储设备、网络设备、安全设备、自助终端等硬件设备的采购费用总和</w:t>
            </w:r>
            <w:r>
              <w:rPr>
                <w:rFonts w:ascii="仿宋_GB2312" w:hAnsi="仿宋_GB2312" w:eastAsia="仿宋_GB2312" w:cs="仿宋_GB2312"/>
                <w:color w:val="000000"/>
                <w:sz w:val="20"/>
                <w:szCs w:val="20"/>
              </w:rPr>
              <w:t>控制在预算范围内，不超过总建设成本的30%</w:t>
            </w:r>
          </w:p>
        </w:tc>
        <w:tc>
          <w:tcPr>
            <w:tcW w:w="816" w:type="dxa"/>
            <w:tcBorders>
              <w:top w:val="single" w:color="auto" w:sz="4" w:space="0"/>
              <w:left w:val="nil"/>
              <w:bottom w:val="single" w:color="auto" w:sz="4" w:space="0"/>
              <w:right w:val="single" w:color="auto" w:sz="4" w:space="0"/>
            </w:tcBorders>
            <w:vAlign w:val="center"/>
          </w:tcPr>
          <w:p w14:paraId="78A51C89">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已完成</w:t>
            </w:r>
          </w:p>
        </w:tc>
        <w:tc>
          <w:tcPr>
            <w:tcW w:w="817" w:type="dxa"/>
            <w:tcBorders>
              <w:top w:val="single" w:color="auto" w:sz="4" w:space="0"/>
              <w:left w:val="nil"/>
              <w:bottom w:val="single" w:color="auto" w:sz="4" w:space="0"/>
              <w:right w:val="single" w:color="auto" w:sz="4" w:space="0"/>
            </w:tcBorders>
            <w:vAlign w:val="center"/>
          </w:tcPr>
          <w:p w14:paraId="5C748FD2">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single" w:color="auto" w:sz="4" w:space="0"/>
              <w:left w:val="nil"/>
              <w:bottom w:val="single" w:color="auto" w:sz="4" w:space="0"/>
              <w:right w:val="single" w:color="auto" w:sz="4" w:space="0"/>
            </w:tcBorders>
            <w:vAlign w:val="center"/>
          </w:tcPr>
          <w:p w14:paraId="125E588E">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nil"/>
              <w:left w:val="nil"/>
              <w:bottom w:val="single" w:color="auto" w:sz="4" w:space="0"/>
              <w:right w:val="single" w:color="auto" w:sz="4" w:space="0"/>
            </w:tcBorders>
            <w:vAlign w:val="center"/>
          </w:tcPr>
          <w:p w14:paraId="7368974B">
            <w:pPr>
              <w:spacing w:line="260" w:lineRule="exact"/>
              <w:jc w:val="center"/>
              <w:rPr>
                <w:rFonts w:hint="eastAsia" w:ascii="仿宋_GB2312" w:hAnsi="仿宋_GB2312" w:eastAsia="仿宋_GB2312" w:cs="仿宋_GB2312"/>
                <w:color w:val="000000"/>
                <w:sz w:val="20"/>
                <w:szCs w:val="20"/>
              </w:rPr>
            </w:pPr>
          </w:p>
        </w:tc>
      </w:tr>
      <w:tr w14:paraId="02520021">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6C621309">
            <w:pPr>
              <w:spacing w:line="260" w:lineRule="exact"/>
              <w:jc w:val="left"/>
              <w:rPr>
                <w:rFonts w:hint="eastAsia" w:ascii="仿宋_GB2312" w:hAnsi="仿宋_GB2312" w:eastAsia="仿宋_GB2312" w:cs="仿宋_GB2312"/>
                <w:color w:val="000000"/>
                <w:sz w:val="20"/>
                <w:szCs w:val="20"/>
              </w:rPr>
            </w:pPr>
          </w:p>
        </w:tc>
        <w:tc>
          <w:tcPr>
            <w:tcW w:w="1063" w:type="dxa"/>
            <w:vMerge w:val="restart"/>
            <w:tcBorders>
              <w:top w:val="single" w:color="auto" w:sz="4" w:space="0"/>
              <w:left w:val="nil"/>
              <w:bottom w:val="single" w:color="auto" w:sz="4" w:space="0"/>
              <w:right w:val="single" w:color="auto" w:sz="4" w:space="0"/>
            </w:tcBorders>
            <w:vAlign w:val="center"/>
          </w:tcPr>
          <w:p w14:paraId="12F1C16A">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效益指标</w:t>
            </w:r>
          </w:p>
          <w:p w14:paraId="51382510">
            <w:pPr>
              <w:spacing w:line="260" w:lineRule="exact"/>
              <w:jc w:val="left"/>
              <w:rPr>
                <w:rFonts w:hint="eastAsia" w:ascii="仿宋_GB2312" w:hAnsi="仿宋_GB2312" w:eastAsia="仿宋_GB2312" w:cs="仿宋_GB2312"/>
                <w:color w:val="000000"/>
                <w:sz w:val="20"/>
                <w:szCs w:val="20"/>
              </w:rPr>
            </w:pPr>
          </w:p>
          <w:p w14:paraId="6A2E5D15">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（30分）</w:t>
            </w:r>
          </w:p>
          <w:p w14:paraId="636F4F33">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56" w:type="dxa"/>
            <w:tcBorders>
              <w:top w:val="single" w:color="auto" w:sz="4" w:space="0"/>
              <w:left w:val="nil"/>
              <w:bottom w:val="single" w:color="auto" w:sz="4" w:space="0"/>
              <w:right w:val="single" w:color="auto" w:sz="4" w:space="0"/>
            </w:tcBorders>
            <w:vAlign w:val="center"/>
          </w:tcPr>
          <w:p w14:paraId="48CB0309">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经济效</w:t>
            </w:r>
          </w:p>
          <w:p w14:paraId="6EE25D26">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994" w:type="dxa"/>
            <w:tcBorders>
              <w:top w:val="single" w:color="auto" w:sz="4" w:space="0"/>
              <w:left w:val="nil"/>
              <w:bottom w:val="single" w:color="auto" w:sz="4" w:space="0"/>
              <w:right w:val="single" w:color="auto" w:sz="4" w:space="0"/>
            </w:tcBorders>
            <w:vAlign w:val="center"/>
          </w:tcPr>
          <w:p w14:paraId="5227FA06">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企业</w:t>
            </w:r>
            <w:r>
              <w:rPr>
                <w:rFonts w:hint="eastAsia" w:ascii="仿宋_GB2312" w:hAnsi="仿宋_GB2312" w:eastAsia="仿宋_GB2312" w:cs="仿宋_GB2312"/>
                <w:color w:val="000000"/>
                <w:sz w:val="20"/>
                <w:szCs w:val="20"/>
              </w:rPr>
              <w:t>、个人、金融机构</w:t>
            </w:r>
            <w:r>
              <w:rPr>
                <w:rFonts w:ascii="仿宋_GB2312" w:hAnsi="仿宋_GB2312" w:eastAsia="仿宋_GB2312" w:cs="仿宋_GB2312"/>
                <w:color w:val="000000"/>
                <w:sz w:val="20"/>
                <w:szCs w:val="20"/>
              </w:rPr>
              <w:t>办事成本节约额</w:t>
            </w:r>
          </w:p>
        </w:tc>
        <w:tc>
          <w:tcPr>
            <w:tcW w:w="1798" w:type="dxa"/>
            <w:tcBorders>
              <w:top w:val="single" w:color="auto" w:sz="4" w:space="0"/>
              <w:left w:val="nil"/>
              <w:bottom w:val="single" w:color="auto" w:sz="4" w:space="0"/>
              <w:right w:val="single" w:color="auto" w:sz="4" w:space="0"/>
            </w:tcBorders>
            <w:vAlign w:val="center"/>
          </w:tcPr>
          <w:p w14:paraId="2139560F">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因平台运行，企业</w:t>
            </w:r>
            <w:r>
              <w:rPr>
                <w:rFonts w:hint="eastAsia" w:ascii="仿宋_GB2312" w:hAnsi="仿宋_GB2312" w:eastAsia="仿宋_GB2312" w:cs="仿宋_GB2312"/>
                <w:color w:val="000000"/>
                <w:sz w:val="20"/>
                <w:szCs w:val="20"/>
              </w:rPr>
              <w:t>、个人、金融机构</w:t>
            </w:r>
            <w:r>
              <w:rPr>
                <w:rFonts w:ascii="仿宋_GB2312" w:hAnsi="仿宋_GB2312" w:eastAsia="仿宋_GB2312" w:cs="仿宋_GB2312"/>
                <w:color w:val="000000"/>
                <w:sz w:val="20"/>
                <w:szCs w:val="20"/>
              </w:rPr>
              <w:t>办理不动产登记业务节省的时间成本、人力成本、交通成本、材料成本</w:t>
            </w:r>
            <w:r>
              <w:rPr>
                <w:rFonts w:hint="eastAsia" w:ascii="仿宋_GB2312" w:hAnsi="仿宋_GB2312" w:eastAsia="仿宋_GB2312" w:cs="仿宋_GB2312"/>
                <w:color w:val="000000"/>
                <w:sz w:val="20"/>
                <w:szCs w:val="20"/>
              </w:rPr>
              <w:t>下降20%</w:t>
            </w:r>
          </w:p>
        </w:tc>
        <w:tc>
          <w:tcPr>
            <w:tcW w:w="816" w:type="dxa"/>
            <w:tcBorders>
              <w:top w:val="single" w:color="auto" w:sz="4" w:space="0"/>
              <w:left w:val="nil"/>
              <w:bottom w:val="single" w:color="auto" w:sz="4" w:space="0"/>
              <w:right w:val="single" w:color="auto" w:sz="4" w:space="0"/>
            </w:tcBorders>
            <w:vAlign w:val="center"/>
          </w:tcPr>
          <w:p w14:paraId="51269C30">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已达标</w:t>
            </w:r>
          </w:p>
        </w:tc>
        <w:tc>
          <w:tcPr>
            <w:tcW w:w="817" w:type="dxa"/>
            <w:tcBorders>
              <w:top w:val="nil"/>
              <w:left w:val="nil"/>
              <w:bottom w:val="single" w:color="auto" w:sz="4" w:space="0"/>
              <w:right w:val="single" w:color="auto" w:sz="4" w:space="0"/>
            </w:tcBorders>
            <w:vAlign w:val="center"/>
          </w:tcPr>
          <w:p w14:paraId="18DCCC99">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nil"/>
              <w:left w:val="nil"/>
              <w:bottom w:val="single" w:color="auto" w:sz="4" w:space="0"/>
              <w:right w:val="single" w:color="auto" w:sz="4" w:space="0"/>
            </w:tcBorders>
            <w:vAlign w:val="center"/>
          </w:tcPr>
          <w:p w14:paraId="742B9E2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nil"/>
              <w:left w:val="nil"/>
              <w:bottom w:val="single" w:color="auto" w:sz="4" w:space="0"/>
              <w:right w:val="single" w:color="auto" w:sz="4" w:space="0"/>
            </w:tcBorders>
            <w:vAlign w:val="center"/>
          </w:tcPr>
          <w:p w14:paraId="23404464">
            <w:pPr>
              <w:spacing w:line="260" w:lineRule="exact"/>
              <w:jc w:val="center"/>
              <w:rPr>
                <w:rFonts w:hint="eastAsia" w:ascii="仿宋_GB2312" w:hAnsi="仿宋_GB2312" w:eastAsia="仿宋_GB2312" w:cs="仿宋_GB2312"/>
                <w:color w:val="000000"/>
                <w:sz w:val="20"/>
                <w:szCs w:val="20"/>
              </w:rPr>
            </w:pPr>
          </w:p>
        </w:tc>
      </w:tr>
      <w:tr w14:paraId="3294130E">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49793A95">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top w:val="single" w:color="auto" w:sz="4" w:space="0"/>
              <w:left w:val="nil"/>
              <w:bottom w:val="single" w:color="auto" w:sz="4" w:space="0"/>
              <w:right w:val="single" w:color="auto" w:sz="4" w:space="0"/>
            </w:tcBorders>
            <w:vAlign w:val="center"/>
          </w:tcPr>
          <w:p w14:paraId="7813FFFC">
            <w:pPr>
              <w:spacing w:line="260" w:lineRule="exact"/>
              <w:jc w:val="left"/>
              <w:rPr>
                <w:rFonts w:hint="eastAsia" w:ascii="仿宋_GB2312" w:hAnsi="仿宋_GB2312" w:eastAsia="仿宋_GB2312" w:cs="仿宋_GB2312"/>
                <w:color w:val="000000"/>
                <w:sz w:val="20"/>
                <w:szCs w:val="20"/>
              </w:rPr>
            </w:pPr>
          </w:p>
        </w:tc>
        <w:tc>
          <w:tcPr>
            <w:tcW w:w="1056" w:type="dxa"/>
            <w:tcBorders>
              <w:top w:val="single" w:color="auto" w:sz="4" w:space="0"/>
              <w:left w:val="nil"/>
              <w:bottom w:val="single" w:color="auto" w:sz="4" w:space="0"/>
              <w:right w:val="single" w:color="auto" w:sz="4" w:space="0"/>
            </w:tcBorders>
            <w:vAlign w:val="center"/>
          </w:tcPr>
          <w:p w14:paraId="1F42B2B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社会效</w:t>
            </w:r>
          </w:p>
          <w:p w14:paraId="6EEEF52B">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994" w:type="dxa"/>
            <w:tcBorders>
              <w:top w:val="single" w:color="auto" w:sz="4" w:space="0"/>
              <w:left w:val="nil"/>
              <w:bottom w:val="single" w:color="auto" w:sz="4" w:space="0"/>
              <w:right w:val="single" w:color="auto" w:sz="4" w:space="0"/>
            </w:tcBorders>
            <w:vAlign w:val="center"/>
          </w:tcPr>
          <w:p w14:paraId="54363A4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最多跑一次覆盖率</w:t>
            </w:r>
          </w:p>
        </w:tc>
        <w:tc>
          <w:tcPr>
            <w:tcW w:w="1798" w:type="dxa"/>
            <w:tcBorders>
              <w:top w:val="single" w:color="auto" w:sz="4" w:space="0"/>
              <w:left w:val="nil"/>
              <w:bottom w:val="single" w:color="auto" w:sz="4" w:space="0"/>
              <w:right w:val="single" w:color="auto" w:sz="4" w:space="0"/>
            </w:tcBorders>
            <w:vAlign w:val="center"/>
          </w:tcPr>
          <w:p w14:paraId="3208BACC">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实现“最多跑一次”或“零跑动”的业务类型占全部登记业务类型的比例≥9</w:t>
            </w:r>
            <w:r>
              <w:rPr>
                <w:rFonts w:hint="eastAsia" w:ascii="仿宋_GB2312" w:hAnsi="仿宋_GB2312" w:eastAsia="仿宋_GB2312" w:cs="仿宋_GB2312"/>
                <w:color w:val="000000"/>
                <w:sz w:val="20"/>
                <w:szCs w:val="20"/>
              </w:rPr>
              <w:t>5</w:t>
            </w:r>
            <w:r>
              <w:rPr>
                <w:rFonts w:ascii="仿宋_GB2312" w:hAnsi="仿宋_GB2312" w:eastAsia="仿宋_GB2312" w:cs="仿宋_GB2312"/>
                <w:color w:val="000000"/>
                <w:sz w:val="20"/>
                <w:szCs w:val="20"/>
              </w:rPr>
              <w:t>%</w:t>
            </w:r>
          </w:p>
        </w:tc>
        <w:tc>
          <w:tcPr>
            <w:tcW w:w="816" w:type="dxa"/>
            <w:tcBorders>
              <w:top w:val="single" w:color="auto" w:sz="4" w:space="0"/>
              <w:left w:val="nil"/>
              <w:bottom w:val="single" w:color="auto" w:sz="4" w:space="0"/>
              <w:right w:val="single" w:color="auto" w:sz="4" w:space="0"/>
            </w:tcBorders>
            <w:vAlign w:val="center"/>
          </w:tcPr>
          <w:p w14:paraId="29249668">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已达标</w:t>
            </w:r>
          </w:p>
        </w:tc>
        <w:tc>
          <w:tcPr>
            <w:tcW w:w="817" w:type="dxa"/>
            <w:tcBorders>
              <w:top w:val="nil"/>
              <w:left w:val="nil"/>
              <w:bottom w:val="single" w:color="auto" w:sz="4" w:space="0"/>
              <w:right w:val="single" w:color="auto" w:sz="4" w:space="0"/>
            </w:tcBorders>
            <w:vAlign w:val="center"/>
          </w:tcPr>
          <w:p w14:paraId="6A515F40">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nil"/>
              <w:left w:val="nil"/>
              <w:bottom w:val="single" w:color="auto" w:sz="4" w:space="0"/>
              <w:right w:val="single" w:color="auto" w:sz="4" w:space="0"/>
            </w:tcBorders>
            <w:vAlign w:val="center"/>
          </w:tcPr>
          <w:p w14:paraId="48BBF2C8">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nil"/>
              <w:left w:val="nil"/>
              <w:bottom w:val="single" w:color="auto" w:sz="4" w:space="0"/>
              <w:right w:val="single" w:color="auto" w:sz="4" w:space="0"/>
            </w:tcBorders>
            <w:vAlign w:val="center"/>
          </w:tcPr>
          <w:p w14:paraId="2BC2E44B">
            <w:pPr>
              <w:spacing w:line="260" w:lineRule="exact"/>
              <w:jc w:val="center"/>
              <w:rPr>
                <w:rFonts w:hint="eastAsia" w:ascii="仿宋_GB2312" w:hAnsi="仿宋_GB2312" w:eastAsia="仿宋_GB2312" w:cs="仿宋_GB2312"/>
                <w:color w:val="000000"/>
                <w:sz w:val="20"/>
                <w:szCs w:val="20"/>
              </w:rPr>
            </w:pPr>
          </w:p>
        </w:tc>
      </w:tr>
      <w:tr w14:paraId="4154DDBA">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0BD9AA2C">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top w:val="single" w:color="auto" w:sz="4" w:space="0"/>
              <w:left w:val="nil"/>
              <w:bottom w:val="single" w:color="auto" w:sz="4" w:space="0"/>
              <w:right w:val="single" w:color="auto" w:sz="4" w:space="0"/>
            </w:tcBorders>
            <w:vAlign w:val="center"/>
          </w:tcPr>
          <w:p w14:paraId="63D51381">
            <w:pPr>
              <w:spacing w:line="260" w:lineRule="exact"/>
              <w:jc w:val="left"/>
              <w:rPr>
                <w:rFonts w:hint="eastAsia" w:ascii="仿宋_GB2312" w:hAnsi="仿宋_GB2312" w:eastAsia="仿宋_GB2312" w:cs="仿宋_GB2312"/>
                <w:color w:val="000000"/>
                <w:sz w:val="20"/>
                <w:szCs w:val="20"/>
              </w:rPr>
            </w:pPr>
          </w:p>
        </w:tc>
        <w:tc>
          <w:tcPr>
            <w:tcW w:w="1056" w:type="dxa"/>
            <w:vMerge w:val="restart"/>
            <w:tcBorders>
              <w:top w:val="single" w:color="auto" w:sz="4" w:space="0"/>
              <w:left w:val="nil"/>
              <w:bottom w:val="single" w:color="auto" w:sz="4" w:space="0"/>
              <w:right w:val="single" w:color="auto" w:sz="4" w:space="0"/>
            </w:tcBorders>
            <w:vAlign w:val="center"/>
          </w:tcPr>
          <w:p w14:paraId="48AAE557">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生态效</w:t>
            </w:r>
          </w:p>
          <w:p w14:paraId="72C217A2">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994" w:type="dxa"/>
            <w:tcBorders>
              <w:top w:val="single" w:color="auto" w:sz="4" w:space="0"/>
              <w:left w:val="nil"/>
              <w:bottom w:val="single" w:color="auto" w:sz="4" w:space="0"/>
              <w:right w:val="single" w:color="auto" w:sz="4" w:space="0"/>
            </w:tcBorders>
            <w:vAlign w:val="center"/>
          </w:tcPr>
          <w:p w14:paraId="65663F8F">
            <w:pPr>
              <w:spacing w:line="260" w:lineRule="exact"/>
              <w:jc w:val="center"/>
              <w:rPr>
                <w:rFonts w:hint="eastAsia" w:ascii="仿宋_GB2312" w:hAnsi="仿宋_GB2312" w:eastAsia="仿宋_GB2312" w:cs="仿宋_GB2312"/>
                <w:color w:val="000000"/>
                <w:sz w:val="20"/>
                <w:szCs w:val="20"/>
              </w:rPr>
            </w:pPr>
            <w:r>
              <w:rPr>
                <w:rFonts w:ascii="仿宋_GB2312" w:hAnsi="仿宋_GB2312" w:eastAsia="仿宋_GB2312" w:cs="仿宋_GB2312"/>
                <w:color w:val="000000"/>
                <w:sz w:val="20"/>
                <w:szCs w:val="20"/>
              </w:rPr>
              <w:t>无纸化办公覆盖率</w:t>
            </w:r>
          </w:p>
        </w:tc>
        <w:tc>
          <w:tcPr>
            <w:tcW w:w="1798" w:type="dxa"/>
            <w:tcBorders>
              <w:top w:val="single" w:color="auto" w:sz="4" w:space="0"/>
              <w:left w:val="nil"/>
              <w:bottom w:val="single" w:color="auto" w:sz="4" w:space="0"/>
              <w:right w:val="single" w:color="auto" w:sz="4" w:space="0"/>
            </w:tcBorders>
            <w:vAlign w:val="center"/>
          </w:tcPr>
          <w:p w14:paraId="5B9033F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全程电子化办理的业务类型数量占全部不动产登记业务类型总数的比例</w:t>
            </w:r>
            <w:r>
              <w:rPr>
                <w:rFonts w:ascii="仿宋_GB2312" w:hAnsi="仿宋_GB2312" w:eastAsia="仿宋_GB2312" w:cs="仿宋_GB2312"/>
                <w:color w:val="000000"/>
                <w:sz w:val="20"/>
                <w:szCs w:val="20"/>
              </w:rPr>
              <w:t>≥9</w:t>
            </w:r>
            <w:r>
              <w:rPr>
                <w:rFonts w:hint="eastAsia" w:ascii="仿宋_GB2312" w:hAnsi="仿宋_GB2312" w:eastAsia="仿宋_GB2312" w:cs="仿宋_GB2312"/>
                <w:color w:val="000000"/>
                <w:sz w:val="20"/>
                <w:szCs w:val="20"/>
              </w:rPr>
              <w:t>8</w:t>
            </w:r>
            <w:r>
              <w:rPr>
                <w:rFonts w:ascii="仿宋_GB2312" w:hAnsi="仿宋_GB2312" w:eastAsia="仿宋_GB2312" w:cs="仿宋_GB2312"/>
                <w:color w:val="000000"/>
                <w:sz w:val="20"/>
                <w:szCs w:val="20"/>
              </w:rPr>
              <w:t>%</w:t>
            </w:r>
          </w:p>
        </w:tc>
        <w:tc>
          <w:tcPr>
            <w:tcW w:w="816" w:type="dxa"/>
            <w:tcBorders>
              <w:top w:val="nil"/>
              <w:left w:val="nil"/>
              <w:bottom w:val="single" w:color="auto" w:sz="4" w:space="0"/>
              <w:right w:val="single" w:color="auto" w:sz="4" w:space="0"/>
            </w:tcBorders>
            <w:vAlign w:val="center"/>
          </w:tcPr>
          <w:p w14:paraId="15475C60">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已达标</w:t>
            </w:r>
          </w:p>
        </w:tc>
        <w:tc>
          <w:tcPr>
            <w:tcW w:w="817" w:type="dxa"/>
            <w:tcBorders>
              <w:top w:val="nil"/>
              <w:left w:val="nil"/>
              <w:bottom w:val="single" w:color="auto" w:sz="4" w:space="0"/>
              <w:right w:val="single" w:color="auto" w:sz="4" w:space="0"/>
            </w:tcBorders>
            <w:vAlign w:val="center"/>
          </w:tcPr>
          <w:p w14:paraId="2D7C8266">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nil"/>
              <w:left w:val="nil"/>
              <w:bottom w:val="single" w:color="auto" w:sz="4" w:space="0"/>
              <w:right w:val="single" w:color="auto" w:sz="4" w:space="0"/>
            </w:tcBorders>
            <w:vAlign w:val="center"/>
          </w:tcPr>
          <w:p w14:paraId="1A7644BE">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nil"/>
              <w:left w:val="nil"/>
              <w:bottom w:val="single" w:color="auto" w:sz="4" w:space="0"/>
              <w:right w:val="single" w:color="auto" w:sz="4" w:space="0"/>
            </w:tcBorders>
            <w:vAlign w:val="center"/>
          </w:tcPr>
          <w:p w14:paraId="30B760EC">
            <w:pPr>
              <w:spacing w:line="260" w:lineRule="exact"/>
              <w:jc w:val="center"/>
              <w:rPr>
                <w:rFonts w:hint="eastAsia" w:ascii="仿宋_GB2312" w:hAnsi="仿宋_GB2312" w:eastAsia="仿宋_GB2312" w:cs="仿宋_GB2312"/>
                <w:color w:val="000000"/>
                <w:sz w:val="20"/>
                <w:szCs w:val="20"/>
              </w:rPr>
            </w:pPr>
          </w:p>
        </w:tc>
      </w:tr>
      <w:tr w14:paraId="34C2A252">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7276E4A4">
            <w:pPr>
              <w:spacing w:line="260" w:lineRule="exact"/>
              <w:jc w:val="left"/>
              <w:rPr>
                <w:rFonts w:hint="eastAsia" w:ascii="仿宋_GB2312" w:hAnsi="仿宋_GB2312" w:eastAsia="仿宋_GB2312" w:cs="仿宋_GB2312"/>
                <w:color w:val="000000"/>
                <w:sz w:val="20"/>
                <w:szCs w:val="20"/>
              </w:rPr>
            </w:pPr>
          </w:p>
        </w:tc>
        <w:tc>
          <w:tcPr>
            <w:tcW w:w="1063" w:type="dxa"/>
            <w:vMerge w:val="continue"/>
            <w:tcBorders>
              <w:top w:val="single" w:color="auto" w:sz="4" w:space="0"/>
              <w:left w:val="nil"/>
              <w:bottom w:val="single" w:color="auto" w:sz="4" w:space="0"/>
              <w:right w:val="single" w:color="auto" w:sz="4" w:space="0"/>
            </w:tcBorders>
            <w:vAlign w:val="center"/>
          </w:tcPr>
          <w:p w14:paraId="72F908F5">
            <w:pPr>
              <w:spacing w:line="260" w:lineRule="exact"/>
              <w:jc w:val="left"/>
              <w:rPr>
                <w:rFonts w:hint="eastAsia" w:ascii="仿宋_GB2312" w:hAnsi="仿宋_GB2312" w:eastAsia="仿宋_GB2312" w:cs="仿宋_GB2312"/>
                <w:color w:val="000000"/>
                <w:sz w:val="20"/>
                <w:szCs w:val="20"/>
              </w:rPr>
            </w:pPr>
          </w:p>
        </w:tc>
        <w:tc>
          <w:tcPr>
            <w:tcW w:w="1056" w:type="dxa"/>
            <w:vMerge w:val="continue"/>
            <w:tcBorders>
              <w:top w:val="single" w:color="auto" w:sz="4" w:space="0"/>
              <w:left w:val="nil"/>
              <w:bottom w:val="single" w:color="auto" w:sz="4" w:space="0"/>
              <w:right w:val="single" w:color="auto" w:sz="4" w:space="0"/>
            </w:tcBorders>
            <w:vAlign w:val="center"/>
          </w:tcPr>
          <w:p w14:paraId="1D237217">
            <w:pPr>
              <w:spacing w:line="260" w:lineRule="exact"/>
              <w:jc w:val="center"/>
              <w:rPr>
                <w:rFonts w:hint="eastAsia" w:ascii="仿宋_GB2312" w:hAnsi="仿宋_GB2312" w:eastAsia="仿宋_GB2312" w:cs="仿宋_GB2312"/>
                <w:color w:val="000000"/>
                <w:sz w:val="20"/>
                <w:szCs w:val="20"/>
              </w:rPr>
            </w:pPr>
          </w:p>
        </w:tc>
        <w:tc>
          <w:tcPr>
            <w:tcW w:w="994" w:type="dxa"/>
            <w:tcBorders>
              <w:top w:val="single" w:color="auto" w:sz="4" w:space="0"/>
              <w:left w:val="nil"/>
              <w:bottom w:val="single" w:color="auto" w:sz="4" w:space="0"/>
              <w:right w:val="single" w:color="auto" w:sz="4" w:space="0"/>
            </w:tcBorders>
            <w:vAlign w:val="center"/>
          </w:tcPr>
          <w:p w14:paraId="6950F920">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电子证照签发率</w:t>
            </w:r>
          </w:p>
        </w:tc>
        <w:tc>
          <w:tcPr>
            <w:tcW w:w="1798" w:type="dxa"/>
            <w:tcBorders>
              <w:top w:val="single" w:color="auto" w:sz="4" w:space="0"/>
              <w:left w:val="nil"/>
              <w:bottom w:val="single" w:color="auto" w:sz="4" w:space="0"/>
              <w:right w:val="single" w:color="auto" w:sz="4" w:space="0"/>
            </w:tcBorders>
            <w:vAlign w:val="center"/>
          </w:tcPr>
          <w:p w14:paraId="782F91BE">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不动产电子证照签发量占全部不动产权证书/证明签发总量的比例</w:t>
            </w:r>
            <w:r>
              <w:rPr>
                <w:rFonts w:ascii="仿宋_GB2312" w:hAnsi="仿宋_GB2312" w:eastAsia="仿宋_GB2312" w:cs="仿宋_GB2312"/>
                <w:color w:val="000000"/>
                <w:sz w:val="20"/>
                <w:szCs w:val="20"/>
              </w:rPr>
              <w:t>≥95%</w:t>
            </w:r>
          </w:p>
        </w:tc>
        <w:tc>
          <w:tcPr>
            <w:tcW w:w="816" w:type="dxa"/>
            <w:tcBorders>
              <w:top w:val="nil"/>
              <w:left w:val="nil"/>
              <w:bottom w:val="single" w:color="auto" w:sz="4" w:space="0"/>
              <w:right w:val="single" w:color="auto" w:sz="4" w:space="0"/>
            </w:tcBorders>
            <w:vAlign w:val="center"/>
          </w:tcPr>
          <w:p w14:paraId="67A19F8F">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已达标</w:t>
            </w:r>
          </w:p>
        </w:tc>
        <w:tc>
          <w:tcPr>
            <w:tcW w:w="817" w:type="dxa"/>
            <w:tcBorders>
              <w:top w:val="nil"/>
              <w:left w:val="nil"/>
              <w:bottom w:val="single" w:color="auto" w:sz="4" w:space="0"/>
              <w:right w:val="single" w:color="auto" w:sz="4" w:space="0"/>
            </w:tcBorders>
            <w:vAlign w:val="center"/>
          </w:tcPr>
          <w:p w14:paraId="2F7AEE7D">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64" w:type="dxa"/>
            <w:tcBorders>
              <w:top w:val="nil"/>
              <w:left w:val="nil"/>
              <w:bottom w:val="single" w:color="auto" w:sz="4" w:space="0"/>
              <w:right w:val="single" w:color="auto" w:sz="4" w:space="0"/>
            </w:tcBorders>
            <w:vAlign w:val="center"/>
          </w:tcPr>
          <w:p w14:paraId="6ADCFF52">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381" w:type="dxa"/>
            <w:tcBorders>
              <w:top w:val="nil"/>
              <w:left w:val="nil"/>
              <w:bottom w:val="single" w:color="auto" w:sz="4" w:space="0"/>
              <w:right w:val="single" w:color="auto" w:sz="4" w:space="0"/>
            </w:tcBorders>
            <w:vAlign w:val="center"/>
          </w:tcPr>
          <w:p w14:paraId="032EE095">
            <w:pPr>
              <w:spacing w:line="260" w:lineRule="exact"/>
              <w:jc w:val="center"/>
              <w:rPr>
                <w:rFonts w:hint="eastAsia" w:ascii="仿宋_GB2312" w:hAnsi="仿宋_GB2312" w:eastAsia="仿宋_GB2312" w:cs="仿宋_GB2312"/>
                <w:color w:val="000000"/>
                <w:sz w:val="20"/>
                <w:szCs w:val="20"/>
              </w:rPr>
            </w:pPr>
          </w:p>
        </w:tc>
      </w:tr>
      <w:tr w14:paraId="1C02588D">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3082CC96">
            <w:pPr>
              <w:spacing w:line="260" w:lineRule="exact"/>
              <w:jc w:val="center"/>
              <w:rPr>
                <w:rFonts w:hint="eastAsia" w:ascii="仿宋_GB2312" w:hAnsi="仿宋_GB2312" w:eastAsia="仿宋_GB2312" w:cs="仿宋_GB2312"/>
                <w:color w:val="000000"/>
                <w:sz w:val="20"/>
                <w:szCs w:val="20"/>
              </w:rPr>
            </w:pPr>
          </w:p>
        </w:tc>
        <w:tc>
          <w:tcPr>
            <w:tcW w:w="1063" w:type="dxa"/>
            <w:vMerge w:val="continue"/>
            <w:tcBorders>
              <w:top w:val="single" w:color="auto" w:sz="4" w:space="0"/>
              <w:left w:val="nil"/>
              <w:bottom w:val="single" w:color="auto" w:sz="4" w:space="0"/>
              <w:right w:val="single" w:color="auto" w:sz="4" w:space="0"/>
            </w:tcBorders>
            <w:vAlign w:val="center"/>
          </w:tcPr>
          <w:p w14:paraId="2476C229">
            <w:pPr>
              <w:spacing w:line="260" w:lineRule="exact"/>
              <w:jc w:val="left"/>
              <w:rPr>
                <w:rFonts w:hint="eastAsia" w:ascii="仿宋_GB2312" w:hAnsi="仿宋_GB2312" w:eastAsia="仿宋_GB2312" w:cs="仿宋_GB2312"/>
                <w:color w:val="000000"/>
                <w:sz w:val="20"/>
                <w:szCs w:val="20"/>
              </w:rPr>
            </w:pPr>
          </w:p>
        </w:tc>
        <w:tc>
          <w:tcPr>
            <w:tcW w:w="1056" w:type="dxa"/>
            <w:tcBorders>
              <w:top w:val="single" w:color="auto" w:sz="4" w:space="0"/>
              <w:left w:val="single" w:color="auto" w:sz="4" w:space="0"/>
              <w:bottom w:val="single" w:color="auto" w:sz="4" w:space="0"/>
              <w:right w:val="single" w:color="auto" w:sz="4" w:space="0"/>
            </w:tcBorders>
            <w:vAlign w:val="center"/>
          </w:tcPr>
          <w:p w14:paraId="3CE729E7">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可持续影响指标</w:t>
            </w:r>
          </w:p>
        </w:tc>
        <w:tc>
          <w:tcPr>
            <w:tcW w:w="994" w:type="dxa"/>
            <w:tcBorders>
              <w:top w:val="single" w:color="auto" w:sz="4" w:space="0"/>
              <w:left w:val="single" w:color="auto" w:sz="4" w:space="0"/>
              <w:bottom w:val="single" w:color="auto" w:sz="4" w:space="0"/>
              <w:right w:val="single" w:color="auto" w:sz="4" w:space="0"/>
            </w:tcBorders>
            <w:vAlign w:val="center"/>
          </w:tcPr>
          <w:p w14:paraId="5E235CFD">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数据质量合格率</w:t>
            </w:r>
          </w:p>
        </w:tc>
        <w:tc>
          <w:tcPr>
            <w:tcW w:w="1798" w:type="dxa"/>
            <w:tcBorders>
              <w:top w:val="single" w:color="auto" w:sz="4" w:space="0"/>
              <w:left w:val="single" w:color="auto" w:sz="4" w:space="0"/>
              <w:bottom w:val="single" w:color="auto" w:sz="4" w:space="0"/>
              <w:right w:val="single" w:color="auto" w:sz="4" w:space="0"/>
            </w:tcBorders>
            <w:vAlign w:val="center"/>
          </w:tcPr>
          <w:p w14:paraId="61A44B7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通过完整性、准确性、一致性校验的数据记录占比</w:t>
            </w:r>
            <w:r>
              <w:rPr>
                <w:rFonts w:ascii="仿宋_GB2312" w:hAnsi="仿宋_GB2312" w:eastAsia="仿宋_GB2312" w:cs="仿宋_GB2312"/>
                <w:color w:val="000000"/>
                <w:sz w:val="20"/>
                <w:szCs w:val="20"/>
              </w:rPr>
              <w:t>≥9</w:t>
            </w:r>
            <w:r>
              <w:rPr>
                <w:rFonts w:hint="eastAsia" w:ascii="仿宋_GB2312" w:hAnsi="仿宋_GB2312" w:eastAsia="仿宋_GB2312" w:cs="仿宋_GB2312"/>
                <w:color w:val="000000"/>
                <w:sz w:val="20"/>
                <w:szCs w:val="20"/>
              </w:rPr>
              <w:t>9</w:t>
            </w:r>
            <w:r>
              <w:rPr>
                <w:rFonts w:ascii="仿宋_GB2312" w:hAnsi="仿宋_GB2312" w:eastAsia="仿宋_GB2312" w:cs="仿宋_GB2312"/>
                <w:color w:val="000000"/>
                <w:sz w:val="20"/>
                <w:szCs w:val="20"/>
              </w:rPr>
              <w:t>%</w:t>
            </w:r>
            <w:r>
              <w:rPr>
                <w:rFonts w:hint="eastAsia" w:ascii="仿宋_GB2312" w:hAnsi="仿宋_GB2312" w:eastAsia="仿宋_GB2312" w:cs="仿宋_GB2312"/>
                <w:color w:val="000000"/>
                <w:sz w:val="20"/>
                <w:szCs w:val="20"/>
              </w:rPr>
              <w:t>。</w:t>
            </w:r>
          </w:p>
        </w:tc>
        <w:tc>
          <w:tcPr>
            <w:tcW w:w="816" w:type="dxa"/>
            <w:tcBorders>
              <w:top w:val="single" w:color="auto" w:sz="4" w:space="0"/>
              <w:left w:val="single" w:color="auto" w:sz="4" w:space="0"/>
              <w:bottom w:val="single" w:color="auto" w:sz="4" w:space="0"/>
              <w:right w:val="single" w:color="auto" w:sz="4" w:space="0"/>
            </w:tcBorders>
            <w:vAlign w:val="center"/>
          </w:tcPr>
          <w:p w14:paraId="3017BA12">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全库比例实际偏低</w:t>
            </w:r>
          </w:p>
        </w:tc>
        <w:tc>
          <w:tcPr>
            <w:tcW w:w="817" w:type="dxa"/>
            <w:tcBorders>
              <w:top w:val="single" w:color="auto" w:sz="4" w:space="0"/>
              <w:left w:val="single" w:color="auto" w:sz="4" w:space="0"/>
              <w:bottom w:val="single" w:color="auto" w:sz="4" w:space="0"/>
              <w:right w:val="single" w:color="auto" w:sz="4" w:space="0"/>
            </w:tcBorders>
            <w:vAlign w:val="center"/>
          </w:tcPr>
          <w:p w14:paraId="78C6BBE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864" w:type="dxa"/>
            <w:tcBorders>
              <w:top w:val="single" w:color="auto" w:sz="4" w:space="0"/>
              <w:left w:val="single" w:color="auto" w:sz="4" w:space="0"/>
              <w:bottom w:val="single" w:color="auto" w:sz="4" w:space="0"/>
              <w:right w:val="single" w:color="auto" w:sz="4" w:space="0"/>
            </w:tcBorders>
            <w:vAlign w:val="center"/>
          </w:tcPr>
          <w:p w14:paraId="76C593BC">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8</w:t>
            </w:r>
          </w:p>
        </w:tc>
        <w:tc>
          <w:tcPr>
            <w:tcW w:w="1381" w:type="dxa"/>
            <w:tcBorders>
              <w:top w:val="single" w:color="auto" w:sz="4" w:space="0"/>
              <w:left w:val="single" w:color="auto" w:sz="4" w:space="0"/>
              <w:bottom w:val="single" w:color="auto" w:sz="4" w:space="0"/>
              <w:right w:val="single" w:color="auto" w:sz="4" w:space="0"/>
            </w:tcBorders>
            <w:vAlign w:val="center"/>
          </w:tcPr>
          <w:p w14:paraId="274E77F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通过数据清理、档案整理清理数据提升数据质量</w:t>
            </w:r>
          </w:p>
        </w:tc>
      </w:tr>
      <w:tr w14:paraId="036F8B6E">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539B9821">
            <w:pPr>
              <w:spacing w:line="260" w:lineRule="exact"/>
              <w:jc w:val="left"/>
              <w:rPr>
                <w:rFonts w:hint="eastAsia" w:ascii="仿宋_GB2312" w:hAnsi="仿宋_GB2312" w:eastAsia="仿宋_GB2312" w:cs="仿宋_GB2312"/>
                <w:color w:val="000000"/>
                <w:sz w:val="20"/>
                <w:szCs w:val="20"/>
              </w:rPr>
            </w:pPr>
          </w:p>
        </w:tc>
        <w:tc>
          <w:tcPr>
            <w:tcW w:w="1063" w:type="dxa"/>
            <w:tcBorders>
              <w:top w:val="single" w:color="auto" w:sz="4" w:space="0"/>
              <w:left w:val="nil"/>
              <w:right w:val="single" w:color="auto" w:sz="4" w:space="0"/>
            </w:tcBorders>
            <w:vAlign w:val="center"/>
          </w:tcPr>
          <w:p w14:paraId="2396EE7F">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满意度</w:t>
            </w:r>
          </w:p>
          <w:p w14:paraId="7B498F09">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w:t>
            </w:r>
          </w:p>
          <w:p w14:paraId="5EA25E50">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（10分）</w:t>
            </w:r>
          </w:p>
        </w:tc>
        <w:tc>
          <w:tcPr>
            <w:tcW w:w="1056" w:type="dxa"/>
            <w:tcBorders>
              <w:top w:val="single" w:color="auto" w:sz="4" w:space="0"/>
              <w:left w:val="nil"/>
              <w:right w:val="single" w:color="auto" w:sz="4" w:space="0"/>
            </w:tcBorders>
            <w:vAlign w:val="center"/>
          </w:tcPr>
          <w:p w14:paraId="216D2D89">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服务对象满意度指标</w:t>
            </w:r>
          </w:p>
        </w:tc>
        <w:tc>
          <w:tcPr>
            <w:tcW w:w="994" w:type="dxa"/>
            <w:tcBorders>
              <w:top w:val="single" w:color="auto" w:sz="4" w:space="0"/>
              <w:left w:val="nil"/>
              <w:bottom w:val="single" w:color="auto" w:sz="4" w:space="0"/>
              <w:right w:val="single" w:color="auto" w:sz="4" w:space="0"/>
            </w:tcBorders>
            <w:vAlign w:val="center"/>
          </w:tcPr>
          <w:p w14:paraId="600D9378">
            <w:pPr>
              <w:spacing w:line="260" w:lineRule="exact"/>
              <w:jc w:val="center"/>
              <w:rPr>
                <w:rFonts w:hint="eastAsia" w:ascii="仿宋_GB2312" w:hAnsi="仿宋_GB2312" w:eastAsia="仿宋_GB2312" w:cs="仿宋_GB2312"/>
                <w:color w:val="000000"/>
                <w:sz w:val="20"/>
                <w:szCs w:val="20"/>
              </w:rPr>
            </w:pPr>
            <w:r>
              <w:rPr>
                <w:rFonts w:hint="eastAsia" w:ascii="仿宋_GB2312" w:hAnsi="宋体" w:eastAsia="仿宋_GB2312"/>
                <w:color w:val="000000"/>
                <w:sz w:val="18"/>
                <w:szCs w:val="18"/>
              </w:rPr>
              <w:t>群众满意率</w:t>
            </w:r>
          </w:p>
        </w:tc>
        <w:tc>
          <w:tcPr>
            <w:tcW w:w="1798" w:type="dxa"/>
            <w:tcBorders>
              <w:top w:val="single" w:color="auto" w:sz="4" w:space="0"/>
              <w:left w:val="nil"/>
              <w:bottom w:val="single" w:color="auto" w:sz="4" w:space="0"/>
              <w:right w:val="single" w:color="auto" w:sz="4" w:space="0"/>
            </w:tcBorders>
            <w:vAlign w:val="center"/>
          </w:tcPr>
          <w:p w14:paraId="5B650BE9">
            <w:pPr>
              <w:spacing w:line="260" w:lineRule="exact"/>
              <w:jc w:val="center"/>
              <w:rPr>
                <w:rFonts w:hint="eastAsia" w:ascii="仿宋_GB2312" w:hAnsi="仿宋_GB2312" w:eastAsia="仿宋_GB2312" w:cs="仿宋_GB2312"/>
                <w:color w:val="000000"/>
                <w:sz w:val="20"/>
                <w:szCs w:val="20"/>
              </w:rPr>
            </w:pPr>
            <w:r>
              <w:rPr>
                <w:rFonts w:hint="eastAsia" w:ascii="仿宋_GB2312" w:hAnsi="宋体" w:eastAsia="仿宋_GB2312"/>
                <w:color w:val="000000"/>
                <w:sz w:val="20"/>
                <w:szCs w:val="20"/>
              </w:rPr>
              <w:t>≥95%</w:t>
            </w:r>
          </w:p>
        </w:tc>
        <w:tc>
          <w:tcPr>
            <w:tcW w:w="816" w:type="dxa"/>
            <w:tcBorders>
              <w:top w:val="single" w:color="auto" w:sz="4" w:space="0"/>
              <w:left w:val="nil"/>
              <w:bottom w:val="single" w:color="auto" w:sz="4" w:space="0"/>
              <w:right w:val="single" w:color="auto" w:sz="4" w:space="0"/>
            </w:tcBorders>
            <w:vAlign w:val="center"/>
          </w:tcPr>
          <w:p w14:paraId="30A87315">
            <w:pPr>
              <w:spacing w:line="260" w:lineRule="exact"/>
              <w:jc w:val="center"/>
              <w:rPr>
                <w:rFonts w:hint="eastAsia" w:ascii="仿宋_GB2312" w:hAnsi="仿宋_GB2312" w:eastAsia="仿宋_GB2312" w:cs="仿宋_GB2312"/>
                <w:color w:val="000000"/>
                <w:sz w:val="20"/>
                <w:szCs w:val="20"/>
              </w:rPr>
            </w:pPr>
            <w:r>
              <w:rPr>
                <w:rFonts w:hint="eastAsia" w:ascii="仿宋_GB2312" w:hAnsi="宋体" w:eastAsia="仿宋_GB2312"/>
                <w:color w:val="000000"/>
                <w:sz w:val="20"/>
                <w:szCs w:val="20"/>
              </w:rPr>
              <w:t>≥</w:t>
            </w:r>
            <w:r>
              <w:rPr>
                <w:rFonts w:hint="eastAsia" w:ascii="仿宋_GB2312" w:eastAsia="仿宋_GB2312"/>
                <w:color w:val="000000"/>
                <w:sz w:val="20"/>
                <w:szCs w:val="20"/>
              </w:rPr>
              <w:t>9</w:t>
            </w:r>
            <w:r>
              <w:rPr>
                <w:rFonts w:hint="eastAsia" w:ascii="仿宋_GB2312" w:hAnsi="宋体" w:eastAsia="仿宋_GB2312"/>
                <w:color w:val="000000"/>
                <w:sz w:val="20"/>
                <w:szCs w:val="20"/>
              </w:rPr>
              <w:t>5%</w:t>
            </w:r>
          </w:p>
        </w:tc>
        <w:tc>
          <w:tcPr>
            <w:tcW w:w="817" w:type="dxa"/>
            <w:tcBorders>
              <w:top w:val="single" w:color="auto" w:sz="4" w:space="0"/>
              <w:left w:val="nil"/>
              <w:bottom w:val="single" w:color="auto" w:sz="4" w:space="0"/>
              <w:right w:val="single" w:color="auto" w:sz="4" w:space="0"/>
            </w:tcBorders>
            <w:vAlign w:val="center"/>
          </w:tcPr>
          <w:p w14:paraId="3A0D0069">
            <w:pPr>
              <w:spacing w:line="260" w:lineRule="exact"/>
              <w:ind w:firstLine="200" w:firstLineChars="100"/>
              <w:jc w:val="center"/>
              <w:rPr>
                <w:rFonts w:hint="eastAsia" w:ascii="仿宋_GB2312" w:hAnsi="仿宋_GB2312" w:eastAsia="仿宋_GB2312" w:cs="仿宋_GB2312"/>
                <w:color w:val="000000"/>
                <w:sz w:val="20"/>
                <w:szCs w:val="20"/>
              </w:rPr>
            </w:pPr>
            <w:r>
              <w:rPr>
                <w:rFonts w:hint="eastAsia" w:ascii="仿宋_GB2312" w:eastAsia="仿宋_GB2312"/>
                <w:color w:val="000000"/>
                <w:sz w:val="20"/>
                <w:szCs w:val="20"/>
              </w:rPr>
              <w:t>10</w:t>
            </w:r>
          </w:p>
        </w:tc>
        <w:tc>
          <w:tcPr>
            <w:tcW w:w="864" w:type="dxa"/>
            <w:tcBorders>
              <w:top w:val="single" w:color="auto" w:sz="4" w:space="0"/>
              <w:left w:val="nil"/>
              <w:bottom w:val="single" w:color="auto" w:sz="4" w:space="0"/>
              <w:right w:val="single" w:color="auto" w:sz="4" w:space="0"/>
            </w:tcBorders>
            <w:vAlign w:val="center"/>
          </w:tcPr>
          <w:p w14:paraId="517F685D">
            <w:pPr>
              <w:spacing w:line="260" w:lineRule="exact"/>
              <w:jc w:val="center"/>
              <w:rPr>
                <w:rFonts w:hint="eastAsia" w:ascii="仿宋_GB2312" w:hAnsi="仿宋_GB2312" w:eastAsia="仿宋_GB2312" w:cs="仿宋_GB2312"/>
                <w:color w:val="000000"/>
                <w:sz w:val="20"/>
                <w:szCs w:val="20"/>
              </w:rPr>
            </w:pPr>
            <w:r>
              <w:rPr>
                <w:rFonts w:hint="eastAsia" w:ascii="仿宋_GB2312" w:eastAsia="仿宋_GB2312"/>
                <w:color w:val="000000"/>
                <w:sz w:val="20"/>
                <w:szCs w:val="20"/>
              </w:rPr>
              <w:t>10</w:t>
            </w:r>
          </w:p>
        </w:tc>
        <w:tc>
          <w:tcPr>
            <w:tcW w:w="1381" w:type="dxa"/>
            <w:tcBorders>
              <w:top w:val="single" w:color="auto" w:sz="4" w:space="0"/>
              <w:left w:val="nil"/>
              <w:bottom w:val="single" w:color="auto" w:sz="4" w:space="0"/>
              <w:right w:val="single" w:color="auto" w:sz="4" w:space="0"/>
            </w:tcBorders>
            <w:vAlign w:val="center"/>
          </w:tcPr>
          <w:p w14:paraId="67E15C75">
            <w:pPr>
              <w:spacing w:line="260" w:lineRule="exact"/>
              <w:jc w:val="center"/>
              <w:rPr>
                <w:rFonts w:hint="eastAsia" w:ascii="仿宋_GB2312" w:hAnsi="仿宋_GB2312" w:eastAsia="仿宋_GB2312" w:cs="仿宋_GB2312"/>
                <w:color w:val="000000"/>
                <w:sz w:val="20"/>
                <w:szCs w:val="20"/>
              </w:rPr>
            </w:pPr>
          </w:p>
        </w:tc>
      </w:tr>
      <w:tr w14:paraId="262892AC">
        <w:tblPrEx>
          <w:tblCellMar>
            <w:top w:w="0" w:type="dxa"/>
            <w:left w:w="108" w:type="dxa"/>
            <w:bottom w:w="0" w:type="dxa"/>
            <w:right w:w="108" w:type="dxa"/>
          </w:tblCellMar>
        </w:tblPrEx>
        <w:trPr>
          <w:jc w:val="center"/>
        </w:trPr>
        <w:tc>
          <w:tcPr>
            <w:tcW w:w="6789" w:type="dxa"/>
            <w:gridSpan w:val="6"/>
            <w:tcBorders>
              <w:top w:val="single" w:color="auto" w:sz="4" w:space="0"/>
              <w:left w:val="single" w:color="auto" w:sz="4" w:space="0"/>
              <w:bottom w:val="single" w:color="auto" w:sz="4" w:space="0"/>
              <w:right w:val="single" w:color="000000" w:sz="4" w:space="0"/>
            </w:tcBorders>
            <w:vAlign w:val="center"/>
          </w:tcPr>
          <w:p w14:paraId="75B21114">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总分</w:t>
            </w:r>
          </w:p>
        </w:tc>
        <w:tc>
          <w:tcPr>
            <w:tcW w:w="817" w:type="dxa"/>
            <w:tcBorders>
              <w:top w:val="nil"/>
              <w:left w:val="nil"/>
              <w:bottom w:val="single" w:color="auto" w:sz="4" w:space="0"/>
              <w:right w:val="single" w:color="auto" w:sz="4" w:space="0"/>
            </w:tcBorders>
            <w:vAlign w:val="center"/>
          </w:tcPr>
          <w:p w14:paraId="1B0BFA95">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64" w:type="dxa"/>
            <w:tcBorders>
              <w:top w:val="nil"/>
              <w:left w:val="nil"/>
              <w:bottom w:val="single" w:color="auto" w:sz="4" w:space="0"/>
              <w:right w:val="single" w:color="auto" w:sz="4" w:space="0"/>
            </w:tcBorders>
            <w:vAlign w:val="center"/>
          </w:tcPr>
          <w:p w14:paraId="6BA5CD1C">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96</w:t>
            </w:r>
          </w:p>
        </w:tc>
        <w:tc>
          <w:tcPr>
            <w:tcW w:w="1381" w:type="dxa"/>
            <w:tcBorders>
              <w:top w:val="nil"/>
              <w:left w:val="nil"/>
              <w:bottom w:val="single" w:color="auto" w:sz="4" w:space="0"/>
              <w:right w:val="single" w:color="auto" w:sz="4" w:space="0"/>
            </w:tcBorders>
            <w:vAlign w:val="center"/>
          </w:tcPr>
          <w:p w14:paraId="4258B51D">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bl>
    <w:p w14:paraId="3B2E46B9">
      <w:pPr>
        <w:rPr>
          <w:rFonts w:eastAsia="仿宋_GB2312"/>
          <w:sz w:val="18"/>
          <w:szCs w:val="18"/>
        </w:rPr>
      </w:pPr>
      <w:r>
        <w:rPr>
          <w:rFonts w:eastAsia="仿宋_GB2312"/>
          <w:sz w:val="18"/>
          <w:szCs w:val="18"/>
        </w:rPr>
        <w:t>备注：一个一级项目支出一张表。</w:t>
      </w:r>
      <w:r>
        <w:rPr>
          <w:rFonts w:hint="eastAsia" w:eastAsia="仿宋_GB2312"/>
          <w:sz w:val="18"/>
          <w:szCs w:val="18"/>
        </w:rPr>
        <w:t>如，</w:t>
      </w:r>
      <w:r>
        <w:rPr>
          <w:rFonts w:eastAsia="仿宋_GB2312"/>
          <w:sz w:val="18"/>
          <w:szCs w:val="18"/>
        </w:rPr>
        <w:t>业务工作经费</w:t>
      </w:r>
      <w:r>
        <w:rPr>
          <w:rFonts w:hint="eastAsia" w:eastAsia="仿宋_GB2312"/>
          <w:sz w:val="18"/>
          <w:szCs w:val="18"/>
        </w:rPr>
        <w:t>，</w:t>
      </w:r>
      <w:r>
        <w:rPr>
          <w:rFonts w:eastAsia="仿宋_GB2312"/>
          <w:sz w:val="18"/>
          <w:szCs w:val="18"/>
        </w:rPr>
        <w:t>运行维护经费</w:t>
      </w:r>
      <w:r>
        <w:rPr>
          <w:rFonts w:hint="eastAsia" w:eastAsia="仿宋_GB2312"/>
          <w:sz w:val="18"/>
          <w:szCs w:val="18"/>
        </w:rPr>
        <w:t>，其他事业发展类资金…各一张表。</w:t>
      </w:r>
    </w:p>
    <w:p w14:paraId="102905DA">
      <w:pPr>
        <w:rPr>
          <w:rFonts w:eastAsia="仿宋_GB2312"/>
          <w:sz w:val="18"/>
          <w:szCs w:val="18"/>
        </w:rPr>
      </w:pPr>
    </w:p>
    <w:p w14:paraId="3F692E8C">
      <w:r>
        <w:rPr>
          <w:rFonts w:eastAsia="仿宋_GB2312"/>
          <w:sz w:val="22"/>
          <w:szCs w:val="22"/>
        </w:rPr>
        <w:t xml:space="preserve">填表人：       </w:t>
      </w:r>
      <w:r>
        <w:rPr>
          <w:rFonts w:hint="eastAsia" w:eastAsia="仿宋_GB2312"/>
          <w:sz w:val="22"/>
          <w:szCs w:val="22"/>
        </w:rPr>
        <w:t xml:space="preserve"> </w:t>
      </w:r>
      <w:r>
        <w:rPr>
          <w:rFonts w:eastAsia="仿宋_GB2312"/>
          <w:sz w:val="22"/>
          <w:szCs w:val="22"/>
        </w:rPr>
        <w:t xml:space="preserve">填报日期：     </w:t>
      </w:r>
      <w:r>
        <w:rPr>
          <w:rFonts w:hint="eastAsia" w:eastAsia="仿宋_GB2312"/>
          <w:sz w:val="22"/>
          <w:szCs w:val="22"/>
        </w:rPr>
        <w:t xml:space="preserve">      </w:t>
      </w:r>
      <w:r>
        <w:rPr>
          <w:rFonts w:eastAsia="仿宋_GB2312"/>
          <w:sz w:val="22"/>
          <w:szCs w:val="22"/>
        </w:rPr>
        <w:t xml:space="preserve">联系电话：   </w:t>
      </w:r>
      <w:r>
        <w:rPr>
          <w:rFonts w:hint="eastAsia" w:eastAsia="仿宋_GB2312"/>
          <w:sz w:val="22"/>
          <w:szCs w:val="22"/>
        </w:rPr>
        <w:t xml:space="preserve">       </w:t>
      </w:r>
      <w:r>
        <w:rPr>
          <w:rFonts w:eastAsia="仿宋_GB2312"/>
          <w:sz w:val="22"/>
          <w:szCs w:val="22"/>
        </w:rPr>
        <w:t xml:space="preserve"> 单位负责人签字：</w:t>
      </w:r>
    </w:p>
    <w:p w14:paraId="6D4D3A39"/>
    <w:sectPr>
      <w:footerReference r:id="rId3" w:type="default"/>
      <w:footerReference r:id="rId4" w:type="even"/>
      <w:pgSz w:w="11906" w:h="16838"/>
      <w:pgMar w:top="1587" w:right="1588" w:bottom="1587" w:left="1588"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A2193">
    <w:pPr>
      <w:pStyle w:val="4"/>
      <w:framePr w:wrap="around" w:vAnchor="text" w:hAnchor="margin" w:xAlign="outside" w:y="1"/>
      <w:rPr>
        <w:rStyle w:val="7"/>
        <w:sz w:val="24"/>
        <w:szCs w:val="24"/>
      </w:rPr>
    </w:pPr>
    <w:r>
      <w:rPr>
        <w:rStyle w:val="7"/>
        <w:rFonts w:hint="eastAsia"/>
        <w:sz w:val="24"/>
        <w:szCs w:val="24"/>
      </w:rPr>
      <w:t xml:space="preserve">— </w:t>
    </w:r>
    <w:r>
      <w:rPr>
        <w:sz w:val="24"/>
        <w:szCs w:val="24"/>
      </w:rPr>
      <w:fldChar w:fldCharType="begin"/>
    </w:r>
    <w:r>
      <w:rPr>
        <w:rStyle w:val="7"/>
        <w:sz w:val="24"/>
        <w:szCs w:val="24"/>
      </w:rPr>
      <w:instrText xml:space="preserve">PAGE  </w:instrText>
    </w:r>
    <w:r>
      <w:rPr>
        <w:sz w:val="24"/>
        <w:szCs w:val="24"/>
      </w:rPr>
      <w:fldChar w:fldCharType="separate"/>
    </w:r>
    <w:r>
      <w:rPr>
        <w:rStyle w:val="7"/>
        <w:sz w:val="24"/>
        <w:szCs w:val="24"/>
      </w:rPr>
      <w:t>1</w:t>
    </w:r>
    <w:r>
      <w:rPr>
        <w:sz w:val="24"/>
        <w:szCs w:val="24"/>
      </w:rPr>
      <w:fldChar w:fldCharType="end"/>
    </w:r>
    <w:r>
      <w:rPr>
        <w:rStyle w:val="7"/>
        <w:rFonts w:hint="eastAsia"/>
        <w:sz w:val="24"/>
        <w:szCs w:val="24"/>
      </w:rPr>
      <w:t xml:space="preserve"> —</w:t>
    </w:r>
  </w:p>
  <w:p w14:paraId="4BE90E7A">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137B6">
    <w:pPr>
      <w:pStyle w:val="4"/>
      <w:framePr w:wrap="around" w:vAnchor="text" w:hAnchor="margin" w:xAlign="outside" w:y="1"/>
      <w:rPr>
        <w:rStyle w:val="7"/>
      </w:rPr>
    </w:pPr>
    <w:r>
      <w:fldChar w:fldCharType="begin"/>
    </w:r>
    <w:r>
      <w:rPr>
        <w:rStyle w:val="7"/>
      </w:rPr>
      <w:instrText xml:space="preserve">PAGE  </w:instrText>
    </w:r>
    <w:r>
      <w:fldChar w:fldCharType="end"/>
    </w:r>
  </w:p>
  <w:p w14:paraId="6FBB27B2">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B723B"/>
    <w:multiLevelType w:val="singleLevel"/>
    <w:tmpl w:val="9BAB723B"/>
    <w:lvl w:ilvl="0" w:tentative="0">
      <w:start w:val="2"/>
      <w:numFmt w:val="chineseCounting"/>
      <w:suff w:val="nothing"/>
      <w:lvlText w:val="（%1）"/>
      <w:lvlJc w:val="left"/>
      <w:rPr>
        <w:rFonts w:hint="eastAsia"/>
      </w:rPr>
    </w:lvl>
  </w:abstractNum>
  <w:abstractNum w:abstractNumId="1">
    <w:nsid w:val="9CF8CA2C"/>
    <w:multiLevelType w:val="singleLevel"/>
    <w:tmpl w:val="9CF8CA2C"/>
    <w:lvl w:ilvl="0" w:tentative="0">
      <w:start w:val="8"/>
      <w:numFmt w:val="chineseCounting"/>
      <w:suff w:val="nothing"/>
      <w:lvlText w:val="%1、"/>
      <w:lvlJc w:val="left"/>
      <w:rPr>
        <w:rFonts w:hint="eastAsia"/>
      </w:rPr>
    </w:lvl>
  </w:abstractNum>
  <w:abstractNum w:abstractNumId="2">
    <w:nsid w:val="FADB7A0A"/>
    <w:multiLevelType w:val="singleLevel"/>
    <w:tmpl w:val="FADB7A0A"/>
    <w:lvl w:ilvl="0" w:tentative="0">
      <w:start w:val="1"/>
      <w:numFmt w:val="chineseCounting"/>
      <w:suff w:val="nothing"/>
      <w:lvlText w:val="%1、"/>
      <w:lvlJc w:val="left"/>
      <w:pPr>
        <w:ind w:left="-1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00113D"/>
    <w:rsid w:val="0A4569CE"/>
    <w:rsid w:val="111807FE"/>
    <w:rsid w:val="3B854432"/>
    <w:rsid w:val="44924666"/>
    <w:rsid w:val="4907377E"/>
    <w:rsid w:val="6A00113D"/>
    <w:rsid w:val="7F527146"/>
    <w:rsid w:val="7F8D3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eastAsia="仿宋" w:cs="仿宋"/>
      <w:sz w:val="31"/>
      <w:szCs w:val="31"/>
      <w:lang w:eastAsia="en-US"/>
    </w:rPr>
  </w:style>
  <w:style w:type="paragraph" w:styleId="3">
    <w:name w:val="toc 5"/>
    <w:basedOn w:val="1"/>
    <w:next w:val="1"/>
    <w:qFormat/>
    <w:uiPriority w:val="0"/>
    <w:pPr>
      <w:ind w:left="1680" w:leftChars="800"/>
    </w:pPr>
  </w:style>
  <w:style w:type="paragraph" w:styleId="4">
    <w:name w:val="footer"/>
    <w:basedOn w:val="1"/>
    <w:qFormat/>
    <w:uiPriority w:val="0"/>
    <w:pPr>
      <w:tabs>
        <w:tab w:val="center" w:pos="4153"/>
        <w:tab w:val="right" w:pos="8306"/>
      </w:tabs>
      <w:snapToGrid w:val="0"/>
      <w:jc w:val="left"/>
    </w:pPr>
    <w:rPr>
      <w:kern w:val="0"/>
      <w:sz w:val="18"/>
      <w:szCs w:val="18"/>
    </w:rPr>
  </w:style>
  <w:style w:type="character" w:styleId="7">
    <w:name w:val="page number"/>
    <w:qFormat/>
    <w:uiPriority w:val="0"/>
  </w:style>
  <w:style w:type="paragraph" w:styleId="8">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4493</Words>
  <Characters>4737</Characters>
  <Lines>0</Lines>
  <Paragraphs>0</Paragraphs>
  <TotalTime>0</TotalTime>
  <ScaleCrop>false</ScaleCrop>
  <LinksUpToDate>false</LinksUpToDate>
  <CharactersWithSpaces>4905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2026-03-24T07:12:00Z</dcterms:created>
  <dc:creator>方颖芬</dc:creator>
  <cp:lastModifiedBy>方颖芬</cp:lastModifiedBy>
  <dcterms:modified xsi:type="dcterms:W3CDTF">2026-09-15T07:01:24Z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F0DE57E9C6D04E1BBD4782C076494B37_11</vt:lpwstr>
  </property>
  <property fmtid="{D5CDD505-2E9C-101B-9397-08002B2CF9AE}" pid="4" name="KSOTemplateDocerSaveRecord">
    <vt:lpwstr>eyJoZGlkIjoiNDE0YzkxMzQ1ZGI4YmJiY2QwYzZjODQwY2IwMTU3OTkiLCJ1c2VySWQiOiIxNDgxMDAxNDcxIn0=</vt:lpwstr>
  </property>
</Properties>
</file>