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CC043">
      <w:pPr>
        <w:pStyle w:val="2"/>
        <w:numPr>
          <w:ilvl w:val="0"/>
          <w:numId w:val="0"/>
        </w:numPr>
        <w:bidi w:val="0"/>
        <w:ind w:leftChars="0"/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72"/>
          <w:szCs w:val="72"/>
        </w:rPr>
        <w:t>湖南非税收缴管理系统</w:t>
      </w:r>
    </w:p>
    <w:p w14:paraId="7A405BEA">
      <w:pPr>
        <w:pStyle w:val="2"/>
        <w:numPr>
          <w:ilvl w:val="0"/>
          <w:numId w:val="0"/>
        </w:numPr>
        <w:bidi w:val="0"/>
        <w:ind w:leftChars="0"/>
        <w:jc w:val="center"/>
        <w:rPr>
          <w:rFonts w:hint="eastAsia" w:ascii="宋体" w:hAnsi="宋体" w:eastAsia="宋体" w:cs="宋体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44"/>
          <w:szCs w:val="44"/>
          <w:lang w:val="en-US" w:eastAsia="zh-CN" w:bidi="ar-SA"/>
        </w:rPr>
        <w:t>（其他电子票据管理平台开票指南）</w:t>
      </w:r>
    </w:p>
    <w:p w14:paraId="0E55B80D">
      <w:pPr>
        <w:rPr>
          <w:rFonts w:hint="eastAsia" w:ascii="黑体" w:hAnsi="黑体" w:eastAsia="黑体" w:cstheme="minorBidi"/>
          <w:kern w:val="0"/>
          <w:sz w:val="32"/>
          <w:szCs w:val="32"/>
          <w:lang w:val="en-US" w:eastAsia="zh-CN" w:bidi="ar-SA"/>
        </w:rPr>
      </w:pPr>
    </w:p>
    <w:p w14:paraId="41A2DBD4">
      <w:pPr>
        <w:pStyle w:val="3"/>
        <w:bidi w:val="0"/>
        <w:rPr>
          <w:rFonts w:hint="eastAsia"/>
          <w:sz w:val="32"/>
          <w:szCs w:val="32"/>
          <w:lang w:val="en-US" w:eastAsia="zh-CN"/>
        </w:rPr>
      </w:pPr>
      <w:bookmarkStart w:id="0" w:name="_Toc2624"/>
      <w:r>
        <w:rPr>
          <w:rFonts w:hint="eastAsia"/>
          <w:sz w:val="32"/>
          <w:szCs w:val="32"/>
          <w:lang w:val="en-US" w:eastAsia="zh-CN"/>
        </w:rPr>
        <w:t>登录</w:t>
      </w:r>
      <w:bookmarkEnd w:id="0"/>
    </w:p>
    <w:p w14:paraId="1484C894">
      <w:pPr>
        <w:ind w:firstLine="960" w:firstLineChars="300"/>
        <w:rPr>
          <w:rFonts w:hint="default" w:ascii="黑体" w:hAnsi="黑体" w:cstheme="minorBidi"/>
          <w:b w:val="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theme="minorBidi"/>
          <w:b w:val="0"/>
          <w:kern w:val="0"/>
          <w:sz w:val="32"/>
          <w:szCs w:val="32"/>
          <w:lang w:val="en-US" w:eastAsia="zh-CN" w:bidi="ar-SA"/>
        </w:rPr>
        <w:t>浏览器访问财政联网端，网址：</w:t>
      </w:r>
      <w:r>
        <w:rPr>
          <w:rFonts w:hint="eastAsia" w:ascii="黑体" w:hAnsi="黑体" w:eastAsia="黑体" w:cstheme="minorBidi"/>
          <w:b w:val="0"/>
          <w:color w:val="FF0000"/>
          <w:kern w:val="0"/>
          <w:sz w:val="32"/>
          <w:szCs w:val="32"/>
          <w:lang w:val="en-US" w:eastAsia="zh-CN" w:bidi="ar-SA"/>
        </w:rPr>
        <w:t>http://222.244.103.73:8900/othersbill/#/login</w:t>
      </w:r>
    </w:p>
    <w:p w14:paraId="2047E5F6">
      <w:pPr>
        <w:rPr>
          <w:rFonts w:hint="default" w:ascii="黑体" w:hAnsi="黑体" w:eastAsia="黑体" w:cstheme="minorBidi"/>
          <w:kern w:val="0"/>
          <w:sz w:val="32"/>
          <w:szCs w:val="32"/>
          <w:lang w:val="en-US" w:eastAsia="zh-CN" w:bidi="ar-SA"/>
        </w:rPr>
      </w:pPr>
    </w:p>
    <w:p w14:paraId="7604AC56">
      <w:pPr>
        <w:rPr>
          <w:rFonts w:hint="default" w:ascii="黑体" w:hAnsi="黑体" w:eastAsia="黑体" w:cstheme="minorBidi"/>
          <w:kern w:val="0"/>
          <w:sz w:val="32"/>
          <w:szCs w:val="32"/>
          <w:lang w:val="en-US" w:eastAsia="zh-CN" w:bidi="ar-SA"/>
        </w:rPr>
      </w:pPr>
    </w:p>
    <w:p w14:paraId="5A35BE48">
      <w:pPr>
        <w:pStyle w:val="3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其他财政票据申请</w:t>
      </w:r>
    </w:p>
    <w:p w14:paraId="0C764FBF">
      <w:pPr>
        <w:ind w:firstLine="420" w:firstLineChars="0"/>
        <w:rPr>
          <w:rFonts w:hint="default"/>
          <w:sz w:val="28"/>
          <w:szCs w:val="36"/>
          <w:lang w:val="en-US" w:eastAsia="zh-CN"/>
        </w:rPr>
      </w:pPr>
      <w:r>
        <w:rPr>
          <w:rFonts w:hint="eastAsia" w:ascii="黑体" w:hAnsi="黑体" w:eastAsia="黑体" w:cstheme="minorBidi"/>
          <w:b w:val="0"/>
          <w:kern w:val="0"/>
          <w:sz w:val="32"/>
          <w:szCs w:val="32"/>
          <w:lang w:val="en-US" w:eastAsia="zh-CN" w:bidi="ar-SA"/>
        </w:rPr>
        <w:t>票据申请类型和电子缴款书申请一样分为年度票据和备用票据。填写年度用票计划(年底)或补充用票计划(年中)，并通过联网单位提交到财政端系统。</w:t>
      </w:r>
    </w:p>
    <w:p w14:paraId="43A73666">
      <w:pPr>
        <w:ind w:firstLine="42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1135" cy="1227455"/>
            <wp:effectExtent l="0" t="0" r="1905" b="698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22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BC267">
      <w:pPr>
        <w:rPr>
          <w:rFonts w:hint="eastAsia"/>
        </w:rPr>
      </w:pPr>
    </w:p>
    <w:p w14:paraId="6537AF37">
      <w:pPr>
        <w:rPr>
          <w:rFonts w:hint="eastAsia"/>
        </w:rPr>
      </w:pPr>
    </w:p>
    <w:p w14:paraId="75095637">
      <w:pPr>
        <w:ind w:firstLine="630" w:firstLineChars="300"/>
        <w:rPr>
          <w:sz w:val="32"/>
          <w:szCs w:val="32"/>
        </w:rPr>
      </w:pPr>
      <w:r>
        <w:drawing>
          <wp:inline distT="0" distB="0" distL="114300" distR="114300">
            <wp:extent cx="5269865" cy="2741930"/>
            <wp:effectExtent l="0" t="0" r="3175" b="127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4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F267F">
      <w:pPr>
        <w:rPr>
          <w:sz w:val="32"/>
          <w:szCs w:val="32"/>
        </w:rPr>
      </w:pPr>
    </w:p>
    <w:p w14:paraId="1ED9CF5C">
      <w:pPr>
        <w:rPr>
          <w:sz w:val="32"/>
          <w:szCs w:val="32"/>
        </w:rPr>
      </w:pPr>
    </w:p>
    <w:p w14:paraId="7D98B51C">
      <w:pPr>
        <w:rPr>
          <w:sz w:val="32"/>
          <w:szCs w:val="32"/>
        </w:rPr>
      </w:pPr>
    </w:p>
    <w:p w14:paraId="383826A8">
      <w:pPr>
        <w:pStyle w:val="3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其他财政票据使用</w:t>
      </w:r>
    </w:p>
    <w:p w14:paraId="305DE745">
      <w:pPr>
        <w:pStyle w:val="4"/>
        <w:numPr>
          <w:ilvl w:val="0"/>
          <w:numId w:val="0"/>
        </w:numPr>
        <w:bidi w:val="0"/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1、往来票据开具</w:t>
      </w:r>
    </w:p>
    <w:p w14:paraId="4D815BDD">
      <w:pPr>
        <w:ind w:firstLine="420" w:firstLineChars="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填写缴款人代码、缴款人名称，选择收费项目、录入数量、金额及其他信息(备注)完成“湖南省资金往来结算票据 (电子)”的开具。</w:t>
      </w:r>
    </w:p>
    <w:p w14:paraId="62852EA2">
      <w:pPr>
        <w:ind w:firstLine="420" w:firstLineChars="0"/>
      </w:pPr>
      <w:r>
        <w:drawing>
          <wp:inline distT="0" distB="0" distL="114300" distR="114300">
            <wp:extent cx="5274310" cy="1003300"/>
            <wp:effectExtent l="0" t="0" r="13970" b="2540"/>
            <wp:docPr id="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05BE9">
      <w:pPr>
        <w:ind w:firstLine="420" w:firstLineChars="0"/>
      </w:pPr>
      <w:r>
        <w:drawing>
          <wp:inline distT="0" distB="0" distL="114300" distR="114300">
            <wp:extent cx="5270500" cy="3830955"/>
            <wp:effectExtent l="0" t="0" r="2540" b="9525"/>
            <wp:docPr id="1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3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F73BC">
      <w:pPr>
        <w:ind w:firstLine="420" w:firstLineChars="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开具</w:t>
      </w:r>
      <w:r>
        <w:rPr>
          <w:rFonts w:hint="eastAsia"/>
          <w:sz w:val="28"/>
          <w:szCs w:val="36"/>
          <w:lang w:val="en-US" w:eastAsia="zh-CN"/>
        </w:rPr>
        <w:t>：弹框展示开具界面，录入相关信息后，完成票据的开具。</w:t>
      </w:r>
    </w:p>
    <w:p w14:paraId="76AAABEB">
      <w:pPr>
        <w:ind w:firstLine="420" w:firstLineChars="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查看票据</w:t>
      </w:r>
      <w:r>
        <w:rPr>
          <w:rFonts w:hint="eastAsia"/>
          <w:sz w:val="28"/>
          <w:szCs w:val="36"/>
          <w:lang w:val="en-US" w:eastAsia="zh-CN"/>
        </w:rPr>
        <w:t>：勾选一条记录查看电子票据版式文件。</w:t>
      </w:r>
    </w:p>
    <w:p w14:paraId="638D237F">
      <w:pPr>
        <w:ind w:firstLine="420" w:firstLineChars="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冲红</w:t>
      </w:r>
      <w:r>
        <w:rPr>
          <w:rFonts w:hint="eastAsia"/>
          <w:sz w:val="28"/>
          <w:szCs w:val="36"/>
          <w:lang w:val="en-US" w:eastAsia="zh-CN"/>
        </w:rPr>
        <w:t>：勾选一条已生成电子票据的记录，弹框展示票据信息，填写冲红原因，对勾选的记录进行冲红处理。</w:t>
      </w:r>
    </w:p>
    <w:p w14:paraId="61B8318C">
      <w:pPr>
        <w:ind w:firstLine="420" w:firstLineChars="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上传</w:t>
      </w:r>
      <w:r>
        <w:rPr>
          <w:rFonts w:hint="eastAsia"/>
          <w:sz w:val="28"/>
          <w:szCs w:val="36"/>
          <w:lang w:val="en-US" w:eastAsia="zh-CN"/>
        </w:rPr>
        <w:t>：对未上传的数据进行重传到省中台。</w:t>
      </w:r>
    </w:p>
    <w:p w14:paraId="64B209F3">
      <w:pPr>
        <w:ind w:firstLine="420" w:firstLineChars="0"/>
        <w:rPr>
          <w:rFonts w:hint="default"/>
          <w:sz w:val="28"/>
          <w:szCs w:val="36"/>
          <w:lang w:val="en-US" w:eastAsia="zh-CN"/>
        </w:rPr>
      </w:pPr>
    </w:p>
    <w:p w14:paraId="5CD98C4A">
      <w:pPr>
        <w:pStyle w:val="4"/>
        <w:numPr>
          <w:ilvl w:val="0"/>
          <w:numId w:val="0"/>
        </w:numPr>
        <w:bidi w:val="0"/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2、捐赠票据开具</w:t>
      </w:r>
    </w:p>
    <w:p w14:paraId="7A392D7D">
      <w:pPr>
        <w:ind w:firstLine="420" w:firstLineChars="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填写缴款人代码、缴款人名称，选择收费项目、录入数量、金额及其他信息(备注)完成“湖南省公益事业捐赠票据 (电子)”的开具。</w:t>
      </w:r>
    </w:p>
    <w:p w14:paraId="302B7EFA">
      <w:pPr>
        <w:ind w:firstLine="420" w:firstLineChars="0"/>
      </w:pPr>
      <w:r>
        <w:drawing>
          <wp:inline distT="0" distB="0" distL="114300" distR="114300">
            <wp:extent cx="5271135" cy="1107440"/>
            <wp:effectExtent l="0" t="0" r="1905" b="5080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36668">
      <w:pPr>
        <w:ind w:firstLine="420" w:firstLineChars="0"/>
      </w:pPr>
      <w:r>
        <w:drawing>
          <wp:inline distT="0" distB="0" distL="114300" distR="114300">
            <wp:extent cx="5265420" cy="3894455"/>
            <wp:effectExtent l="0" t="0" r="7620" b="6985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89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0C4FD">
      <w:pPr>
        <w:ind w:firstLine="420" w:firstLineChars="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开具</w:t>
      </w:r>
      <w:r>
        <w:rPr>
          <w:rFonts w:hint="eastAsia"/>
          <w:sz w:val="28"/>
          <w:szCs w:val="36"/>
          <w:lang w:val="en-US" w:eastAsia="zh-CN"/>
        </w:rPr>
        <w:t>：弹框展示开具界面，录入相关信息后，完成票据的开具。</w:t>
      </w:r>
    </w:p>
    <w:p w14:paraId="6DA7A286">
      <w:pPr>
        <w:ind w:firstLine="420" w:firstLineChars="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查看票据</w:t>
      </w:r>
      <w:r>
        <w:rPr>
          <w:rFonts w:hint="eastAsia"/>
          <w:sz w:val="28"/>
          <w:szCs w:val="36"/>
          <w:lang w:val="en-US" w:eastAsia="zh-CN"/>
        </w:rPr>
        <w:t>：勾选一条记录查看电子票据版式文件。</w:t>
      </w:r>
    </w:p>
    <w:p w14:paraId="4CA9BC1D">
      <w:pPr>
        <w:ind w:firstLine="420" w:firstLineChars="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冲红</w:t>
      </w:r>
      <w:r>
        <w:rPr>
          <w:rFonts w:hint="eastAsia"/>
          <w:sz w:val="28"/>
          <w:szCs w:val="36"/>
          <w:lang w:val="en-US" w:eastAsia="zh-CN"/>
        </w:rPr>
        <w:t>：勾选一条已生成电子票据的记录，弹框展示票据信息，填写冲红原因，对勾选的记录进行冲红处理。</w:t>
      </w:r>
    </w:p>
    <w:p w14:paraId="1B390A5D">
      <w:p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上传</w:t>
      </w:r>
      <w:r>
        <w:rPr>
          <w:rFonts w:hint="eastAsia"/>
          <w:sz w:val="28"/>
          <w:szCs w:val="36"/>
          <w:lang w:val="en-US" w:eastAsia="zh-CN"/>
        </w:rPr>
        <w:t>：对未上传的数据进行重传到省中台。</w:t>
      </w:r>
    </w:p>
    <w:p w14:paraId="3E49BB3C">
      <w:pPr>
        <w:pStyle w:val="4"/>
        <w:numPr>
          <w:ilvl w:val="0"/>
          <w:numId w:val="0"/>
        </w:numPr>
        <w:bidi w:val="0"/>
        <w:ind w:leftChars="0"/>
        <w:rPr>
          <w:rFonts w:hint="eastAsia"/>
          <w:lang w:val="en-US" w:eastAsia="zh-CN"/>
        </w:rPr>
      </w:pPr>
    </w:p>
    <w:p w14:paraId="5DC22676">
      <w:pPr>
        <w:pStyle w:val="4"/>
        <w:numPr>
          <w:ilvl w:val="0"/>
          <w:numId w:val="0"/>
        </w:numPr>
        <w:bidi w:val="0"/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3、社团票据开具</w:t>
      </w:r>
    </w:p>
    <w:p w14:paraId="5E04B692">
      <w:pPr>
        <w:ind w:firstLine="420" w:firstLineChars="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填写缴款人代码、缴款人名称，选择收费项目、录入数量、金额及其他信息(备注)完成“湖南省社会团体会费票据 (电子)”的开具。</w:t>
      </w:r>
    </w:p>
    <w:p w14:paraId="573EFCF7">
      <w:pPr>
        <w:ind w:firstLine="420" w:firstLineChars="0"/>
      </w:pPr>
      <w:r>
        <w:drawing>
          <wp:inline distT="0" distB="0" distL="114300" distR="114300">
            <wp:extent cx="5267325" cy="901700"/>
            <wp:effectExtent l="0" t="0" r="5715" b="12700"/>
            <wp:docPr id="1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11552">
      <w:pPr>
        <w:ind w:firstLine="420" w:firstLineChars="0"/>
      </w:pPr>
      <w:r>
        <w:drawing>
          <wp:inline distT="0" distB="0" distL="114300" distR="114300">
            <wp:extent cx="5265420" cy="3877945"/>
            <wp:effectExtent l="0" t="0" r="7620" b="8255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87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57265">
      <w:pPr>
        <w:ind w:firstLine="420" w:firstLineChars="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开具</w:t>
      </w:r>
      <w:r>
        <w:rPr>
          <w:rFonts w:hint="eastAsia"/>
          <w:sz w:val="28"/>
          <w:szCs w:val="36"/>
          <w:lang w:val="en-US" w:eastAsia="zh-CN"/>
        </w:rPr>
        <w:t>：弹框展示开具界面，录入相关信息后，完成票据的开具。</w:t>
      </w:r>
    </w:p>
    <w:p w14:paraId="64C96F84">
      <w:pPr>
        <w:ind w:firstLine="420" w:firstLineChars="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查看票据</w:t>
      </w:r>
      <w:r>
        <w:rPr>
          <w:rFonts w:hint="eastAsia"/>
          <w:sz w:val="28"/>
          <w:szCs w:val="36"/>
          <w:lang w:val="en-US" w:eastAsia="zh-CN"/>
        </w:rPr>
        <w:t>：勾选一条记录查看电子票据版式文件。</w:t>
      </w:r>
    </w:p>
    <w:p w14:paraId="60EB6610">
      <w:pPr>
        <w:ind w:firstLine="420" w:firstLineChars="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冲红</w:t>
      </w:r>
      <w:r>
        <w:rPr>
          <w:rFonts w:hint="eastAsia"/>
          <w:sz w:val="28"/>
          <w:szCs w:val="36"/>
          <w:lang w:val="en-US" w:eastAsia="zh-CN"/>
        </w:rPr>
        <w:t>：勾选一条已生成电子票据的记录，弹框展示票据信息，填写冲红原因，对勾选的记录进行冲红处理。</w:t>
      </w:r>
    </w:p>
    <w:p w14:paraId="5C4C18D4">
      <w:p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上传</w:t>
      </w:r>
      <w:r>
        <w:rPr>
          <w:rFonts w:hint="eastAsia"/>
          <w:sz w:val="28"/>
          <w:szCs w:val="36"/>
          <w:lang w:val="en-US" w:eastAsia="zh-CN"/>
        </w:rPr>
        <w:t>：对未上传的数据进行重传到省中台。</w:t>
      </w:r>
    </w:p>
    <w:p w14:paraId="105CEE1B">
      <w:pPr>
        <w:ind w:firstLine="420" w:firstLineChars="0"/>
        <w:rPr>
          <w:rFonts w:hint="default"/>
          <w:lang w:val="en-US" w:eastAsia="zh-CN"/>
        </w:rPr>
      </w:pPr>
      <w:bookmarkStart w:id="1" w:name="_GoBack"/>
      <w:bookmarkEnd w:id="1"/>
    </w:p>
    <w:p w14:paraId="6864D2F2">
      <w:pPr>
        <w:ind w:firstLine="420" w:firstLineChars="0"/>
        <w:rPr>
          <w:rFonts w:hint="default"/>
          <w:lang w:val="en-US" w:eastAsia="zh-CN"/>
        </w:rPr>
      </w:pPr>
    </w:p>
    <w:p w14:paraId="640B6218">
      <w:pPr>
        <w:pStyle w:val="3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电子票据开票情况表</w:t>
      </w:r>
    </w:p>
    <w:p w14:paraId="15184686">
      <w:pPr>
        <w:ind w:firstLine="420" w:firstLineChars="0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根据单位、年度、开票日期等条件统计业务单位在当前条件下的开票数量、开票金额、冲红数量、冲红金额、红票数量、红票金额等开票统计情况，并支持对查询的结果进行导出功能；</w:t>
      </w:r>
    </w:p>
    <w:p w14:paraId="30197F73">
      <w:pPr>
        <w:ind w:firstLine="42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8595" cy="1311275"/>
            <wp:effectExtent l="0" t="0" r="4445" b="14605"/>
            <wp:docPr id="1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1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0FF18">
      <w:pPr>
        <w:ind w:firstLine="420" w:firstLineChars="0"/>
        <w:rPr>
          <w:rFonts w:hint="eastAsia"/>
        </w:rPr>
      </w:pPr>
    </w:p>
    <w:p w14:paraId="6FC104E0">
      <w:pPr>
        <w:numPr>
          <w:ilvl w:val="0"/>
          <w:numId w:val="0"/>
        </w:numPr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B39CC9"/>
    <w:multiLevelType w:val="multilevel"/>
    <w:tmpl w:val="45B39CC9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wM2IwOTNhNDJkZThhMzAyOGJiNmJhNTQ0YTkwYjUifQ=="/>
  </w:docVars>
  <w:rsids>
    <w:rsidRoot w:val="23913397"/>
    <w:rsid w:val="23913397"/>
    <w:rsid w:val="38473F80"/>
    <w:rsid w:val="78303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ind w:left="0" w:firstLine="0"/>
      <w:outlineLvl w:val="0"/>
    </w:pPr>
    <w:rPr>
      <w:rFonts w:asciiTheme="minorAscii" w:hAnsiTheme="minorAscii"/>
      <w:b/>
      <w:kern w:val="44"/>
      <w:sz w:val="30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ind w:left="0" w:firstLine="0"/>
      <w:outlineLvl w:val="1"/>
    </w:pPr>
    <w:rPr>
      <w:rFonts w:ascii="Arial" w:hAnsi="Arial" w:eastAsia="黑体"/>
      <w:b/>
      <w:sz w:val="28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无间隔1"/>
    <w:qFormat/>
    <w:uiPriority w:val="0"/>
    <w:rPr>
      <w:rFonts w:ascii="Times New Roman" w:hAnsi="Times New Roman" w:eastAsia="宋体" w:cstheme="minorBidi"/>
      <w:sz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1004</Words>
  <Characters>1048</Characters>
  <Lines>0</Lines>
  <Paragraphs>0</Paragraphs>
  <TotalTime>1</TotalTime>
  <ScaleCrop>false</ScaleCrop>
  <LinksUpToDate>false</LinksUpToDate>
  <CharactersWithSpaces>1051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2024-03-18T03:08:00Z</dcterms:created>
  <dc:creator>逍遥金刀</dc:creator>
  <cp:lastModifiedBy>逍遥金刀</cp:lastModifiedBy>
  <dcterms:modified xsi:type="dcterms:W3CDTF">2026-09-15T08:08:20Z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7E7D108ECA02452093B343C1F409B1B0_11</vt:lpwstr>
  </property>
  <property fmtid="{D5CDD505-2E9C-101B-9397-08002B2CF9AE}" pid="4" name="KSOTemplateDocerSaveRecord">
    <vt:lpwstr>eyJoZGlkIjoiZDY0MGY5NmRiY2EzOTU5ZGJkN2FmNjU1MGJmYzAwYzkiLCJ1c2VySWQiOiIzMzg3MDc1OTQifQ==</vt:lpwstr>
  </property>
</Properties>
</file>