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3DA0F">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方正小标宋_GBK" w:cs="Times New Roman"/>
          <w:sz w:val="52"/>
          <w:szCs w:val="52"/>
          <w:highlight w:val="none"/>
        </w:rPr>
      </w:pPr>
    </w:p>
    <w:p w14:paraId="40D36045">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岳阳市住房和城乡建设局</w:t>
      </w:r>
    </w:p>
    <w:p w14:paraId="19E7FC4F">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单位整体支出绩效自评报告</w:t>
      </w:r>
    </w:p>
    <w:p w14:paraId="455722F6">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方正小标宋_GBK" w:cs="Times New Roman"/>
          <w:b/>
          <w:sz w:val="52"/>
          <w:szCs w:val="52"/>
          <w:highlight w:val="none"/>
        </w:rPr>
      </w:pPr>
    </w:p>
    <w:p w14:paraId="08D34535">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14:paraId="02EF5871">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14:paraId="1BDF482C">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14:paraId="1457C260">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14:paraId="41E6F2D3">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14:paraId="63575FEA">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14:paraId="4DB4B657">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14:paraId="2D3BBBF6">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14:paraId="579FDD00">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14:paraId="2C2AEEAE">
      <w:pPr>
        <w:keepNext w:val="0"/>
        <w:keepLines w:val="0"/>
        <w:pageBreakBefore w:val="0"/>
        <w:widowControl w:val="0"/>
        <w:kinsoku/>
        <w:overflowPunct/>
        <w:topLinePunct w:val="0"/>
        <w:autoSpaceDE/>
        <w:autoSpaceDN/>
        <w:bidi w:val="0"/>
        <w:adjustRightInd/>
        <w:snapToGrid/>
        <w:jc w:val="both"/>
        <w:textAlignment w:val="auto"/>
        <w:rPr>
          <w:rFonts w:hint="default" w:ascii="Times New Roman" w:hAnsi="Times New Roman" w:eastAsia="黑体" w:cs="Times New Roman"/>
          <w:sz w:val="32"/>
          <w:szCs w:val="32"/>
          <w:highlight w:val="none"/>
        </w:rPr>
      </w:pPr>
    </w:p>
    <w:p w14:paraId="5F9CFC63">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14:paraId="2C1FBC86">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14:paraId="1C8A067D">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14:paraId="10C42369">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1D7B1CDC">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default" w:ascii="Times New Roman" w:hAnsi="Times New Roman" w:eastAsia="楷体_GB2312" w:cs="Times New Roman"/>
          <w:sz w:val="32"/>
          <w:szCs w:val="32"/>
          <w:highlight w:val="none"/>
        </w:rPr>
      </w:pPr>
      <w:r>
        <w:rPr>
          <w:rFonts w:hint="eastAsia" w:eastAsia="楷体_GB2312" w:cs="Times New Roman"/>
          <w:sz w:val="32"/>
          <w:szCs w:val="32"/>
          <w:highlight w:val="none"/>
          <w:lang w:val="en-US" w:eastAsia="zh-CN"/>
        </w:rPr>
        <w:t>2026</w:t>
      </w:r>
      <w:r>
        <w:rPr>
          <w:rFonts w:hint="default" w:ascii="Times New Roman" w:hAnsi="Times New Roman" w:eastAsia="楷体_GB2312" w:cs="Times New Roman"/>
          <w:sz w:val="32"/>
          <w:szCs w:val="32"/>
          <w:highlight w:val="none"/>
        </w:rPr>
        <w:t xml:space="preserve">年 </w:t>
      </w:r>
      <w:r>
        <w:rPr>
          <w:rFonts w:hint="eastAsia"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月</w:t>
      </w:r>
      <w:r>
        <w:rPr>
          <w:rFonts w:hint="eastAsia" w:eastAsia="楷体_GB2312" w:cs="Times New Roman"/>
          <w:sz w:val="32"/>
          <w:szCs w:val="32"/>
          <w:highlight w:val="none"/>
          <w:lang w:val="en-US" w:eastAsia="zh-CN"/>
        </w:rPr>
        <w:t xml:space="preserve"> 5</w:t>
      </w:r>
      <w:r>
        <w:rPr>
          <w:rFonts w:hint="default" w:ascii="Times New Roman" w:hAnsi="Times New Roman" w:eastAsia="楷体_GB2312" w:cs="Times New Roman"/>
          <w:sz w:val="32"/>
          <w:szCs w:val="32"/>
          <w:highlight w:val="none"/>
        </w:rPr>
        <w:t>日</w:t>
      </w:r>
    </w:p>
    <w:p w14:paraId="26C12890">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09CB7E0F">
      <w:pP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br w:type="page"/>
      </w:r>
    </w:p>
    <w:p w14:paraId="00BB1508">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lang w:eastAsia="zh-CN"/>
        </w:rPr>
      </w:pPr>
      <w:bookmarkStart w:id="2" w:name="_GoBack"/>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岳阳市住房和城乡建设局</w:t>
      </w:r>
    </w:p>
    <w:p w14:paraId="683F14F7">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单位整体支出绩效自评报告</w:t>
      </w:r>
    </w:p>
    <w:bookmarkEnd w:id="2"/>
    <w:p w14:paraId="06B0EEB5">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15697F84">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单位基本情况</w:t>
      </w:r>
    </w:p>
    <w:p w14:paraId="3502C38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（一）职能职责</w:t>
      </w:r>
    </w:p>
    <w:p w14:paraId="4A2002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1、</w:t>
      </w:r>
      <w:r>
        <w:rPr>
          <w:rFonts w:hint="eastAsia" w:ascii="仿宋_GB2312" w:hAnsi="仿宋_GB2312" w:eastAsia="仿宋_GB2312" w:cs="仿宋_GB2312"/>
          <w:bCs/>
          <w:sz w:val="32"/>
          <w:szCs w:val="32"/>
        </w:rPr>
        <w:t>贯彻落实有关住房和城乡建设的法律法规、规章和政策</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拟订住房和城乡建设行业地方性法规、规章草案、规范性文件</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研究拟订住房和城乡建设发展战略、产业政策、改革方案和中长期规划及年度计划并组织实施;牵头组织推进城市智慧化建设和新型城市化发展战略;组织推进行业诚信体系建设和管理;负责市本级住房和城乡建设行政执法工作;负责监督指导各县市区住房和城乡建设行政执法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负责编制城市建设行业专业规划</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负责住房和城乡建设行业综合统计;指导和协调各县市区住房和城乡建设管理工作。</w:t>
      </w:r>
    </w:p>
    <w:p w14:paraId="26EE2DA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负责全市市政基础(公用)设施建设的行业管理和城建计划;牵头负责城市地下管线建设统筹和数据管理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负责住宅专项维修资金缴存管理和城市基础设施建设配套费的征收管理。</w:t>
      </w:r>
    </w:p>
    <w:p w14:paraId="3C54CC5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建立和完善住房保障体系，研究拟订全市住房保障政策并监督实施</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指导监督全市住房保障工作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拟订全市住房(含保障性住房)发展规划及年度计划并监督实施;会同相关部门做好政府有关住房保障专项资金安排和资金监管工作;指导监督保障性住房建设、运营、管理;组织指导城市、国有工矿棚户区改造和老旧小区改造工作。</w:t>
      </w:r>
    </w:p>
    <w:p w14:paraId="45CC941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负责全市房地产市场监督管理，规范房地产市场秩序。负责权限内房地产开发企业资质认定</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商品房屋预售许可、销售管理和房屋交易管理;负责房产测绘及成果应用的监督管理;监督管理房地产开发市场、房地产交易市场、物业管理市场、房地产中介服务市场和房屋租赁市场;监督管理国有土地上房屋征收与补偿、城市房屋白蚁防治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负责危旧房屋的安全鉴定和行业管理工作。</w:t>
      </w:r>
    </w:p>
    <w:p w14:paraId="37EFB1D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负责全市建筑市场监督管理。负责全市建设工程招标投标监管和备案工作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建筑施工、装饰装修、工程监理、造价咨询、招标代理、建设工程质量检测和商品混凝土生产等行业的监管;按照规定权限负责全市建筑业、工程监理、检验检测、商品混凝土、预拌砂浆、装饰装修等企业及其相关中介组织的资质和从业人员资格管理，对商品混凝土、预拌砂浆生产、销售、使用过程中的违法违规行为进行行政处罚</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负责建筑工程施工许可;负责房屋建筑和市政基础设施工程公开招标 项目的招标控制价备案、工程造价管理。</w:t>
      </w:r>
    </w:p>
    <w:p w14:paraId="75C77FC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负责全市房屋建筑和市政基础设施的工程质量、安全生产、文明施工的监督管理。贯彻执行工程建设标准;制定建设工程质量管理、安全生产的规章制度并监督执行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负责中心城区(含城陵矶新港区，下同)建设工程施工现场质量安全管理;牵头组织建设工程项目联合验收备案</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按照规定权限负责建筑施工企业安全生产许可证和安管人员资格的管理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负责建筑起重机械特种作业操作资格管理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参与建设工程质量、安全事故的调查处理。</w:t>
      </w:r>
    </w:p>
    <w:p w14:paraId="1B28C98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7、</w:t>
      </w:r>
      <w:r>
        <w:rPr>
          <w:rFonts w:hint="eastAsia" w:ascii="仿宋_GB2312" w:hAnsi="仿宋_GB2312" w:eastAsia="仿宋_GB2312" w:cs="仿宋_GB2312"/>
          <w:bCs/>
          <w:sz w:val="32"/>
          <w:szCs w:val="32"/>
        </w:rPr>
        <w:t>负责建设工程消防设计审查、消防验收及竣工验收消防备案、抽查工作;按照法定职权负责消防行政执法工作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对建设工程消防设计审查验收过程中的违法违规行为进行行政处罚。</w:t>
      </w:r>
    </w:p>
    <w:p w14:paraId="0A8C2CD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8、</w:t>
      </w:r>
      <w:r>
        <w:rPr>
          <w:rFonts w:hint="eastAsia" w:ascii="仿宋_GB2312" w:hAnsi="仿宋_GB2312" w:eastAsia="仿宋_GB2312" w:cs="仿宋_GB2312"/>
          <w:bCs/>
          <w:sz w:val="32"/>
          <w:szCs w:val="32"/>
        </w:rPr>
        <w:t>负责绿色建筑、建筑节能和建设科技成果应用推广。组织实施建筑节能、绿色建筑、装配式建筑、可再生能源建筑等重点项目和示范工程</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指导行业企业技术中心建设和绿色建材、新型墙体材料、散装水泥、机制砂石的推广应用工作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推广实施工程建设标准和工法;负责对粘土砖的生产销售使用、散装水泥及水泥制品的生产销售使用、现场搅拌混凝土和砂浆、绿色建筑、装配式建筑等违法违规行为进行行政处罚</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指导住宅产业化工作。</w:t>
      </w:r>
    </w:p>
    <w:p w14:paraId="43B297D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9、</w:t>
      </w:r>
      <w:r>
        <w:rPr>
          <w:rFonts w:hint="eastAsia" w:ascii="仿宋_GB2312" w:hAnsi="仿宋_GB2312" w:eastAsia="仿宋_GB2312" w:cs="仿宋_GB2312"/>
          <w:bCs/>
          <w:sz w:val="32"/>
          <w:szCs w:val="32"/>
        </w:rPr>
        <w:t>负责全市建设工程勘察设计市场的监督管理。负责全市政府投资项目的房屋建筑、市政基础设施工程初步设计方案及概算审查、概算变更管理，参与工程预算、结算管理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负责建设工程施工图设计文件审查备案;负责全市建设工程勘察设计行业的监督管理。</w:t>
      </w:r>
    </w:p>
    <w:p w14:paraId="6261251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10、</w:t>
      </w:r>
      <w:r>
        <w:rPr>
          <w:rFonts w:hint="eastAsia" w:ascii="仿宋_GB2312" w:hAnsi="仿宋_GB2312" w:eastAsia="仿宋_GB2312" w:cs="仿宋_GB2312"/>
          <w:bCs/>
          <w:sz w:val="32"/>
          <w:szCs w:val="32"/>
        </w:rPr>
        <w:t>负责村镇建设的指导和历史文化名城(镇、村)保护的监督管理。参与城乡一体化建设工作;组织编制历史文化名城(镇、村)专项规划、历史文化街区和历史风貌保护区专项规划，并监督实施</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负责本市建设项目的档案收集、保管和利用工作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负责指导全市农村危房改造和乡镇污水设施建设运营管理。</w:t>
      </w:r>
    </w:p>
    <w:p w14:paraId="07548D1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11、</w:t>
      </w:r>
      <w:r>
        <w:rPr>
          <w:rFonts w:hint="eastAsia" w:ascii="仿宋_GB2312" w:hAnsi="仿宋_GB2312" w:eastAsia="仿宋_GB2312" w:cs="仿宋_GB2312"/>
          <w:bCs/>
          <w:sz w:val="32"/>
          <w:szCs w:val="32"/>
        </w:rPr>
        <w:t>负责城市供水、排水和海绵城市建设的监督管理。负责全市供水用水行业管理和污水处理监督管理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参与城市给水用水工程的论证、审查和验收;负责全市雨水管道、污水管道、泵站、污水处理设施的建设、管理、运维和调度工作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牵头负责城市生活污水污染防治和黑臭水体治理工作</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负责污水处理特许经营管理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负责对排水户排放污水的水质等是否符合规定进行审查</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负责拟订和执行海绵城市建设设计标准的监督管理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负责海绵城市建设的监督指导。</w:t>
      </w:r>
    </w:p>
    <w:p w14:paraId="718EB01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12、</w:t>
      </w:r>
      <w:r>
        <w:rPr>
          <w:rFonts w:hint="eastAsia" w:ascii="仿宋_GB2312" w:hAnsi="仿宋_GB2312" w:eastAsia="仿宋_GB2312" w:cs="仿宋_GB2312"/>
          <w:bCs/>
          <w:sz w:val="32"/>
          <w:szCs w:val="32"/>
        </w:rPr>
        <w:t>承办市委、市政府交办的其他事项</w:t>
      </w:r>
      <w:r>
        <w:rPr>
          <w:rFonts w:hint="eastAsia" w:ascii="仿宋_GB2312" w:hAnsi="仿宋_GB2312" w:eastAsia="仿宋_GB2312" w:cs="仿宋_GB2312"/>
          <w:bCs/>
          <w:sz w:val="32"/>
          <w:szCs w:val="32"/>
          <w:lang w:eastAsia="zh-CN"/>
        </w:rPr>
        <w:t>。</w:t>
      </w:r>
    </w:p>
    <w:p w14:paraId="3BCC4F0D">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机构设置</w:t>
      </w:r>
    </w:p>
    <w:p w14:paraId="2A901A0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val="zh-CN"/>
        </w:rPr>
        <w:t>岳阳市住房和城乡建设局本级单位设置</w:t>
      </w:r>
      <w:r>
        <w:rPr>
          <w:rFonts w:hint="eastAsia" w:ascii="仿宋_GB2312" w:hAnsi="仿宋_GB2312" w:eastAsia="仿宋_GB2312" w:cs="仿宋_GB2312"/>
          <w:bCs/>
          <w:sz w:val="32"/>
          <w:szCs w:val="32"/>
          <w:lang w:val="en-US" w:eastAsia="zh-CN"/>
        </w:rPr>
        <w:t>24个科室：</w:t>
      </w:r>
      <w:r>
        <w:rPr>
          <w:rFonts w:hint="eastAsia" w:ascii="仿宋_GB2312" w:hAnsi="仿宋_GB2312" w:eastAsia="仿宋_GB2312" w:cs="仿宋_GB2312"/>
          <w:bCs/>
          <w:sz w:val="32"/>
          <w:szCs w:val="32"/>
        </w:rPr>
        <w:t>办公室、综合调研室(新型城镇化办公室)、行政审批科、住房保障科、房地产市场监管科、房屋和物业管理科、勘察设计管理科、建设工程招标投标管理办公室</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建设市场管理科(岳阳市人民政府清理拖欠工程款领导小组办公室)、信息和信用监管科、建筑节能与科技科、质量安全管理科</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建设工程消防管理科</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村镇建设科、城市建设科、历史文化名城保护管理科、供排水管理科(海绵城市建设办公室)、政策法规科</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工程技术科、信访科、人事科</w:t>
      </w:r>
      <w:r>
        <w:rPr>
          <w:rFonts w:hint="eastAsia" w:ascii="仿宋_GB2312" w:hAnsi="仿宋_GB2312" w:eastAsia="仿宋_GB2312" w:cs="仿宋_GB2312"/>
          <w:bCs/>
          <w:sz w:val="32"/>
          <w:szCs w:val="32"/>
          <w:lang w:eastAsia="zh-CN"/>
        </w:rPr>
        <w:t>、计财审计科、</w:t>
      </w:r>
      <w:r>
        <w:rPr>
          <w:rFonts w:hint="eastAsia" w:ascii="仿宋_GB2312" w:hAnsi="仿宋_GB2312" w:eastAsia="仿宋_GB2312" w:cs="仿宋_GB2312"/>
          <w:bCs/>
          <w:sz w:val="32"/>
          <w:szCs w:val="32"/>
        </w:rPr>
        <w:t>机关党委(纪委)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离退休人员管理服务科</w:t>
      </w:r>
      <w:r>
        <w:rPr>
          <w:rFonts w:hint="eastAsia" w:ascii="仿宋_GB2312" w:hAnsi="仿宋_GB2312" w:eastAsia="仿宋_GB2312" w:cs="仿宋_GB2312"/>
          <w:bCs/>
          <w:sz w:val="32"/>
          <w:szCs w:val="32"/>
          <w:lang w:eastAsia="zh-CN"/>
        </w:rPr>
        <w:t>。</w:t>
      </w:r>
    </w:p>
    <w:p w14:paraId="6ACA6B4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市住房和城乡建设局行政编制5</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名</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highlight w:val="none"/>
          <w:lang w:eastAsia="zh-CN"/>
        </w:rPr>
        <w:t>机关后勤服务事业编制</w:t>
      </w:r>
      <w:r>
        <w:rPr>
          <w:rFonts w:hint="eastAsia" w:ascii="仿宋_GB2312" w:hAnsi="仿宋_GB2312" w:eastAsia="仿宋_GB2312" w:cs="仿宋_GB2312"/>
          <w:bCs/>
          <w:sz w:val="32"/>
          <w:szCs w:val="32"/>
          <w:lang w:val="en-US" w:eastAsia="zh-CN"/>
        </w:rPr>
        <w:t>2名</w:t>
      </w:r>
      <w:r>
        <w:rPr>
          <w:rFonts w:hint="eastAsia" w:ascii="仿宋_GB2312" w:hAnsi="仿宋_GB2312" w:eastAsia="仿宋_GB2312" w:cs="仿宋_GB2312"/>
          <w:bCs/>
          <w:sz w:val="32"/>
          <w:szCs w:val="32"/>
        </w:rPr>
        <w:t>。设局长1名，副局长4名</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正科级领导职数2</w:t>
      </w:r>
      <w:r>
        <w:rPr>
          <w:rFonts w:hint="eastAsia" w:ascii="仿宋_GB2312" w:hAnsi="仿宋_GB2312" w:eastAsia="仿宋_GB2312" w:cs="仿宋_GB2312"/>
          <w:bCs/>
          <w:sz w:val="32"/>
          <w:szCs w:val="32"/>
          <w:lang w:val="en-US" w:eastAsia="zh-CN"/>
        </w:rPr>
        <w:t>7</w:t>
      </w:r>
      <w:r>
        <w:rPr>
          <w:rFonts w:hint="eastAsia" w:ascii="仿宋_GB2312" w:hAnsi="仿宋_GB2312" w:eastAsia="仿宋_GB2312" w:cs="仿宋_GB2312"/>
          <w:bCs/>
          <w:sz w:val="32"/>
          <w:szCs w:val="32"/>
        </w:rPr>
        <w:t>名(含</w:t>
      </w:r>
      <w:r>
        <w:rPr>
          <w:rFonts w:hint="eastAsia" w:ascii="仿宋_GB2312" w:hAnsi="仿宋_GB2312" w:eastAsia="仿宋_GB2312" w:cs="仿宋_GB2312"/>
          <w:bCs/>
          <w:sz w:val="32"/>
          <w:szCs w:val="32"/>
          <w:lang w:eastAsia="zh-CN"/>
        </w:rPr>
        <w:t>总工程师、</w:t>
      </w:r>
      <w:r>
        <w:rPr>
          <w:rFonts w:hint="eastAsia" w:ascii="仿宋_GB2312" w:hAnsi="仿宋_GB2312" w:eastAsia="仿宋_GB2312" w:cs="仿宋_GB2312"/>
          <w:bCs/>
          <w:sz w:val="32"/>
          <w:szCs w:val="32"/>
        </w:rPr>
        <w:t>机关党委常务副书记、机关纪委书记、离退休人员管理服务科科长</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住房建设工会专职副主席各1名)</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副科级领导职数2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名。</w:t>
      </w:r>
    </w:p>
    <w:p w14:paraId="443D1E1E">
      <w:pPr>
        <w:pStyle w:val="11"/>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5CFB294B">
      <w:pPr>
        <w:pStyle w:val="11"/>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29FCF73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25</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eastAsia="zh-CN"/>
        </w:rPr>
        <w:t>度</w:t>
      </w:r>
      <w:r>
        <w:rPr>
          <w:rFonts w:hint="eastAsia" w:ascii="仿宋_GB2312" w:hAnsi="仿宋_GB2312" w:eastAsia="仿宋_GB2312" w:cs="仿宋_GB2312"/>
          <w:bCs/>
          <w:sz w:val="32"/>
          <w:szCs w:val="32"/>
          <w:lang w:val="en-US" w:eastAsia="zh-CN"/>
        </w:rPr>
        <w:t>,单位</w:t>
      </w:r>
      <w:r>
        <w:rPr>
          <w:rFonts w:hint="eastAsia" w:ascii="仿宋_GB2312" w:hAnsi="仿宋_GB2312" w:eastAsia="仿宋_GB2312" w:cs="仿宋_GB2312"/>
          <w:bCs/>
          <w:sz w:val="32"/>
          <w:szCs w:val="32"/>
        </w:rPr>
        <w:t>基本支出</w:t>
      </w:r>
      <w:r>
        <w:rPr>
          <w:rFonts w:hint="eastAsia" w:ascii="仿宋_GB2312" w:hAnsi="仿宋_GB2312" w:eastAsia="仿宋_GB2312" w:cs="仿宋_GB2312"/>
          <w:bCs/>
          <w:sz w:val="32"/>
          <w:szCs w:val="32"/>
          <w:lang w:val="en-US" w:eastAsia="zh-CN"/>
        </w:rPr>
        <w:t>总额为1883.07</w:t>
      </w:r>
      <w:r>
        <w:rPr>
          <w:rFonts w:hint="eastAsia" w:ascii="仿宋_GB2312" w:hAnsi="仿宋_GB2312" w:eastAsia="仿宋_GB2312" w:cs="仿宋_GB2312"/>
          <w:bCs/>
          <w:sz w:val="32"/>
          <w:szCs w:val="32"/>
        </w:rPr>
        <w:t>万元，其中人员经费支出</w:t>
      </w:r>
      <w:r>
        <w:rPr>
          <w:rFonts w:hint="eastAsia" w:ascii="仿宋_GB2312" w:hAnsi="仿宋_GB2312" w:eastAsia="仿宋_GB2312" w:cs="仿宋_GB2312"/>
          <w:bCs/>
          <w:sz w:val="32"/>
          <w:szCs w:val="32"/>
          <w:lang w:val="en-US" w:eastAsia="zh-CN"/>
        </w:rPr>
        <w:t>1677.34</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主要用于</w:t>
      </w:r>
      <w:r>
        <w:rPr>
          <w:rFonts w:hint="eastAsia" w:ascii="仿宋_GB2312" w:hAnsi="仿宋_GB2312" w:eastAsia="仿宋_GB2312" w:cs="仿宋_GB2312"/>
          <w:bCs/>
          <w:sz w:val="32"/>
          <w:szCs w:val="32"/>
          <w:highlight w:val="none"/>
          <w:lang w:val="en-US" w:eastAsia="zh-CN"/>
        </w:rPr>
        <w:t>职工工资、津补贴、绩效工资及社会保障缴费等支出。</w:t>
      </w:r>
      <w:r>
        <w:rPr>
          <w:rFonts w:hint="eastAsia" w:ascii="仿宋_GB2312" w:hAnsi="仿宋_GB2312" w:eastAsia="仿宋_GB2312" w:cs="仿宋_GB2312"/>
          <w:bCs/>
          <w:sz w:val="32"/>
          <w:szCs w:val="32"/>
        </w:rPr>
        <w:t>公用</w:t>
      </w:r>
      <w:r>
        <w:rPr>
          <w:rFonts w:hint="eastAsia" w:ascii="仿宋_GB2312" w:hAnsi="仿宋_GB2312" w:eastAsia="仿宋_GB2312" w:cs="仿宋_GB2312"/>
          <w:bCs/>
          <w:sz w:val="32"/>
          <w:szCs w:val="32"/>
          <w:lang w:val="en-US" w:eastAsia="zh-CN"/>
        </w:rPr>
        <w:t>经费</w:t>
      </w:r>
      <w:r>
        <w:rPr>
          <w:rFonts w:hint="eastAsia" w:ascii="仿宋_GB2312" w:hAnsi="仿宋_GB2312" w:eastAsia="仿宋_GB2312" w:cs="仿宋_GB2312"/>
          <w:bCs/>
          <w:sz w:val="32"/>
          <w:szCs w:val="32"/>
        </w:rPr>
        <w:t>支出</w:t>
      </w:r>
      <w:r>
        <w:rPr>
          <w:rFonts w:hint="eastAsia" w:ascii="仿宋_GB2312" w:hAnsi="仿宋_GB2312" w:eastAsia="仿宋_GB2312" w:cs="仿宋_GB2312"/>
          <w:bCs/>
          <w:sz w:val="32"/>
          <w:szCs w:val="32"/>
          <w:lang w:val="en-US" w:eastAsia="zh-CN"/>
        </w:rPr>
        <w:t>205.73</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主要用于办公费、印刷费、水电费、邮电费、取暖费、物业费、差旅费、维修（护）费、租赁费、会议费、培训费、公务接待费、劳务费、委托业务费、工会经费、公务用车运行费、其他交通费用、其他商品和服务支出等单位运转费用支出。</w:t>
      </w:r>
    </w:p>
    <w:p w14:paraId="24A2BDB0">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default" w:ascii="Times New Roman" w:hAnsi="Times New Roman" w:eastAsia="楷体_GB2312" w:cs="Times New Roman"/>
          <w:b/>
          <w:sz w:val="32"/>
          <w:szCs w:val="32"/>
          <w:highlight w:val="none"/>
        </w:rPr>
      </w:pPr>
      <w:r>
        <w:rPr>
          <w:rFonts w:hint="eastAsia" w:ascii="仿宋_GB2312" w:hAnsi="仿宋_GB2312" w:eastAsia="仿宋_GB2312" w:cs="仿宋_GB2312"/>
          <w:bCs/>
          <w:sz w:val="32"/>
          <w:szCs w:val="32"/>
          <w:lang w:val="en-US" w:eastAsia="zh-CN"/>
        </w:rPr>
        <w:t>2025</w:t>
      </w:r>
      <w:r>
        <w:rPr>
          <w:rFonts w:hint="eastAsia" w:ascii="仿宋_GB2312" w:hAnsi="仿宋_GB2312" w:eastAsia="仿宋_GB2312" w:cs="仿宋_GB2312"/>
          <w:bCs/>
          <w:sz w:val="32"/>
          <w:szCs w:val="32"/>
        </w:rPr>
        <w:t>年度</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公务接待费</w:t>
      </w:r>
      <w:r>
        <w:rPr>
          <w:rFonts w:hint="eastAsia" w:ascii="仿宋_GB2312" w:hAnsi="仿宋_GB2312" w:eastAsia="仿宋_GB2312" w:cs="仿宋_GB2312"/>
          <w:bCs/>
          <w:sz w:val="32"/>
          <w:szCs w:val="32"/>
          <w:lang w:eastAsia="zh-CN"/>
        </w:rPr>
        <w:t>年初预算</w:t>
      </w:r>
      <w:r>
        <w:rPr>
          <w:rFonts w:hint="eastAsia" w:ascii="仿宋_GB2312" w:hAnsi="仿宋_GB2312" w:eastAsia="仿宋_GB2312" w:cs="仿宋_GB2312"/>
          <w:bCs/>
          <w:sz w:val="32"/>
          <w:szCs w:val="32"/>
          <w:lang w:val="en-US" w:eastAsia="zh-CN"/>
        </w:rPr>
        <w:t>金额为1.5万元，实际</w:t>
      </w:r>
      <w:r>
        <w:rPr>
          <w:rFonts w:hint="eastAsia" w:ascii="仿宋_GB2312" w:hAnsi="仿宋_GB2312" w:eastAsia="仿宋_GB2312" w:cs="仿宋_GB2312"/>
          <w:bCs/>
          <w:sz w:val="32"/>
          <w:szCs w:val="32"/>
        </w:rPr>
        <w:t>支出</w:t>
      </w:r>
      <w:r>
        <w:rPr>
          <w:rFonts w:hint="eastAsia" w:ascii="仿宋_GB2312" w:hAnsi="仿宋_GB2312" w:eastAsia="仿宋_GB2312" w:cs="仿宋_GB2312"/>
          <w:bCs/>
          <w:sz w:val="32"/>
          <w:szCs w:val="32"/>
          <w:lang w:val="en-US" w:eastAsia="zh-CN"/>
        </w:rPr>
        <w:t>金额为0</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公务用车购置及</w:t>
      </w:r>
      <w:r>
        <w:rPr>
          <w:rFonts w:hint="eastAsia" w:ascii="仿宋_GB2312" w:hAnsi="仿宋_GB2312" w:eastAsia="仿宋_GB2312" w:cs="仿宋_GB2312"/>
          <w:bCs/>
          <w:sz w:val="32"/>
          <w:szCs w:val="32"/>
        </w:rPr>
        <w:t>公务用车运行维护费支出</w:t>
      </w:r>
      <w:r>
        <w:rPr>
          <w:rFonts w:hint="eastAsia" w:ascii="仿宋_GB2312" w:hAnsi="仿宋_GB2312" w:eastAsia="仿宋_GB2312" w:cs="仿宋_GB2312"/>
          <w:bCs/>
          <w:sz w:val="32"/>
          <w:szCs w:val="32"/>
          <w:lang w:eastAsia="zh-CN"/>
        </w:rPr>
        <w:t>预算</w:t>
      </w:r>
      <w:r>
        <w:rPr>
          <w:rFonts w:hint="eastAsia" w:ascii="仿宋_GB2312" w:hAnsi="仿宋_GB2312" w:eastAsia="仿宋_GB2312" w:cs="仿宋_GB2312"/>
          <w:bCs/>
          <w:sz w:val="32"/>
          <w:szCs w:val="32"/>
          <w:lang w:val="en-US" w:eastAsia="zh-CN"/>
        </w:rPr>
        <w:t>金额为3万元（其中公务用车购置预算0万元），公务用车购置及</w:t>
      </w:r>
      <w:r>
        <w:rPr>
          <w:rFonts w:hint="eastAsia" w:ascii="仿宋_GB2312" w:hAnsi="仿宋_GB2312" w:eastAsia="仿宋_GB2312" w:cs="仿宋_GB2312"/>
          <w:bCs/>
          <w:sz w:val="32"/>
          <w:szCs w:val="32"/>
        </w:rPr>
        <w:t>公务用车运行维护费</w:t>
      </w:r>
      <w:r>
        <w:rPr>
          <w:rFonts w:hint="eastAsia" w:ascii="仿宋_GB2312" w:hAnsi="仿宋_GB2312" w:eastAsia="仿宋_GB2312" w:cs="仿宋_GB2312"/>
          <w:bCs/>
          <w:sz w:val="32"/>
          <w:szCs w:val="32"/>
          <w:lang w:val="en-US" w:eastAsia="zh-CN"/>
        </w:rPr>
        <w:t>实际支出金额为3</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（其中公务用车购置决算0万元）</w:t>
      </w:r>
      <w:r>
        <w:rPr>
          <w:rFonts w:hint="eastAsia" w:ascii="仿宋_GB2312" w:hAnsi="仿宋_GB2312" w:eastAsia="仿宋_GB2312" w:cs="仿宋_GB2312"/>
          <w:bCs/>
          <w:sz w:val="32"/>
          <w:szCs w:val="32"/>
          <w:lang w:eastAsia="zh-CN"/>
        </w:rPr>
        <w:t>，因</w:t>
      </w:r>
      <w:r>
        <w:rPr>
          <w:rFonts w:hint="eastAsia" w:ascii="仿宋_GB2312" w:hAnsi="仿宋_GB2312" w:eastAsia="仿宋_GB2312" w:cs="仿宋_GB2312"/>
          <w:bCs/>
          <w:sz w:val="32"/>
          <w:szCs w:val="32"/>
        </w:rPr>
        <w:t>公出国</w:t>
      </w:r>
      <w:r>
        <w:rPr>
          <w:rFonts w:hint="eastAsia" w:ascii="仿宋_GB2312" w:hAnsi="仿宋_GB2312" w:eastAsia="仿宋_GB2312" w:cs="仿宋_GB2312"/>
          <w:bCs/>
          <w:sz w:val="32"/>
          <w:szCs w:val="32"/>
          <w:lang w:eastAsia="zh-CN"/>
        </w:rPr>
        <w:t>费用预算</w:t>
      </w:r>
      <w:r>
        <w:rPr>
          <w:rFonts w:hint="eastAsia" w:ascii="仿宋_GB2312" w:hAnsi="仿宋_GB2312" w:eastAsia="仿宋_GB2312" w:cs="仿宋_GB2312"/>
          <w:bCs/>
          <w:sz w:val="32"/>
          <w:szCs w:val="32"/>
          <w:lang w:val="en-US" w:eastAsia="zh-CN"/>
        </w:rPr>
        <w:t>金额为0万元，实际</w:t>
      </w:r>
      <w:r>
        <w:rPr>
          <w:rFonts w:hint="eastAsia" w:ascii="仿宋_GB2312" w:hAnsi="仿宋_GB2312" w:eastAsia="仿宋_GB2312" w:cs="仿宋_GB2312"/>
          <w:bCs/>
          <w:sz w:val="32"/>
          <w:szCs w:val="32"/>
        </w:rPr>
        <w:t>支出</w:t>
      </w:r>
      <w:r>
        <w:rPr>
          <w:rFonts w:hint="eastAsia" w:ascii="仿宋_GB2312" w:hAnsi="仿宋_GB2312" w:eastAsia="仿宋_GB2312" w:cs="仿宋_GB2312"/>
          <w:bCs/>
          <w:sz w:val="32"/>
          <w:szCs w:val="32"/>
          <w:lang w:val="en-US" w:eastAsia="zh-CN"/>
        </w:rPr>
        <w:t>金额为0</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eastAsia="zh-CN"/>
        </w:rPr>
        <w:t>，“三公经费”支出</w:t>
      </w:r>
      <w:r>
        <w:rPr>
          <w:rFonts w:hint="eastAsia" w:ascii="仿宋_GB2312" w:hAnsi="仿宋_GB2312" w:eastAsia="仿宋_GB2312" w:cs="仿宋_GB2312"/>
          <w:bCs/>
          <w:sz w:val="32"/>
          <w:szCs w:val="32"/>
          <w:lang w:val="en-US" w:eastAsia="zh-CN"/>
        </w:rPr>
        <w:t>总额3万元，</w:t>
      </w:r>
      <w:r>
        <w:rPr>
          <w:rFonts w:hint="eastAsia" w:ascii="仿宋_GB2312" w:hAnsi="仿宋_GB2312" w:eastAsia="仿宋_GB2312" w:cs="仿宋_GB2312"/>
          <w:bCs/>
          <w:sz w:val="32"/>
          <w:szCs w:val="32"/>
          <w:lang w:eastAsia="zh-CN"/>
        </w:rPr>
        <w:t>控制在全年预算之内</w:t>
      </w:r>
      <w:r>
        <w:rPr>
          <w:rFonts w:hint="eastAsia" w:ascii="仿宋_GB2312" w:hAnsi="仿宋_GB2312" w:eastAsia="仿宋_GB2312" w:cs="仿宋_GB2312"/>
          <w:bCs/>
          <w:sz w:val="32"/>
          <w:szCs w:val="32"/>
        </w:rPr>
        <w:t>。</w:t>
      </w:r>
    </w:p>
    <w:p w14:paraId="7922FD88">
      <w:pPr>
        <w:pStyle w:val="11"/>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14:paraId="4DA96FE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25</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eastAsia="zh-CN"/>
        </w:rPr>
        <w:t>度，</w:t>
      </w:r>
      <w:r>
        <w:rPr>
          <w:rFonts w:hint="eastAsia" w:ascii="仿宋_GB2312" w:hAnsi="仿宋_GB2312" w:eastAsia="仿宋_GB2312" w:cs="仿宋_GB2312"/>
          <w:bCs/>
          <w:color w:val="auto"/>
          <w:sz w:val="32"/>
          <w:szCs w:val="32"/>
        </w:rPr>
        <w:t>项目支出</w:t>
      </w:r>
      <w:r>
        <w:rPr>
          <w:rFonts w:hint="eastAsia" w:ascii="仿宋_GB2312" w:hAnsi="仿宋_GB2312" w:eastAsia="仿宋_GB2312" w:cs="仿宋_GB2312"/>
          <w:bCs/>
          <w:color w:val="auto"/>
          <w:sz w:val="32"/>
          <w:szCs w:val="32"/>
          <w:lang w:val="en-US" w:eastAsia="zh-CN"/>
        </w:rPr>
        <w:t>总额为5668.72</w:t>
      </w:r>
      <w:r>
        <w:rPr>
          <w:rFonts w:hint="eastAsia" w:ascii="仿宋_GB2312" w:hAnsi="仿宋_GB2312" w:eastAsia="仿宋_GB2312" w:cs="仿宋_GB2312"/>
          <w:bCs/>
          <w:color w:val="auto"/>
          <w:sz w:val="32"/>
          <w:szCs w:val="32"/>
        </w:rPr>
        <w:t>万元，</w:t>
      </w:r>
      <w:r>
        <w:rPr>
          <w:rFonts w:hint="eastAsia" w:ascii="仿宋_GB2312" w:hAnsi="仿宋_GB2312" w:eastAsia="仿宋_GB2312" w:cs="仿宋_GB2312"/>
          <w:bCs/>
          <w:color w:val="auto"/>
          <w:sz w:val="32"/>
          <w:szCs w:val="32"/>
          <w:lang w:val="en-US" w:eastAsia="zh-CN"/>
        </w:rPr>
        <w:t>其中</w:t>
      </w:r>
      <w:r>
        <w:rPr>
          <w:rFonts w:hint="eastAsia" w:ascii="仿宋_GB2312" w:hAnsi="仿宋_GB2312" w:eastAsia="仿宋_GB2312" w:cs="仿宋_GB2312"/>
          <w:sz w:val="32"/>
          <w:szCs w:val="32"/>
          <w:highlight w:val="none"/>
        </w:rPr>
        <w:t>日常工作经费</w:t>
      </w:r>
      <w:r>
        <w:rPr>
          <w:rFonts w:hint="eastAsia" w:ascii="仿宋_GB2312" w:hAnsi="仿宋_GB2312" w:eastAsia="仿宋_GB2312" w:cs="仿宋_GB2312"/>
          <w:sz w:val="32"/>
          <w:szCs w:val="32"/>
          <w:highlight w:val="none"/>
          <w:lang w:val="en-US" w:eastAsia="zh-CN"/>
        </w:rPr>
        <w:t>支出228.99万元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施工图审查经费</w:t>
      </w:r>
      <w:r>
        <w:rPr>
          <w:rFonts w:hint="eastAsia" w:ascii="仿宋_GB2312" w:hAnsi="仿宋_GB2312" w:eastAsia="仿宋_GB2312" w:cs="仿宋_GB2312"/>
          <w:sz w:val="32"/>
          <w:szCs w:val="32"/>
          <w:highlight w:val="none"/>
          <w:lang w:val="en-US" w:eastAsia="zh-CN"/>
        </w:rPr>
        <w:t>支出238.5万元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城市管网及污水处理补助支出504.63万元、历史文化名城专项经费支出106.77万元、住房城乡建设引导专项资金支出88.59万元、保障性住房购置专项支出4496.25万元、自贸试验区制度创新激励资金4.99万元，主要用于</w:t>
      </w:r>
      <w:r>
        <w:rPr>
          <w:rFonts w:hint="eastAsia" w:eastAsia="仿宋_GB2312"/>
          <w:sz w:val="32"/>
          <w:szCs w:val="32"/>
          <w:lang w:eastAsia="zh-CN"/>
        </w:rPr>
        <w:t>全市建筑市场监管、房地产市场监管、住房保障、村镇建设和名城保护、供排水管理、消防管理、勘察设计管理等方面</w:t>
      </w:r>
      <w:r>
        <w:rPr>
          <w:rFonts w:hint="eastAsia" w:eastAsia="仿宋_GB2312"/>
          <w:sz w:val="32"/>
          <w:szCs w:val="32"/>
          <w:lang w:val="en-US" w:eastAsia="zh-CN"/>
        </w:rPr>
        <w:t>；</w:t>
      </w:r>
      <w:r>
        <w:rPr>
          <w:rFonts w:hint="eastAsia" w:eastAsia="仿宋_GB2312"/>
          <w:sz w:val="32"/>
          <w:szCs w:val="32"/>
          <w:lang w:eastAsia="zh-CN"/>
        </w:rPr>
        <w:t>市本级和岳阳楼区管辖项目施工图审查政府购买服务</w:t>
      </w:r>
      <w:r>
        <w:rPr>
          <w:rFonts w:hint="eastAsia" w:eastAsia="仿宋_GB2312"/>
          <w:sz w:val="32"/>
          <w:szCs w:val="32"/>
          <w:lang w:val="en-US" w:eastAsia="zh-CN"/>
        </w:rPr>
        <w:t>方面；</w:t>
      </w:r>
      <w:r>
        <w:rPr>
          <w:rFonts w:hint="eastAsia" w:ascii="仿宋_GB2312" w:hAnsi="仿宋_GB2312" w:eastAsia="仿宋_GB2312" w:cs="仿宋_GB2312"/>
          <w:sz w:val="32"/>
          <w:szCs w:val="32"/>
          <w:highlight w:val="none"/>
          <w:lang w:val="en-US" w:eastAsia="zh-CN"/>
        </w:rPr>
        <w:t>城市管网及污水处理等海绵城市建设方面；历史文化名城保护方面、</w:t>
      </w:r>
      <w:r>
        <w:rPr>
          <w:rFonts w:hint="eastAsia" w:eastAsia="仿宋_GB2312"/>
          <w:sz w:val="32"/>
          <w:szCs w:val="32"/>
          <w:lang w:val="en-US" w:eastAsia="zh-CN"/>
        </w:rPr>
        <w:t>推动绿色建筑、绿色建材、绿色施工、可再生能源建筑应用发展</w:t>
      </w:r>
      <w:r>
        <w:rPr>
          <w:rFonts w:hint="eastAsia" w:eastAsia="仿宋_GB2312"/>
          <w:sz w:val="32"/>
          <w:szCs w:val="32"/>
          <w:lang w:eastAsia="zh-CN"/>
        </w:rPr>
        <w:t>等方面</w:t>
      </w:r>
      <w:r>
        <w:rPr>
          <w:rFonts w:hint="eastAsia" w:eastAsia="仿宋_GB2312"/>
          <w:sz w:val="32"/>
          <w:szCs w:val="32"/>
          <w:lang w:val="en-US" w:eastAsia="zh-CN"/>
        </w:rPr>
        <w:t>；行业数据库建设暨老旧小区改造方面、“一</w:t>
      </w:r>
      <w:r>
        <w:rPr>
          <w:rFonts w:hint="eastAsia" w:ascii="仿宋_GB2312" w:hAnsi="仿宋_GB2312" w:eastAsia="仿宋_GB2312" w:cs="仿宋_GB2312"/>
          <w:sz w:val="32"/>
          <w:szCs w:val="32"/>
          <w:highlight w:val="none"/>
          <w:lang w:val="en-US" w:eastAsia="zh-CN"/>
        </w:rPr>
        <w:t>件事一次办”制度创新激励等方面。</w:t>
      </w:r>
    </w:p>
    <w:p w14:paraId="7B6B71BB">
      <w:pPr>
        <w:pStyle w:val="11"/>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lang w:eastAsia="zh-CN"/>
        </w:rPr>
      </w:pPr>
      <w:r>
        <w:rPr>
          <w:rFonts w:hint="eastAsia" w:ascii="Times New Roman" w:hAnsi="Times New Roman" w:eastAsia="黑体" w:cs="Times New Roman"/>
          <w:sz w:val="32"/>
          <w:szCs w:val="32"/>
          <w:highlight w:val="none"/>
          <w:lang w:eastAsia="zh-CN"/>
        </w:rPr>
        <w:t>三、</w:t>
      </w:r>
      <w:r>
        <w:rPr>
          <w:rFonts w:hint="default" w:ascii="Times New Roman" w:hAnsi="Times New Roman" w:eastAsia="黑体" w:cs="Times New Roman"/>
          <w:sz w:val="32"/>
          <w:szCs w:val="32"/>
          <w:highlight w:val="none"/>
          <w:lang w:eastAsia="zh-CN"/>
        </w:rPr>
        <w:t>政府性基金预算支出情况</w:t>
      </w:r>
    </w:p>
    <w:p w14:paraId="66493B0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2025年度，政府性基金年初预算数为0，年中调整预算金额为1990.62万元，政府性基金支出总额为1890.99万元，</w:t>
      </w:r>
      <w:r>
        <w:rPr>
          <w:rFonts w:hint="eastAsia" w:ascii="仿宋_GB2312" w:hAnsi="仿宋_GB2312" w:eastAsia="仿宋_GB2312" w:cs="仿宋_GB2312"/>
          <w:bCs/>
          <w:color w:val="auto"/>
          <w:sz w:val="32"/>
          <w:szCs w:val="32"/>
          <w:lang w:val="en-US" w:eastAsia="zh-CN"/>
        </w:rPr>
        <w:t>其中</w:t>
      </w:r>
      <w:r>
        <w:rPr>
          <w:rFonts w:hint="eastAsia" w:ascii="仿宋_GB2312" w:hAnsi="仿宋_GB2312" w:eastAsia="仿宋_GB2312" w:cs="仿宋_GB2312"/>
          <w:sz w:val="32"/>
          <w:szCs w:val="32"/>
          <w:highlight w:val="none"/>
          <w:lang w:val="en-US" w:eastAsia="zh-CN"/>
        </w:rPr>
        <w:t>四中人行天桥项目支出19.91万元、城市更新示范项目前期经费支出247.08万元、求索西路项目支出1524万元、城建维护经费支出100万元。</w:t>
      </w:r>
    </w:p>
    <w:p w14:paraId="5490703F">
      <w:pPr>
        <w:pStyle w:val="11"/>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lang w:eastAsia="zh-CN"/>
        </w:rPr>
      </w:pPr>
      <w:r>
        <w:rPr>
          <w:rFonts w:hint="eastAsia" w:ascii="Times New Roman" w:hAnsi="Times New Roman" w:eastAsia="黑体" w:cs="Times New Roman"/>
          <w:sz w:val="32"/>
          <w:szCs w:val="32"/>
          <w:highlight w:val="none"/>
          <w:lang w:eastAsia="zh-CN"/>
        </w:rPr>
        <w:t>四、</w:t>
      </w:r>
      <w:r>
        <w:rPr>
          <w:rFonts w:hint="default" w:ascii="Times New Roman" w:hAnsi="Times New Roman" w:eastAsia="黑体" w:cs="Times New Roman"/>
          <w:sz w:val="32"/>
          <w:szCs w:val="32"/>
          <w:highlight w:val="none"/>
          <w:lang w:eastAsia="zh-CN"/>
        </w:rPr>
        <w:t>国有资本经营预算支出情况</w:t>
      </w:r>
    </w:p>
    <w:p w14:paraId="2976B2AB">
      <w:pPr>
        <w:pStyle w:val="11"/>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sz w:val="32"/>
          <w:szCs w:val="32"/>
          <w:lang w:val="en-US" w:eastAsia="zh-CN"/>
        </w:rPr>
        <w:t>本单位2025年度无国有资本经营</w:t>
      </w:r>
      <w:r>
        <w:rPr>
          <w:rFonts w:hint="eastAsia" w:ascii="仿宋_GB2312" w:hAnsi="仿宋_GB2312" w:eastAsia="仿宋_GB2312" w:cs="仿宋_GB2312"/>
          <w:sz w:val="32"/>
          <w:szCs w:val="32"/>
        </w:rPr>
        <w:t>预算支出</w:t>
      </w:r>
      <w:r>
        <w:rPr>
          <w:rFonts w:hint="eastAsia" w:ascii="仿宋_GB2312" w:hAnsi="仿宋_GB2312" w:eastAsia="仿宋_GB2312" w:cs="仿宋_GB2312"/>
          <w:sz w:val="32"/>
          <w:szCs w:val="32"/>
          <w:lang w:val="en-US" w:eastAsia="zh-CN"/>
        </w:rPr>
        <w:t>。</w:t>
      </w:r>
    </w:p>
    <w:p w14:paraId="16806226">
      <w:pPr>
        <w:pStyle w:val="11"/>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社会保险基金预算支出情况</w:t>
      </w:r>
    </w:p>
    <w:p w14:paraId="1212FFA1">
      <w:pPr>
        <w:pStyle w:val="11"/>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sz w:val="32"/>
          <w:szCs w:val="32"/>
          <w:lang w:val="en-US" w:eastAsia="zh-CN"/>
        </w:rPr>
        <w:t>本单位2025年度无社会保险基金</w:t>
      </w:r>
      <w:r>
        <w:rPr>
          <w:rFonts w:hint="eastAsia" w:ascii="仿宋_GB2312" w:hAnsi="仿宋_GB2312" w:eastAsia="仿宋_GB2312" w:cs="仿宋_GB2312"/>
          <w:sz w:val="32"/>
          <w:szCs w:val="32"/>
        </w:rPr>
        <w:t>预算支出</w:t>
      </w:r>
      <w:r>
        <w:rPr>
          <w:rFonts w:hint="eastAsia" w:ascii="仿宋_GB2312" w:hAnsi="仿宋_GB2312" w:eastAsia="仿宋_GB2312" w:cs="仿宋_GB2312"/>
          <w:sz w:val="32"/>
          <w:szCs w:val="32"/>
          <w:lang w:val="en-US" w:eastAsia="zh-CN"/>
        </w:rPr>
        <w:t>。</w:t>
      </w:r>
    </w:p>
    <w:p w14:paraId="741E449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w:t>
      </w:r>
      <w:r>
        <w:rPr>
          <w:rFonts w:hint="eastAsia" w:eastAsia="黑体" w:cs="Times New Roman"/>
          <w:sz w:val="32"/>
          <w:szCs w:val="32"/>
          <w:highlight w:val="none"/>
          <w:lang w:eastAsia="zh-CN"/>
        </w:rPr>
        <w:t>单位</w:t>
      </w:r>
      <w:r>
        <w:rPr>
          <w:rFonts w:hint="default" w:ascii="Times New Roman" w:hAnsi="Times New Roman" w:eastAsia="黑体" w:cs="Times New Roman"/>
          <w:sz w:val="32"/>
          <w:szCs w:val="32"/>
          <w:highlight w:val="none"/>
        </w:rPr>
        <w:t>整体支出绩效情况</w:t>
      </w:r>
    </w:p>
    <w:p w14:paraId="6AC6B9B7">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（一）年度绩效目标</w:t>
      </w:r>
    </w:p>
    <w:p w14:paraId="3C9651C8">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1、全力保障单位正常履职运转；</w:t>
      </w:r>
    </w:p>
    <w:p w14:paraId="234A0AA2">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2、有序推进城市更新，加大住房保障力度，加快黑臭水体整治，加速乡镇污水治理；</w:t>
      </w:r>
    </w:p>
    <w:p w14:paraId="6B95467F">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3、突出防控系统风险，扎实推动问题楼盘化解工作，保持房地产业平稳健康发展；</w:t>
      </w:r>
    </w:p>
    <w:p w14:paraId="67CFB73D">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4、全力提升城市品质，加速历史文化名城保护工作，推进海绵城市建设；</w:t>
      </w:r>
    </w:p>
    <w:p w14:paraId="28A669B8">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5、抓好质量安全管理，压实各方安全监管责任；</w:t>
      </w:r>
    </w:p>
    <w:p w14:paraId="6B5D17EC">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6、坚持探索改革创新，深入推进建筑业“放管服”改革。</w:t>
      </w:r>
    </w:p>
    <w:p w14:paraId="11200823">
      <w:pPr>
        <w:pStyle w:val="11"/>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（二）</w:t>
      </w:r>
      <w:r>
        <w:rPr>
          <w:rFonts w:hint="eastAsia" w:ascii="楷体_GB2312" w:hAnsi="楷体_GB2312" w:eastAsia="楷体_GB2312" w:cs="楷体_GB2312"/>
          <w:b/>
          <w:bCs w:val="0"/>
          <w:color w:val="auto"/>
          <w:kern w:val="2"/>
          <w:sz w:val="32"/>
          <w:szCs w:val="32"/>
          <w:highlight w:val="none"/>
          <w:lang w:val="en-US" w:eastAsia="zh-CN" w:bidi="ar-SA"/>
        </w:rPr>
        <w:t>目标完成情况</w:t>
      </w:r>
    </w:p>
    <w:p w14:paraId="0A781AE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highlight w:val="none"/>
          <w:lang w:val="en-US" w:eastAsia="zh-CN"/>
        </w:rPr>
        <w:t>单位统筹预算资金，强化要素保障，整体运转正常有序，机关运行经费有效节约；</w:t>
      </w:r>
    </w:p>
    <w:p w14:paraId="3C7E3855">
      <w:pPr>
        <w:pStyle w:val="2"/>
        <w:rPr>
          <w:rFonts w:hint="eastAsia" w:eastAsia="仿宋_GB2312"/>
          <w:lang w:val="en-US" w:eastAsia="zh-CN"/>
        </w:rPr>
      </w:pPr>
      <w:r>
        <w:rPr>
          <w:rFonts w:hint="eastAsia" w:ascii="仿宋_GB2312" w:hAnsi="仿宋_GB2312" w:eastAsia="仿宋_GB2312" w:cs="仿宋_GB2312"/>
          <w:sz w:val="32"/>
          <w:szCs w:val="32"/>
          <w:highlight w:val="none"/>
          <w:lang w:val="en-US" w:eastAsia="zh-CN"/>
        </w:rPr>
        <w:t>2、</w:t>
      </w:r>
      <w:r>
        <w:rPr>
          <w:rFonts w:hint="default" w:ascii="仿宋_GB2312" w:hAnsi="仿宋" w:eastAsia="仿宋_GB2312" w:cs="Times New Roman"/>
          <w:sz w:val="32"/>
          <w:szCs w:val="32"/>
          <w:highlight w:val="none"/>
          <w:lang w:val="en-US" w:eastAsia="zh-CN"/>
        </w:rPr>
        <w:t>积极争取城市更新、安居工程、农村危房改造等领域资金支持，全年累计争取各类政策性资金5.7亿元，有效保障项目建设。</w:t>
      </w:r>
      <w:r>
        <w:rPr>
          <w:rFonts w:hint="eastAsia" w:ascii="仿宋_GB2312" w:hAnsi="仿宋_GB2312" w:eastAsia="仿宋_GB2312" w:cs="仿宋_GB2312"/>
          <w:sz w:val="32"/>
          <w:szCs w:val="32"/>
          <w:highlight w:val="none"/>
          <w:lang w:val="en-US" w:eastAsia="zh-CN"/>
        </w:rPr>
        <w:t>圆满完成老旧小区改造及保障性住房年初工作目标，人居环境有效改善，</w:t>
      </w:r>
      <w:r>
        <w:rPr>
          <w:rFonts w:hint="default" w:ascii="仿宋_GB2312" w:hAnsi="仿宋" w:eastAsia="仿宋_GB2312" w:cs="Times New Roman"/>
          <w:sz w:val="32"/>
          <w:szCs w:val="32"/>
          <w:highlight w:val="none"/>
          <w:lang w:val="en-US" w:eastAsia="zh-CN"/>
        </w:rPr>
        <w:t>中心城区污水收集率从“十四五”初期的50.21%提升至73.32%，乡镇污水运行负荷率71.1%，出水水质达一级A标准</w:t>
      </w:r>
      <w:r>
        <w:rPr>
          <w:rFonts w:hint="eastAsia" w:ascii="仿宋_GB2312" w:hAnsi="仿宋_GB2312" w:eastAsia="仿宋_GB2312" w:cs="仿宋_GB2312"/>
          <w:sz w:val="32"/>
          <w:szCs w:val="32"/>
          <w:highlight w:val="none"/>
          <w:lang w:val="en-US" w:eastAsia="zh-CN"/>
        </w:rPr>
        <w:t>；</w:t>
      </w:r>
    </w:p>
    <w:p w14:paraId="0AB69C4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default" w:ascii="仿宋_GB2312" w:hAnsi="仿宋" w:eastAsia="仿宋_GB2312" w:cs="Times New Roman"/>
          <w:sz w:val="32"/>
          <w:szCs w:val="32"/>
          <w:highlight w:val="none"/>
          <w:lang w:val="en-US" w:eastAsia="zh-CN"/>
        </w:rPr>
        <w:t>争取房企“白名单”融资59.34亿元稳住投资，27个保交楼项目获专项借款15.93亿元，交付率100%</w:t>
      </w:r>
      <w:r>
        <w:rPr>
          <w:rFonts w:hint="eastAsia" w:ascii="仿宋_GB2312" w:hAnsi="仿宋_GB2312" w:eastAsia="仿宋_GB2312" w:cs="仿宋_GB2312"/>
          <w:sz w:val="32"/>
          <w:szCs w:val="32"/>
          <w:highlight w:val="none"/>
          <w:lang w:val="en-US" w:eastAsia="zh-CN"/>
        </w:rPr>
        <w:t>；</w:t>
      </w:r>
    </w:p>
    <w:p w14:paraId="423DC72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default" w:ascii="仿宋_GB2312" w:hAnsi="仿宋" w:eastAsia="仿宋_GB2312" w:cs="Times New Roman"/>
          <w:sz w:val="32"/>
          <w:szCs w:val="32"/>
          <w:highlight w:val="none"/>
          <w:lang w:val="en-US" w:eastAsia="zh-CN"/>
        </w:rPr>
        <w:t>完成20处历史建筑精准修缮，保留18家本土老字号、引进32家特色新业态，打造全时态文旅消费场景。建成全市统一历史建筑档案数据库，归集资料5000余件</w:t>
      </w:r>
      <w:r>
        <w:rPr>
          <w:rFonts w:hint="eastAsia" w:ascii="仿宋_GB2312" w:hAnsi="仿宋_GB2312" w:eastAsia="仿宋_GB2312" w:cs="仿宋_GB2312"/>
          <w:sz w:val="32"/>
          <w:szCs w:val="32"/>
          <w:highlight w:val="none"/>
          <w:lang w:val="en-US" w:eastAsia="zh-CN"/>
        </w:rPr>
        <w:t>；</w:t>
      </w:r>
    </w:p>
    <w:p w14:paraId="7CD5CE4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w:t>
      </w:r>
      <w:r>
        <w:rPr>
          <w:rFonts w:hint="default" w:ascii="仿宋_GB2312" w:hAnsi="仿宋" w:eastAsia="仿宋_GB2312" w:cs="Times New Roman"/>
          <w:sz w:val="32"/>
          <w:szCs w:val="32"/>
          <w:highlight w:val="none"/>
          <w:lang w:val="zh-CN" w:eastAsia="zh-CN"/>
        </w:rPr>
        <w:t>全年建筑业产值达926.76亿元，增速</w:t>
      </w:r>
      <w:r>
        <w:rPr>
          <w:rFonts w:hint="eastAsia" w:ascii="仿宋_GB2312" w:hAnsi="仿宋" w:eastAsia="仿宋_GB2312" w:cs="Times New Roman"/>
          <w:sz w:val="32"/>
          <w:szCs w:val="32"/>
          <w:highlight w:val="none"/>
          <w:lang w:val="en-US" w:eastAsia="zh-CN"/>
        </w:rPr>
        <w:t>全省第1</w:t>
      </w:r>
      <w:r>
        <w:rPr>
          <w:rFonts w:hint="default"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全市GDP贡献率超17%。</w:t>
      </w:r>
      <w:r>
        <w:rPr>
          <w:rFonts w:hint="default" w:ascii="仿宋_GB2312" w:hAnsi="仿宋" w:eastAsia="仿宋_GB2312" w:cs="Times New Roman"/>
          <w:sz w:val="32"/>
          <w:szCs w:val="32"/>
          <w:highlight w:val="none"/>
          <w:lang w:val="zh-CN" w:eastAsia="zh-CN"/>
        </w:rPr>
        <w:t>作为全省唯一绿色建造与浅层地热能“双试点”城市，实现新建民用建筑节能标准执行率、绿色建筑竣工面积占比“双100%”</w:t>
      </w:r>
      <w:r>
        <w:rPr>
          <w:rFonts w:hint="eastAsia" w:ascii="仿宋_GB2312" w:hAnsi="仿宋_GB2312" w:eastAsia="仿宋_GB2312" w:cs="仿宋_GB2312"/>
          <w:sz w:val="32"/>
          <w:szCs w:val="32"/>
          <w:highlight w:val="none"/>
          <w:lang w:val="en-US" w:eastAsia="zh-CN"/>
        </w:rPr>
        <w:t>；</w:t>
      </w:r>
    </w:p>
    <w:p w14:paraId="234C37C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ascii="仿宋_GB2312" w:hAnsi="仿宋_GB2312" w:eastAsia="仿宋_GB2312" w:cs="仿宋_GB2312"/>
          <w:sz w:val="32"/>
          <w:szCs w:val="32"/>
          <w:highlight w:val="none"/>
          <w:lang w:val="en-US" w:eastAsia="zh-CN"/>
        </w:rPr>
        <w:t>6、</w:t>
      </w:r>
      <w:r>
        <w:rPr>
          <w:rFonts w:hint="default" w:ascii="仿宋_GB2312" w:hAnsi="仿宋" w:eastAsia="仿宋_GB2312" w:cs="Times New Roman"/>
          <w:sz w:val="32"/>
          <w:szCs w:val="32"/>
          <w:highlight w:val="none"/>
          <w:lang w:val="en-US" w:eastAsia="zh-CN"/>
        </w:rPr>
        <w:t>住建领域审批时限平均压缩60%，施工许可2日内办结，电子证照发放率100%，实现118项省级事项“一网通办”。推行开工、联合验收等“一件事”集成服务，农村建房审批压减至16天内。</w:t>
      </w:r>
    </w:p>
    <w:p w14:paraId="190CC1BC">
      <w:pPr>
        <w:pStyle w:val="11"/>
        <w:keepNext w:val="0"/>
        <w:keepLines w:val="0"/>
        <w:pageBreakBefore w:val="0"/>
        <w:widowControl/>
        <w:numPr>
          <w:ilvl w:val="0"/>
          <w:numId w:val="2"/>
        </w:numPr>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val="0"/>
          <w:color w:val="auto"/>
          <w:kern w:val="2"/>
          <w:sz w:val="32"/>
          <w:szCs w:val="32"/>
          <w:highlight w:val="none"/>
          <w:lang w:val="en-US" w:eastAsia="zh-CN" w:bidi="ar-SA"/>
        </w:rPr>
      </w:pPr>
      <w:bookmarkStart w:id="0" w:name="OLE_LINK49"/>
      <w:r>
        <w:rPr>
          <w:rFonts w:hint="eastAsia" w:ascii="楷体_GB2312" w:hAnsi="楷体_GB2312" w:eastAsia="楷体_GB2312" w:cs="楷体_GB2312"/>
          <w:b/>
          <w:bCs w:val="0"/>
          <w:color w:val="auto"/>
          <w:kern w:val="2"/>
          <w:sz w:val="32"/>
          <w:szCs w:val="32"/>
          <w:highlight w:val="none"/>
          <w:lang w:val="en-US" w:eastAsia="zh-CN" w:bidi="ar-SA"/>
        </w:rPr>
        <w:t>主要绩效</w:t>
      </w:r>
    </w:p>
    <w:p w14:paraId="5A73FB12">
      <w:pPr>
        <w:snapToGrid w:val="0"/>
        <w:spacing w:line="520" w:lineRule="exact"/>
        <w:ind w:firstLine="640" w:firstLineChars="200"/>
        <w:rPr>
          <w:rFonts w:hint="default" w:ascii="仿宋_GB2312" w:hAnsi="仿宋" w:eastAsia="仿宋_GB2312" w:cs="Times New Roman"/>
          <w:sz w:val="32"/>
          <w:szCs w:val="32"/>
          <w:highlight w:val="none"/>
          <w:lang w:val="zh-CN" w:eastAsia="zh-CN"/>
        </w:rPr>
      </w:pPr>
      <w:r>
        <w:rPr>
          <w:rFonts w:hint="default" w:ascii="仿宋_GB2312" w:hAnsi="仿宋" w:eastAsia="仿宋_GB2312" w:cs="Times New Roman"/>
          <w:sz w:val="32"/>
          <w:szCs w:val="32"/>
          <w:highlight w:val="none"/>
          <w:lang w:val="en-US" w:eastAsia="zh-CN"/>
        </w:rPr>
        <w:t>2</w:t>
      </w:r>
      <w:r>
        <w:rPr>
          <w:rFonts w:hint="default" w:ascii="仿宋_GB2312" w:hAnsi="仿宋" w:eastAsia="仿宋_GB2312" w:cs="Times New Roman"/>
          <w:sz w:val="32"/>
          <w:szCs w:val="32"/>
          <w:highlight w:val="none"/>
          <w:lang w:val="zh-CN" w:eastAsia="zh-CN"/>
        </w:rPr>
        <w:t>025年，在市委、市政府坚强领导下，市住建局紧扣高质量发展大局，聚焦经济赋能和民生保障，</w:t>
      </w:r>
      <w:r>
        <w:rPr>
          <w:rFonts w:hint="eastAsia" w:ascii="仿宋_GB2312" w:hAnsi="仿宋" w:eastAsia="仿宋_GB2312" w:cs="Times New Roman"/>
          <w:sz w:val="32"/>
          <w:szCs w:val="32"/>
          <w:highlight w:val="none"/>
          <w:lang w:val="zh-CN" w:eastAsia="zh-CN"/>
        </w:rPr>
        <w:t>攻坚克难</w:t>
      </w:r>
      <w:r>
        <w:rPr>
          <w:rFonts w:hint="default"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建筑业产值增速居全省第1，商品房销售面积增速居全省第2，</w:t>
      </w:r>
      <w:r>
        <w:rPr>
          <w:rFonts w:hint="default" w:ascii="仿宋_GB2312" w:hAnsi="仿宋" w:eastAsia="仿宋_GB2312" w:cs="Times New Roman"/>
          <w:sz w:val="32"/>
          <w:szCs w:val="32"/>
          <w:highlight w:val="none"/>
          <w:lang w:val="zh-CN" w:eastAsia="zh-CN"/>
        </w:rPr>
        <w:t>在省住建厅年终评价中获11项先进，总数居全省第</w:t>
      </w:r>
      <w:r>
        <w:rPr>
          <w:rFonts w:hint="default" w:ascii="仿宋_GB2312" w:hAnsi="仿宋" w:eastAsia="仿宋_GB2312" w:cs="Times New Roman"/>
          <w:sz w:val="32"/>
          <w:szCs w:val="32"/>
          <w:highlight w:val="none"/>
          <w:lang w:val="en-US" w:eastAsia="zh-CN"/>
        </w:rPr>
        <w:t>2，</w:t>
      </w:r>
      <w:r>
        <w:rPr>
          <w:rFonts w:hint="default" w:ascii="仿宋_GB2312" w:hAnsi="仿宋" w:eastAsia="仿宋_GB2312" w:cs="Times New Roman"/>
          <w:sz w:val="32"/>
          <w:szCs w:val="32"/>
          <w:highlight w:val="none"/>
          <w:lang w:val="zh-CN" w:eastAsia="zh-CN"/>
        </w:rPr>
        <w:t>获省政府“有效防范化解房地产风险”大抓落实督查激励，</w:t>
      </w:r>
      <w:r>
        <w:rPr>
          <w:rFonts w:hint="default" w:ascii="仿宋_GB2312" w:hAnsi="仿宋" w:eastAsia="仿宋_GB2312" w:cs="Times New Roman"/>
          <w:sz w:val="32"/>
          <w:szCs w:val="32"/>
          <w:highlight w:val="none"/>
          <w:lang w:val="en-US" w:eastAsia="zh-CN"/>
        </w:rPr>
        <w:t>并</w:t>
      </w:r>
      <w:r>
        <w:rPr>
          <w:rFonts w:hint="default" w:ascii="仿宋_GB2312" w:hAnsi="仿宋" w:eastAsia="仿宋_GB2312" w:cs="Times New Roman"/>
          <w:sz w:val="32"/>
          <w:szCs w:val="32"/>
          <w:highlight w:val="none"/>
          <w:lang w:val="zh-CN" w:eastAsia="zh-CN"/>
        </w:rPr>
        <w:t>被省政府评为</w:t>
      </w:r>
      <w:r>
        <w:rPr>
          <w:rFonts w:hint="eastAsia" w:ascii="仿宋_GB2312" w:hAnsi="仿宋" w:eastAsia="仿宋_GB2312" w:cs="Times New Roman"/>
          <w:sz w:val="32"/>
          <w:szCs w:val="32"/>
          <w:highlight w:val="none"/>
          <w:lang w:val="en-US" w:eastAsia="zh-CN"/>
        </w:rPr>
        <w:t>全省七大攻坚行动</w:t>
      </w:r>
      <w:r>
        <w:rPr>
          <w:rFonts w:hint="default" w:ascii="仿宋_GB2312" w:hAnsi="仿宋" w:eastAsia="仿宋_GB2312" w:cs="Times New Roman"/>
          <w:sz w:val="32"/>
          <w:szCs w:val="32"/>
          <w:highlight w:val="none"/>
          <w:lang w:val="zh-CN" w:eastAsia="zh-CN"/>
        </w:rPr>
        <w:t>“安全强基固本攻坚”先进单位。现将主要情况汇报如下：</w:t>
      </w:r>
    </w:p>
    <w:p w14:paraId="13300F3F">
      <w:pPr>
        <w:snapToGrid w:val="0"/>
        <w:spacing w:line="520" w:lineRule="exact"/>
        <w:ind w:firstLine="643" w:firstLineChars="200"/>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1.党建引领全局。</w:t>
      </w:r>
      <w:r>
        <w:rPr>
          <w:rFonts w:hint="eastAsia" w:ascii="仿宋_GB2312" w:hAnsi="仿宋" w:eastAsia="仿宋_GB2312" w:cs="Times New Roman"/>
          <w:sz w:val="32"/>
          <w:szCs w:val="32"/>
          <w:highlight w:val="none"/>
          <w:lang w:val="en-US" w:eastAsia="zh-CN"/>
        </w:rPr>
        <w:t>始终以政治建设为统领，强化理论武装铸魂，严格执行“第一议题”制度，通过党组理论学习中心组领学、专家授课、专题研讨等多元形式深学细悟党的创新理论，创新举办全市首场党的二十届四中全会集中微宣讲活动并获市级媒体推介，培养省市级宣讲骨干22名，推动党的创新理论入脑入心。守牢意识形态主阵地，党组定期研判风险，严格信息发布“三审三校”制度，全年发布信息2700余条、上级媒体采用50余篇次，“先锋住建宣讲团”获评全市理论宣讲先进集体，顺利通过省级文明标兵单位复评。深化“清廉住建360在行动”与“先锋住建360”党建品牌融合，既抓廉政建设树清风正气，又促党建业务同频共振——围绕旅发大会保障等急难险重任务组建党员突击队，打造“支部建在项目上”“红色安居”等特色子品牌，完成机关党委及4个党支部换届选举，评选44个“党员先锋岗”，引导党员干部在安全监管、项目攻坚中当先锋、作表率，以严实作风锻造坚强战斗堡垒，实现党建与发展互融共进、效能倍增。</w:t>
      </w:r>
    </w:p>
    <w:p w14:paraId="5E0B1151">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2.</w:t>
      </w:r>
      <w:r>
        <w:rPr>
          <w:rFonts w:hint="default" w:ascii="仿宋_GB2312" w:hAnsi="仿宋" w:eastAsia="仿宋_GB2312" w:cs="Times New Roman"/>
          <w:b/>
          <w:bCs/>
          <w:sz w:val="32"/>
          <w:szCs w:val="32"/>
          <w:highlight w:val="none"/>
          <w:lang w:val="en-US" w:eastAsia="zh-CN"/>
        </w:rPr>
        <w:t>政治意识和底线思维</w:t>
      </w:r>
      <w:r>
        <w:rPr>
          <w:rFonts w:hint="eastAsia" w:ascii="仿宋_GB2312" w:hAnsi="仿宋" w:eastAsia="仿宋_GB2312" w:cs="Times New Roman"/>
          <w:b/>
          <w:bCs/>
          <w:sz w:val="32"/>
          <w:szCs w:val="32"/>
          <w:highlight w:val="none"/>
          <w:lang w:val="en-US" w:eastAsia="zh-CN"/>
        </w:rPr>
        <w:t>不断强化。</w:t>
      </w:r>
      <w:r>
        <w:rPr>
          <w:rFonts w:hint="eastAsia" w:ascii="仿宋_GB2312" w:hAnsi="仿宋" w:eastAsia="仿宋_GB2312" w:cs="Times New Roman"/>
          <w:sz w:val="32"/>
          <w:szCs w:val="32"/>
          <w:highlight w:val="none"/>
          <w:lang w:val="en-US" w:eastAsia="zh-CN"/>
        </w:rPr>
        <w:t>高标准完成炮台山社区违建整改及164件中央巡视整改政治任务，获市信访联席会通报表扬，以实际行动践行“两个维护”。全力攻坚中央生态环保督察反馈问题，顺利通过生态环境部华南督察局4轮专项检查，第二轮督察问题全面整改清零，守护绿水青山政治责任落到实处。深化居民自建房安全整治，圆满完成三年攻坚行动，相关经验获全省推广，切实保障群众生命财产安全。筑牢安全生产坚固屏障，建筑工人实名制管理全省领先，</w:t>
      </w:r>
      <w:r>
        <w:rPr>
          <w:rFonts w:hint="default" w:ascii="仿宋_GB2312" w:hAnsi="仿宋" w:eastAsia="仿宋_GB2312" w:cs="Times New Roman"/>
          <w:sz w:val="32"/>
          <w:szCs w:val="32"/>
          <w:highlight w:val="none"/>
          <w:lang w:val="en-US" w:eastAsia="zh-CN"/>
        </w:rPr>
        <w:t>全市已安全运行65</w:t>
      </w:r>
      <w:r>
        <w:rPr>
          <w:rFonts w:hint="eastAsia" w:ascii="仿宋_GB2312" w:hAnsi="仿宋" w:eastAsia="仿宋_GB2312" w:cs="Times New Roman"/>
          <w:sz w:val="32"/>
          <w:szCs w:val="32"/>
          <w:highlight w:val="none"/>
          <w:lang w:val="en-US" w:eastAsia="zh-CN"/>
        </w:rPr>
        <w:t>6</w:t>
      </w:r>
      <w:r>
        <w:rPr>
          <w:rFonts w:hint="default" w:ascii="仿宋_GB2312" w:hAnsi="仿宋" w:eastAsia="仿宋_GB2312" w:cs="Times New Roman"/>
          <w:sz w:val="32"/>
          <w:szCs w:val="32"/>
          <w:highlight w:val="none"/>
          <w:lang w:val="en-US" w:eastAsia="zh-CN"/>
        </w:rPr>
        <w:t>天（中心城区9</w:t>
      </w:r>
      <w:r>
        <w:rPr>
          <w:rFonts w:hint="eastAsia" w:ascii="仿宋_GB2312" w:hAnsi="仿宋" w:eastAsia="仿宋_GB2312" w:cs="Times New Roman"/>
          <w:sz w:val="32"/>
          <w:szCs w:val="32"/>
          <w:highlight w:val="none"/>
          <w:lang w:val="en-US" w:eastAsia="zh-CN"/>
        </w:rPr>
        <w:t>60</w:t>
      </w:r>
      <w:r>
        <w:rPr>
          <w:rFonts w:hint="default" w:ascii="仿宋_GB2312" w:hAnsi="仿宋" w:eastAsia="仿宋_GB2312" w:cs="Times New Roman"/>
          <w:sz w:val="32"/>
          <w:szCs w:val="32"/>
          <w:highlight w:val="none"/>
          <w:lang w:val="en-US" w:eastAsia="zh-CN"/>
        </w:rPr>
        <w:t>天）</w:t>
      </w:r>
      <w:r>
        <w:rPr>
          <w:rFonts w:hint="eastAsia" w:ascii="仿宋_GB2312" w:hAnsi="仿宋" w:eastAsia="仿宋_GB2312" w:cs="Times New Roman"/>
          <w:sz w:val="32"/>
          <w:szCs w:val="32"/>
          <w:highlight w:val="none"/>
          <w:lang w:val="en-US" w:eastAsia="zh-CN"/>
        </w:rPr>
        <w:t>，27个项目斩获省级质量“芙蓉奖”，以本质安全水平提升服务发展大局。全年高效办理信访事项4049件次，一把手包案166件，受理率、办结率双百达标，切实守牢社会稳定底线，以扎实成效诠释对党忠诚、为民尽责的政治本色。</w:t>
      </w:r>
    </w:p>
    <w:p w14:paraId="4AD5692F">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3</w:t>
      </w:r>
      <w:r>
        <w:rPr>
          <w:rFonts w:hint="default" w:ascii="仿宋_GB2312" w:hAnsi="仿宋" w:eastAsia="仿宋_GB2312" w:cs="Times New Roman"/>
          <w:b/>
          <w:bCs/>
          <w:sz w:val="32"/>
          <w:szCs w:val="32"/>
          <w:highlight w:val="none"/>
          <w:lang w:val="en-US" w:eastAsia="zh-CN"/>
        </w:rPr>
        <w:t>.房地产平稳发展。</w:t>
      </w:r>
      <w:r>
        <w:rPr>
          <w:rFonts w:hint="default" w:ascii="仿宋_GB2312" w:hAnsi="仿宋" w:eastAsia="仿宋_GB2312" w:cs="Times New Roman"/>
          <w:sz w:val="32"/>
          <w:szCs w:val="32"/>
          <w:highlight w:val="none"/>
          <w:lang w:val="en-US" w:eastAsia="zh-CN"/>
        </w:rPr>
        <w:t>卫江书记、李挚市长8次专题调度该项工作，出台稳市场政策“41条”，</w:t>
      </w:r>
      <w:r>
        <w:rPr>
          <w:rFonts w:hint="eastAsia" w:ascii="仿宋_GB2312" w:hAnsi="仿宋" w:eastAsia="仿宋_GB2312" w:cs="Times New Roman"/>
          <w:sz w:val="32"/>
          <w:szCs w:val="32"/>
          <w:highlight w:val="none"/>
          <w:lang w:val="en-US" w:eastAsia="zh-CN"/>
        </w:rPr>
        <w:t>摸清了城区5万余公职人员底数，全力推动公职人员住房“以旧换新”工作，</w:t>
      </w:r>
      <w:r>
        <w:rPr>
          <w:rFonts w:hint="default" w:ascii="仿宋_GB2312" w:hAnsi="仿宋" w:eastAsia="仿宋_GB2312" w:cs="Times New Roman"/>
          <w:sz w:val="32"/>
          <w:szCs w:val="32"/>
          <w:highlight w:val="none"/>
          <w:lang w:val="en-US" w:eastAsia="zh-CN"/>
        </w:rPr>
        <w:t>举办6场住房团购活动，</w:t>
      </w:r>
      <w:r>
        <w:rPr>
          <w:rFonts w:hint="eastAsia" w:ascii="仿宋_GB2312" w:hAnsi="仿宋" w:eastAsia="仿宋_GB2312" w:cs="Times New Roman"/>
          <w:sz w:val="32"/>
          <w:szCs w:val="32"/>
          <w:highlight w:val="none"/>
          <w:lang w:val="en-US" w:eastAsia="zh-CN"/>
        </w:rPr>
        <w:t>全市</w:t>
      </w:r>
      <w:r>
        <w:rPr>
          <w:rFonts w:hint="default" w:ascii="仿宋_GB2312" w:hAnsi="仿宋" w:eastAsia="仿宋_GB2312" w:cs="Times New Roman"/>
          <w:sz w:val="32"/>
          <w:szCs w:val="32"/>
          <w:highlight w:val="none"/>
          <w:lang w:val="en-US" w:eastAsia="zh-CN"/>
        </w:rPr>
        <w:t>商品房销售面积229.75万平方米</w:t>
      </w:r>
      <w:r>
        <w:rPr>
          <w:rFonts w:hint="eastAsia" w:ascii="仿宋_GB2312" w:hAnsi="仿宋" w:eastAsia="仿宋_GB2312" w:cs="Times New Roman"/>
          <w:sz w:val="32"/>
          <w:szCs w:val="32"/>
          <w:highlight w:val="none"/>
          <w:lang w:val="en-US" w:eastAsia="zh-CN"/>
        </w:rPr>
        <w:t>，增速全省第2</w:t>
      </w:r>
      <w:r>
        <w:rPr>
          <w:rFonts w:hint="default" w:ascii="仿宋_GB2312" w:hAnsi="仿宋" w:eastAsia="仿宋_GB2312" w:cs="Times New Roman"/>
          <w:sz w:val="32"/>
          <w:szCs w:val="32"/>
          <w:highlight w:val="none"/>
          <w:lang w:val="en-US" w:eastAsia="zh-CN"/>
        </w:rPr>
        <w:t>。中心城区房价稳中有升，各县市区库存去化周期均降至“供地红线”以下。争取房企“白名单”融资59.34亿元稳住投资，27个保交楼项目获专项借款15.93亿元，交付率100%，推进项目6月30日前</w:t>
      </w:r>
      <w:r>
        <w:rPr>
          <w:rFonts w:hint="eastAsia" w:ascii="仿宋_GB2312" w:hAnsi="仿宋" w:eastAsia="仿宋_GB2312" w:cs="Times New Roman"/>
          <w:sz w:val="32"/>
          <w:szCs w:val="32"/>
          <w:highlight w:val="none"/>
          <w:lang w:val="en-US" w:eastAsia="zh-CN"/>
        </w:rPr>
        <w:t>启动</w:t>
      </w:r>
      <w:r>
        <w:rPr>
          <w:rFonts w:hint="default" w:ascii="仿宋_GB2312" w:hAnsi="仿宋" w:eastAsia="仿宋_GB2312" w:cs="Times New Roman"/>
          <w:sz w:val="32"/>
          <w:szCs w:val="32"/>
          <w:highlight w:val="none"/>
          <w:lang w:val="en-US" w:eastAsia="zh-CN"/>
        </w:rPr>
        <w:t>风险出清。</w:t>
      </w:r>
    </w:p>
    <w:p w14:paraId="21FC9199">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4</w:t>
      </w:r>
      <w:r>
        <w:rPr>
          <w:rFonts w:hint="default" w:ascii="仿宋_GB2312" w:hAnsi="仿宋" w:eastAsia="仿宋_GB2312" w:cs="Times New Roman"/>
          <w:b/>
          <w:bCs/>
          <w:sz w:val="32"/>
          <w:szCs w:val="32"/>
          <w:highlight w:val="none"/>
          <w:lang w:val="en-US" w:eastAsia="zh-CN"/>
        </w:rPr>
        <w:t>.建筑业转型加速。</w:t>
      </w:r>
      <w:r>
        <w:rPr>
          <w:rFonts w:hint="default" w:ascii="仿宋_GB2312" w:hAnsi="仿宋" w:eastAsia="仿宋_GB2312" w:cs="Times New Roman"/>
          <w:sz w:val="32"/>
          <w:szCs w:val="32"/>
          <w:highlight w:val="none"/>
          <w:lang w:val="zh-CN" w:eastAsia="zh-CN"/>
        </w:rPr>
        <w:t>全年建筑业产值达926.76亿元，增速</w:t>
      </w:r>
      <w:r>
        <w:rPr>
          <w:rFonts w:hint="eastAsia" w:ascii="仿宋_GB2312" w:hAnsi="仿宋" w:eastAsia="仿宋_GB2312" w:cs="Times New Roman"/>
          <w:sz w:val="32"/>
          <w:szCs w:val="32"/>
          <w:highlight w:val="none"/>
          <w:lang w:val="en-US" w:eastAsia="zh-CN"/>
        </w:rPr>
        <w:t>全省第1</w:t>
      </w:r>
      <w:r>
        <w:rPr>
          <w:rFonts w:hint="default"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全市GDP贡献率超17%。</w:t>
      </w:r>
      <w:r>
        <w:rPr>
          <w:rFonts w:hint="default" w:ascii="仿宋_GB2312" w:hAnsi="仿宋" w:eastAsia="仿宋_GB2312" w:cs="Times New Roman"/>
          <w:sz w:val="32"/>
          <w:szCs w:val="32"/>
          <w:highlight w:val="none"/>
          <w:lang w:val="zh-CN" w:eastAsia="zh-CN"/>
        </w:rPr>
        <w:t>作为全省唯一绿色建造与浅层地热能“双试点”城市，实现新建民用建筑节能标准执行率、绿色建筑竣工面积占比“双100%”。新开工装配式建筑占比达66.56%，超省定目标。引进三一筑工等龙头企业，建成国家级产业基地2个、省级5个，产业集聚效应凸显</w:t>
      </w:r>
      <w:r>
        <w:rPr>
          <w:rFonts w:hint="default" w:ascii="仿宋_GB2312" w:hAnsi="仿宋" w:eastAsia="仿宋_GB2312" w:cs="Times New Roman"/>
          <w:sz w:val="32"/>
          <w:szCs w:val="32"/>
          <w:highlight w:val="none"/>
          <w:lang w:val="en-US" w:eastAsia="zh-CN"/>
        </w:rPr>
        <w:t>。</w:t>
      </w:r>
    </w:p>
    <w:p w14:paraId="76E5E875">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5</w:t>
      </w:r>
      <w:r>
        <w:rPr>
          <w:rFonts w:hint="default" w:ascii="仿宋_GB2312" w:hAnsi="仿宋" w:eastAsia="仿宋_GB2312" w:cs="Times New Roman"/>
          <w:b/>
          <w:bCs/>
          <w:sz w:val="32"/>
          <w:szCs w:val="32"/>
          <w:highlight w:val="none"/>
          <w:lang w:val="en-US" w:eastAsia="zh-CN"/>
        </w:rPr>
        <w:t>.民生保障持续升温。</w:t>
      </w:r>
      <w:r>
        <w:rPr>
          <w:rFonts w:hint="default" w:ascii="仿宋_GB2312" w:hAnsi="仿宋" w:eastAsia="仿宋_GB2312" w:cs="Times New Roman"/>
          <w:sz w:val="32"/>
          <w:szCs w:val="32"/>
          <w:highlight w:val="none"/>
          <w:lang w:val="en-US" w:eastAsia="zh-CN"/>
        </w:rPr>
        <w:t>217个老旧小区改造全面开工，投资完成率80.98%，超额完成年度目标；96台老旧电梯更新、2801个充电端口建设任务超额完成。428套城市危旧房改造开工，814户农村危旧房改造竣工，3136套保障房开工建设，发放租赁补贴1万余户。纵深推进“三湘安居”行动，整改问题1530个，销号率97.63%，移送问题线索89条。全省率先出台物业管理地方性法规，获省人大肯定。全面排查消除城区二次供水隐患，推动二次供水立法修订和户表改革，守护居民饮水安全。人大代表建议、政协提案办理满意率均达100%，提案办理获评市级先进。</w:t>
      </w:r>
    </w:p>
    <w:p w14:paraId="0DC7057C">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6</w:t>
      </w:r>
      <w:r>
        <w:rPr>
          <w:rFonts w:hint="default" w:ascii="仿宋_GB2312" w:hAnsi="仿宋" w:eastAsia="仿宋_GB2312" w:cs="Times New Roman"/>
          <w:b/>
          <w:bCs/>
          <w:sz w:val="32"/>
          <w:szCs w:val="32"/>
          <w:highlight w:val="none"/>
          <w:lang w:val="en-US" w:eastAsia="zh-CN"/>
        </w:rPr>
        <w:t>.城市品质显著提升。</w:t>
      </w:r>
      <w:r>
        <w:rPr>
          <w:rFonts w:hint="eastAsia" w:ascii="仿宋_GB2312" w:hAnsi="仿宋" w:eastAsia="仿宋_GB2312" w:cs="Times New Roman"/>
          <w:sz w:val="32"/>
          <w:szCs w:val="32"/>
          <w:highlight w:val="none"/>
          <w:lang w:val="en-US" w:eastAsia="zh-CN"/>
        </w:rPr>
        <w:t>系统总结海绵城市示范建设成效，配合住建部于2025年完成《全国海绵城市建设案例集》出版工作，</w:t>
      </w:r>
      <w:r>
        <w:rPr>
          <w:rFonts w:hint="default" w:ascii="仿宋_GB2312" w:hAnsi="仿宋" w:eastAsia="仿宋_GB2312" w:cs="Times New Roman"/>
          <w:sz w:val="32"/>
          <w:szCs w:val="32"/>
          <w:highlight w:val="none"/>
          <w:lang w:val="en-US" w:eastAsia="zh-CN"/>
        </w:rPr>
        <w:t>为全国</w:t>
      </w:r>
      <w:r>
        <w:rPr>
          <w:rFonts w:hint="eastAsia" w:ascii="仿宋_GB2312" w:hAnsi="仿宋" w:eastAsia="仿宋_GB2312" w:cs="Times New Roman"/>
          <w:sz w:val="32"/>
          <w:szCs w:val="32"/>
          <w:highlight w:val="none"/>
          <w:lang w:val="en-US" w:eastAsia="zh-CN"/>
        </w:rPr>
        <w:t>滨湖临江型</w:t>
      </w:r>
      <w:r>
        <w:rPr>
          <w:rFonts w:hint="default" w:ascii="仿宋_GB2312" w:hAnsi="仿宋" w:eastAsia="仿宋_GB2312" w:cs="Times New Roman"/>
          <w:sz w:val="32"/>
          <w:szCs w:val="32"/>
          <w:highlight w:val="none"/>
          <w:lang w:val="en-US" w:eastAsia="zh-CN"/>
        </w:rPr>
        <w:t>城市提供了“岳阳样板”。中心城区水环境综合治理PPP项目累计新建改造管网796.33公里，中心城区污水收集率从“十四五”初期的50.21%提升至73.32%，</w:t>
      </w:r>
      <w:r>
        <w:rPr>
          <w:rFonts w:hint="eastAsia" w:ascii="仿宋_GB2312" w:hAnsi="仿宋" w:eastAsia="仿宋_GB2312" w:cs="Times New Roman"/>
          <w:sz w:val="32"/>
          <w:szCs w:val="32"/>
          <w:highlight w:val="none"/>
          <w:lang w:val="en-US" w:eastAsia="zh-CN"/>
        </w:rPr>
        <w:t>管网密度达全国同类城市先进水平，</w:t>
      </w:r>
      <w:r>
        <w:rPr>
          <w:rFonts w:hint="default" w:ascii="仿宋_GB2312" w:hAnsi="仿宋" w:eastAsia="仿宋_GB2312" w:cs="Times New Roman"/>
          <w:sz w:val="32"/>
          <w:szCs w:val="32"/>
          <w:highlight w:val="none"/>
          <w:lang w:val="en-US" w:eastAsia="zh-CN"/>
        </w:rPr>
        <w:t>“厂网河湖岸一体化治理”模式获国家发改委推广。乡镇污水运行负荷率71.1%，出水水质达一级A标准。</w:t>
      </w:r>
    </w:p>
    <w:p w14:paraId="139B007F">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7</w:t>
      </w:r>
      <w:r>
        <w:rPr>
          <w:rFonts w:hint="default" w:ascii="仿宋_GB2312" w:hAnsi="仿宋" w:eastAsia="仿宋_GB2312" w:cs="Times New Roman"/>
          <w:b/>
          <w:bCs/>
          <w:sz w:val="32"/>
          <w:szCs w:val="32"/>
          <w:highlight w:val="none"/>
          <w:lang w:val="en-US" w:eastAsia="zh-CN"/>
        </w:rPr>
        <w:t>.历史文化保护全面加强。</w:t>
      </w:r>
      <w:r>
        <w:rPr>
          <w:rFonts w:hint="default" w:ascii="仿宋_GB2312" w:hAnsi="仿宋" w:eastAsia="仿宋_GB2312" w:cs="Times New Roman"/>
          <w:sz w:val="32"/>
          <w:szCs w:val="32"/>
          <w:highlight w:val="none"/>
          <w:lang w:val="en-US" w:eastAsia="zh-CN"/>
        </w:rPr>
        <w:t>完成20处历史建筑精准修缮，保留18家本土老字号、引进32家特色新业态，打造全时态文旅消费场景。建成全市统一历史建筑档案数据库，归集资料5000余件。洞庭南路历史文化街区</w:t>
      </w:r>
      <w:r>
        <w:rPr>
          <w:rFonts w:hint="eastAsia" w:ascii="仿宋_GB2312" w:hAnsi="仿宋" w:eastAsia="仿宋_GB2312" w:cs="Times New Roman"/>
          <w:sz w:val="32"/>
          <w:szCs w:val="32"/>
          <w:highlight w:val="none"/>
          <w:lang w:val="en-US" w:eastAsia="zh-CN"/>
        </w:rPr>
        <w:t>被</w:t>
      </w:r>
      <w:r>
        <w:rPr>
          <w:rFonts w:hint="default" w:ascii="仿宋_GB2312" w:hAnsi="仿宋" w:eastAsia="仿宋_GB2312" w:cs="Times New Roman"/>
          <w:sz w:val="32"/>
          <w:szCs w:val="32"/>
          <w:highlight w:val="none"/>
          <w:lang w:val="en-US" w:eastAsia="zh-CN"/>
        </w:rPr>
        <w:t>住建部专家组推荐为“全国历史文化街区保护活化与文旅融合发展典范”。</w:t>
      </w:r>
    </w:p>
    <w:p w14:paraId="3BC4E6A6">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8</w:t>
      </w:r>
      <w:r>
        <w:rPr>
          <w:rFonts w:hint="default" w:ascii="仿宋_GB2312" w:hAnsi="仿宋" w:eastAsia="仿宋_GB2312" w:cs="Times New Roman"/>
          <w:b/>
          <w:bCs/>
          <w:sz w:val="32"/>
          <w:szCs w:val="32"/>
          <w:highlight w:val="none"/>
          <w:lang w:val="en-US" w:eastAsia="zh-CN"/>
        </w:rPr>
        <w:t>.深化改革优化环境。</w:t>
      </w:r>
      <w:r>
        <w:rPr>
          <w:rFonts w:hint="default" w:ascii="仿宋_GB2312" w:hAnsi="仿宋" w:eastAsia="仿宋_GB2312" w:cs="Times New Roman"/>
          <w:sz w:val="32"/>
          <w:szCs w:val="32"/>
          <w:highlight w:val="none"/>
          <w:lang w:val="en-US" w:eastAsia="zh-CN"/>
        </w:rPr>
        <w:t>住建领域审批时限平均压缩60%，施工许可2日内办结，电子证照发放率100%，实现118项省级事项“一网通办”。推行开工、联合验收等“一件事”集成服务，农村建房审批压减至16天内。率先在75个项目开展“机器管招投标”试点。创新出台消防验收九项措施，打造全省首个服务大型文旅活动专项方案，我市消防技术队伍获全省技能竞赛团体二等奖、个人一等奖。</w:t>
      </w:r>
    </w:p>
    <w:p w14:paraId="7281916A">
      <w:pPr>
        <w:snapToGrid w:val="0"/>
        <w:spacing w:line="520" w:lineRule="exact"/>
        <w:ind w:firstLine="643" w:firstLineChars="200"/>
        <w:rPr>
          <w:rFonts w:hint="eastAsia" w:ascii="楷体_GB2312" w:hAnsi="楷体_GB2312" w:eastAsia="楷体_GB2312" w:cs="楷体_GB2312"/>
          <w:b/>
          <w:bCs w:val="0"/>
          <w:color w:val="auto"/>
          <w:kern w:val="2"/>
          <w:sz w:val="32"/>
          <w:szCs w:val="32"/>
          <w:highlight w:val="none"/>
          <w:lang w:val="en-US" w:eastAsia="zh-CN" w:bidi="ar-SA"/>
        </w:rPr>
      </w:pPr>
      <w:r>
        <w:rPr>
          <w:rFonts w:hint="eastAsia" w:ascii="仿宋_GB2312" w:hAnsi="仿宋" w:eastAsia="仿宋_GB2312" w:cs="Times New Roman"/>
          <w:b/>
          <w:bCs/>
          <w:sz w:val="32"/>
          <w:szCs w:val="32"/>
          <w:highlight w:val="none"/>
          <w:lang w:val="en-US" w:eastAsia="zh-CN"/>
        </w:rPr>
        <w:t>9</w:t>
      </w:r>
      <w:r>
        <w:rPr>
          <w:rFonts w:hint="default" w:ascii="仿宋_GB2312" w:hAnsi="仿宋" w:eastAsia="仿宋_GB2312" w:cs="Times New Roman"/>
          <w:b/>
          <w:bCs/>
          <w:sz w:val="32"/>
          <w:szCs w:val="32"/>
          <w:highlight w:val="none"/>
          <w:lang w:val="en-US" w:eastAsia="zh-CN"/>
        </w:rPr>
        <w:t>.争资争项与协税护税精准发力。</w:t>
      </w:r>
      <w:r>
        <w:rPr>
          <w:rFonts w:hint="default" w:ascii="仿宋_GB2312" w:hAnsi="仿宋" w:eastAsia="仿宋_GB2312" w:cs="Times New Roman"/>
          <w:sz w:val="32"/>
          <w:szCs w:val="32"/>
          <w:highlight w:val="none"/>
          <w:lang w:val="en-US" w:eastAsia="zh-CN"/>
        </w:rPr>
        <w:t>积极争取城市更新、安居工程、农村危房改造等领域资金支持，全年累计争取各类政策性资金5.7亿元，有效保障项目建设。全力克服房地产市场下行压力，扎实推进协税护税工作，全年完成协税护税31.12亿元，全市财政收入的贡献度超过15%，为地方财政提供坚实支撑。</w:t>
      </w:r>
    </w:p>
    <w:bookmarkEnd w:id="0"/>
    <w:p w14:paraId="7DACE890">
      <w:pPr>
        <w:pStyle w:val="11"/>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7D539921">
      <w:pPr>
        <w:pStyle w:val="4"/>
        <w:ind w:firstLine="640" w:firstLineChars="200"/>
        <w:rPr>
          <w:rFonts w:hint="default"/>
          <w:lang w:val="en-US" w:eastAsia="zh-CN"/>
        </w:rPr>
      </w:pPr>
      <w:r>
        <w:rPr>
          <w:rFonts w:hint="eastAsia" w:ascii="仿宋_GB2312" w:hAnsi="仿宋_GB2312" w:eastAsia="仿宋_GB2312" w:cs="仿宋_GB2312"/>
          <w:b w:val="0"/>
          <w:bCs w:val="0"/>
          <w:color w:val="auto"/>
          <w:sz w:val="32"/>
          <w:szCs w:val="32"/>
          <w:lang w:val="en-US" w:eastAsia="zh-CN"/>
        </w:rPr>
        <w:t>（一）预算执行力度有待进一步加强。</w:t>
      </w:r>
      <w:r>
        <w:rPr>
          <w:rFonts w:hint="eastAsia" w:ascii="仿宋_GB2312" w:hAnsi="仿宋_GB2312" w:eastAsia="仿宋_GB2312" w:cs="仿宋_GB2312"/>
          <w:bCs/>
          <w:color w:val="auto"/>
          <w:sz w:val="32"/>
          <w:szCs w:val="32"/>
          <w:lang w:val="en-US" w:eastAsia="zh-CN"/>
        </w:rPr>
        <w:t>本年预算执行率85.69%，财政资金使用效率还有提升空间。主要原因是部分项目资金支付率不高。具体如下：</w:t>
      </w:r>
    </w:p>
    <w:p w14:paraId="41BA6C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1、</w:t>
      </w:r>
      <w:r>
        <w:rPr>
          <w:rFonts w:hint="eastAsia" w:ascii="仿宋_GB2312" w:hAnsi="仿宋_GB2312" w:eastAsia="仿宋_GB2312" w:cs="仿宋_GB2312"/>
          <w:sz w:val="32"/>
          <w:szCs w:val="32"/>
          <w:highlight w:val="none"/>
          <w:lang w:val="en-US" w:eastAsia="zh-CN"/>
        </w:rPr>
        <w:t>城市管网及污水处理补助资金</w:t>
      </w:r>
      <w:bookmarkStart w:id="1" w:name="OLE_LINK44"/>
      <w:r>
        <w:rPr>
          <w:rFonts w:hint="eastAsia" w:ascii="仿宋_GB2312" w:hAnsi="仿宋_GB2312" w:eastAsia="仿宋_GB2312" w:cs="仿宋_GB2312"/>
          <w:sz w:val="32"/>
          <w:szCs w:val="32"/>
          <w:highlight w:val="none"/>
          <w:lang w:val="en-US" w:eastAsia="zh-CN"/>
        </w:rPr>
        <w:t>项目年度预算金额为1429.83万元，实际支出金额为504.63万元，主要原因</w:t>
      </w:r>
      <w:bookmarkEnd w:id="1"/>
      <w:r>
        <w:rPr>
          <w:rFonts w:hint="eastAsia" w:ascii="仿宋_GB2312" w:hAnsi="仿宋_GB2312" w:eastAsia="仿宋_GB2312" w:cs="仿宋_GB2312"/>
          <w:sz w:val="32"/>
          <w:szCs w:val="32"/>
          <w:highlight w:val="none"/>
          <w:lang w:val="en-US" w:eastAsia="zh-CN"/>
        </w:rPr>
        <w:t>为</w:t>
      </w:r>
      <w:r>
        <w:rPr>
          <w:rFonts w:hint="eastAsia" w:ascii="仿宋_GB2312" w:hAnsi="仿宋_GB2312" w:eastAsia="仿宋_GB2312" w:cs="仿宋_GB2312"/>
          <w:b w:val="0"/>
          <w:bCs w:val="0"/>
          <w:color w:val="auto"/>
          <w:sz w:val="32"/>
          <w:szCs w:val="32"/>
          <w:lang w:val="en-US" w:eastAsia="zh-CN"/>
        </w:rPr>
        <w:t>城市管网及污水处理项目</w:t>
      </w:r>
      <w:r>
        <w:rPr>
          <w:rFonts w:hint="eastAsia" w:ascii="仿宋_GB2312" w:hAnsi="仿宋_GB2312" w:eastAsia="仿宋_GB2312" w:cs="仿宋_GB2312"/>
          <w:color w:val="auto"/>
          <w:sz w:val="32"/>
          <w:szCs w:val="32"/>
          <w:lang w:val="en-US" w:eastAsia="zh-CN"/>
        </w:rPr>
        <w:t>方案变动多、前期手续办理困难等原因，部分环节实施进度滞后。</w:t>
      </w:r>
    </w:p>
    <w:p w14:paraId="097615B3">
      <w:pPr>
        <w:pStyle w:val="4"/>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val="en-US" w:eastAsia="zh-CN"/>
        </w:rPr>
        <w:t xml:space="preserve">    2、四中人行天桥</w:t>
      </w:r>
      <w:r>
        <w:rPr>
          <w:rFonts w:hint="eastAsia" w:ascii="仿宋_GB2312" w:hAnsi="仿宋_GB2312" w:eastAsia="仿宋_GB2312" w:cs="仿宋_GB2312"/>
          <w:sz w:val="32"/>
          <w:szCs w:val="32"/>
          <w:highlight w:val="none"/>
          <w:lang w:val="en-US" w:eastAsia="zh-CN"/>
        </w:rPr>
        <w:t>项目年度预算金额为109.94万元，实际支出金额为19.91万元，主要原因为项目工程款支付手续不完善，导致工程款未能成功支付。</w:t>
      </w:r>
    </w:p>
    <w:p w14:paraId="72BA6D7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（二）存在实际在岗人数超编制人数现象。</w:t>
      </w:r>
      <w:r>
        <w:rPr>
          <w:rFonts w:hint="eastAsia" w:ascii="仿宋_GB2312" w:hAnsi="仿宋_GB2312" w:eastAsia="仿宋_GB2312" w:cs="仿宋_GB2312"/>
          <w:color w:val="000000"/>
          <w:kern w:val="0"/>
          <w:sz w:val="32"/>
          <w:szCs w:val="32"/>
          <w:lang w:val="en-US" w:eastAsia="zh-CN"/>
        </w:rPr>
        <w:t>根据“三定方案”，局机关编制</w:t>
      </w:r>
      <w:r>
        <w:rPr>
          <w:rFonts w:hint="eastAsia" w:ascii="仿宋_GB2312" w:hAnsi="仿宋_GB2312" w:eastAsia="仿宋_GB2312" w:cs="仿宋_GB2312"/>
          <w:color w:val="auto"/>
          <w:kern w:val="0"/>
          <w:sz w:val="32"/>
          <w:szCs w:val="32"/>
          <w:lang w:val="en-US" w:eastAsia="zh-CN"/>
        </w:rPr>
        <w:t>55人</w:t>
      </w:r>
      <w:r>
        <w:rPr>
          <w:rFonts w:hint="eastAsia" w:ascii="仿宋_GB2312" w:hAnsi="仿宋_GB2312" w:eastAsia="仿宋_GB2312" w:cs="仿宋_GB2312"/>
          <w:color w:val="000000"/>
          <w:kern w:val="0"/>
          <w:sz w:val="32"/>
          <w:szCs w:val="32"/>
          <w:lang w:val="en-US" w:eastAsia="zh-CN"/>
        </w:rPr>
        <w:t>，2025年末实有在岗人员</w:t>
      </w:r>
      <w:r>
        <w:rPr>
          <w:rFonts w:hint="eastAsia" w:ascii="仿宋_GB2312" w:hAnsi="仿宋_GB2312" w:eastAsia="仿宋_GB2312" w:cs="仿宋_GB2312"/>
          <w:color w:val="auto"/>
          <w:kern w:val="0"/>
          <w:sz w:val="32"/>
          <w:szCs w:val="32"/>
          <w:highlight w:val="none"/>
          <w:lang w:val="en-US" w:eastAsia="zh-CN"/>
        </w:rPr>
        <w:t>64人，</w:t>
      </w:r>
      <w:r>
        <w:rPr>
          <w:rFonts w:hint="eastAsia" w:ascii="仿宋_GB2312" w:hAnsi="仿宋_GB2312" w:eastAsia="仿宋_GB2312" w:cs="仿宋_GB2312"/>
          <w:color w:val="000000"/>
          <w:kern w:val="0"/>
          <w:sz w:val="32"/>
          <w:szCs w:val="32"/>
          <w:lang w:val="en-US" w:eastAsia="zh-CN" w:bidi="ar-SA"/>
        </w:rPr>
        <w:t>超过编制人数9人，主要原因为原住房和城乡建设局、原房地产管理</w:t>
      </w:r>
      <w:r>
        <w:rPr>
          <w:rFonts w:hint="eastAsia" w:ascii="仿宋_GB2312" w:hAnsi="仿宋_GB2312" w:eastAsia="仿宋_GB2312" w:cs="仿宋_GB2312"/>
          <w:color w:val="000000"/>
          <w:kern w:val="0"/>
          <w:sz w:val="32"/>
          <w:szCs w:val="32"/>
          <w:highlight w:val="none"/>
          <w:lang w:val="en-US" w:eastAsia="zh-CN" w:bidi="ar-SA"/>
        </w:rPr>
        <w:t>局因机构改革合并的政策性超编。</w:t>
      </w:r>
    </w:p>
    <w:p w14:paraId="6FD18259">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14:paraId="7458674D">
      <w:pPr>
        <w:keepNext w:val="0"/>
        <w:keepLines w:val="0"/>
        <w:pageBreakBefore w:val="0"/>
        <w:widowControl w:val="0"/>
        <w:kinsoku/>
        <w:wordWrap/>
        <w:overflowPunct/>
        <w:topLinePunct w:val="0"/>
        <w:autoSpaceDE/>
        <w:autoSpaceDN/>
        <w:bidi w:val="0"/>
        <w:adjustRightInd/>
        <w:snapToGrid/>
        <w:spacing w:line="640" w:lineRule="exact"/>
        <w:ind w:firstLine="42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lang w:val="en-US" w:eastAsia="zh-CN"/>
        </w:rPr>
        <w:t xml:space="preserve"> </w:t>
      </w:r>
      <w:r>
        <w:rPr>
          <w:rFonts w:hint="eastAsia" w:ascii="Times New Roman" w:hAnsi="Times New Roman" w:eastAsia="仿宋_GB2312" w:cs="Times New Roman"/>
          <w:sz w:val="32"/>
          <w:szCs w:val="32"/>
          <w:highlight w:val="none"/>
          <w:lang w:val="en-US" w:eastAsia="zh-CN"/>
        </w:rPr>
        <w:t>（一）加强绩效目标管理，促进预算执行精准度。绩效目标的编制、执行和监控将进一步与单位职能职责分工和年度工作任务、项目进度严谨对应，并与预算资金的申请、执行相匹配，</w:t>
      </w:r>
      <w:r>
        <w:rPr>
          <w:rFonts w:hint="eastAsia" w:ascii="Times New Roman" w:hAnsi="Times New Roman" w:eastAsia="仿宋_GB2312" w:cs="Times New Roman"/>
          <w:sz w:val="32"/>
          <w:szCs w:val="32"/>
          <w:highlight w:val="none"/>
        </w:rPr>
        <w:t>进一步提高预算执行率。</w:t>
      </w:r>
    </w:p>
    <w:p w14:paraId="5DF856C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二</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合理控制在岗人数，及时向编制部门报告实际在编在岗人数，争取逐步消化人数、争取编制，解决政策性超编问题。</w:t>
      </w:r>
    </w:p>
    <w:p w14:paraId="1140417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（三）</w:t>
      </w:r>
      <w:r>
        <w:rPr>
          <w:rFonts w:hint="eastAsia" w:ascii="Times New Roman" w:hAnsi="Times New Roman" w:eastAsia="仿宋_GB2312" w:cs="Times New Roman"/>
          <w:sz w:val="32"/>
          <w:szCs w:val="32"/>
          <w:highlight w:val="none"/>
          <w:lang w:eastAsia="zh-CN"/>
        </w:rPr>
        <w:t>加快</w:t>
      </w:r>
      <w:r>
        <w:rPr>
          <w:rFonts w:hint="eastAsia" w:ascii="Times New Roman" w:hAnsi="Times New Roman" w:eastAsia="仿宋_GB2312" w:cs="Times New Roman"/>
          <w:sz w:val="32"/>
          <w:szCs w:val="32"/>
          <w:highlight w:val="none"/>
          <w:lang w:val="en-US" w:eastAsia="zh-CN"/>
        </w:rPr>
        <w:t>人才</w:t>
      </w:r>
      <w:r>
        <w:rPr>
          <w:rFonts w:hint="eastAsia" w:ascii="Times New Roman" w:hAnsi="Times New Roman" w:eastAsia="仿宋_GB2312" w:cs="Times New Roman"/>
          <w:sz w:val="32"/>
          <w:szCs w:val="32"/>
          <w:highlight w:val="none"/>
          <w:lang w:eastAsia="zh-CN"/>
        </w:rPr>
        <w:t>队伍建设，提</w:t>
      </w:r>
      <w:r>
        <w:rPr>
          <w:rFonts w:hint="eastAsia" w:ascii="Times New Roman" w:hAnsi="Times New Roman" w:eastAsia="仿宋_GB2312" w:cs="Times New Roman"/>
          <w:sz w:val="32"/>
          <w:szCs w:val="32"/>
          <w:highlight w:val="none"/>
          <w:lang w:val="en-US" w:eastAsia="zh-CN"/>
        </w:rPr>
        <w:t>升绩效</w:t>
      </w:r>
      <w:r>
        <w:rPr>
          <w:rFonts w:hint="eastAsia" w:ascii="Times New Roman" w:hAnsi="Times New Roman" w:eastAsia="仿宋_GB2312" w:cs="Times New Roman"/>
          <w:sz w:val="32"/>
          <w:szCs w:val="32"/>
          <w:highlight w:val="none"/>
          <w:lang w:eastAsia="zh-CN"/>
        </w:rPr>
        <w:t>管理人员专业水平。争取</w:t>
      </w:r>
      <w:r>
        <w:rPr>
          <w:rFonts w:hint="eastAsia" w:ascii="Times New Roman" w:hAnsi="Times New Roman" w:eastAsia="仿宋_GB2312" w:cs="Times New Roman"/>
          <w:sz w:val="32"/>
          <w:szCs w:val="32"/>
          <w:highlight w:val="none"/>
          <w:lang w:val="en-US" w:eastAsia="zh-CN"/>
        </w:rPr>
        <w:t>引进专业</w:t>
      </w:r>
      <w:r>
        <w:rPr>
          <w:rFonts w:hint="eastAsia" w:ascii="Times New Roman" w:hAnsi="Times New Roman" w:eastAsia="仿宋_GB2312" w:cs="Times New Roman"/>
          <w:sz w:val="32"/>
          <w:szCs w:val="32"/>
          <w:highlight w:val="none"/>
          <w:lang w:eastAsia="zh-CN"/>
        </w:rPr>
        <w:t>人</w:t>
      </w:r>
      <w:r>
        <w:rPr>
          <w:rFonts w:hint="eastAsia" w:ascii="Times New Roman" w:hAnsi="Times New Roman" w:eastAsia="仿宋_GB2312" w:cs="Times New Roman"/>
          <w:sz w:val="32"/>
          <w:szCs w:val="32"/>
          <w:highlight w:val="none"/>
          <w:lang w:val="en-US" w:eastAsia="zh-CN"/>
        </w:rPr>
        <w:t>才</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充实</w:t>
      </w:r>
      <w:r>
        <w:rPr>
          <w:rFonts w:hint="eastAsia" w:ascii="Times New Roman" w:hAnsi="Times New Roman" w:eastAsia="仿宋_GB2312" w:cs="Times New Roman"/>
          <w:sz w:val="32"/>
          <w:szCs w:val="32"/>
          <w:highlight w:val="none"/>
          <w:lang w:eastAsia="zh-CN"/>
        </w:rPr>
        <w:t>绩效管理</w:t>
      </w:r>
      <w:r>
        <w:rPr>
          <w:rFonts w:hint="eastAsia" w:ascii="Times New Roman" w:hAnsi="Times New Roman" w:eastAsia="仿宋_GB2312" w:cs="Times New Roman"/>
          <w:sz w:val="32"/>
          <w:szCs w:val="32"/>
          <w:highlight w:val="none"/>
          <w:lang w:val="en-US" w:eastAsia="zh-CN"/>
        </w:rPr>
        <w:t>人才队伍</w:t>
      </w:r>
      <w:r>
        <w:rPr>
          <w:rFonts w:hint="eastAsia" w:ascii="Times New Roman" w:hAnsi="Times New Roman" w:eastAsia="仿宋_GB2312" w:cs="Times New Roman"/>
          <w:sz w:val="32"/>
          <w:szCs w:val="32"/>
          <w:highlight w:val="none"/>
          <w:lang w:eastAsia="zh-CN"/>
        </w:rPr>
        <w:t>，加强</w:t>
      </w:r>
      <w:r>
        <w:rPr>
          <w:rFonts w:hint="eastAsia" w:ascii="Times New Roman" w:hAnsi="Times New Roman" w:eastAsia="仿宋_GB2312" w:cs="Times New Roman"/>
          <w:sz w:val="32"/>
          <w:szCs w:val="32"/>
          <w:highlight w:val="none"/>
          <w:lang w:val="en-US" w:eastAsia="zh-CN"/>
        </w:rPr>
        <w:t>业务学习，提升绩效管理人员综合素质</w:t>
      </w:r>
      <w:r>
        <w:rPr>
          <w:rFonts w:hint="eastAsia" w:ascii="Times New Roman" w:hAnsi="Times New Roman" w:eastAsia="仿宋_GB2312" w:cs="Times New Roman"/>
          <w:sz w:val="32"/>
          <w:szCs w:val="32"/>
          <w:highlight w:val="none"/>
          <w:lang w:eastAsia="zh-CN"/>
        </w:rPr>
        <w:t>。</w:t>
      </w:r>
    </w:p>
    <w:p w14:paraId="275D222D">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5BC942D5">
      <w:pPr>
        <w:pStyle w:val="4"/>
        <w:ind w:firstLine="640" w:firstLineChars="200"/>
        <w:rPr>
          <w:rFonts w:hint="default"/>
        </w:rPr>
      </w:pPr>
      <w:r>
        <w:rPr>
          <w:rFonts w:hint="eastAsia" w:ascii="仿宋_GB2312" w:hAnsi="仿宋_GB2312" w:eastAsia="仿宋_GB2312" w:cs="仿宋_GB2312"/>
          <w:b w:val="0"/>
          <w:bCs w:val="0"/>
          <w:sz w:val="32"/>
          <w:szCs w:val="32"/>
        </w:rPr>
        <w:t>部门整体支出绩效自评结果</w:t>
      </w:r>
      <w:r>
        <w:rPr>
          <w:rFonts w:hint="eastAsia" w:ascii="仿宋_GB2312" w:hAnsi="仿宋_GB2312" w:eastAsia="仿宋_GB2312" w:cs="仿宋_GB2312"/>
          <w:b w:val="0"/>
          <w:bCs w:val="0"/>
          <w:sz w:val="32"/>
          <w:szCs w:val="32"/>
          <w:lang w:val="en-US" w:eastAsia="zh-CN"/>
        </w:rPr>
        <w:t>将作为单位绩效考核、预算资金管理、工作研讨及相关制度完善的重要参考依据。并按照相关规定及时在市住建局门户网站进行公开，接受社会大众监督。</w:t>
      </w:r>
    </w:p>
    <w:p w14:paraId="0B0FF7C2">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eastAsia="zh-CN"/>
        </w:rPr>
        <w:t>无</w:t>
      </w:r>
      <w:r>
        <w:rPr>
          <w:rFonts w:hint="default" w:ascii="Times New Roman" w:hAnsi="Times New Roman" w:eastAsia="黑体" w:cs="Times New Roman"/>
          <w:sz w:val="32"/>
          <w:szCs w:val="32"/>
          <w:highlight w:val="none"/>
        </w:rPr>
        <w:t>其他需要说明的情况</w:t>
      </w:r>
    </w:p>
    <w:p w14:paraId="298859A8">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p>
    <w:p w14:paraId="1EB4C314">
      <w:r>
        <w:br w:type="page"/>
      </w:r>
    </w:p>
    <w:p w14:paraId="3FC3E467">
      <w:pPr>
        <w:keepNext w:val="0"/>
        <w:keepLines w:val="0"/>
        <w:pageBreakBefore w:val="0"/>
        <w:widowControl w:val="0"/>
        <w:kinsoku/>
        <w:overflowPunct/>
        <w:topLinePunct w:val="0"/>
        <w:autoSpaceDE/>
        <w:autoSpaceDN/>
        <w:bidi w:val="0"/>
        <w:adjustRightInd/>
        <w:snapToGrid/>
        <w:spacing w:after="0" w:afterLines="0" w:line="500" w:lineRule="exact"/>
        <w:ind w:firstLine="320" w:firstLineChars="10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5A2B08E3">
      <w:pPr>
        <w:keepNext w:val="0"/>
        <w:keepLines w:val="0"/>
        <w:pageBreakBefore w:val="0"/>
        <w:widowControl w:val="0"/>
        <w:kinsoku/>
        <w:overflowPunct/>
        <w:topLinePunct w:val="0"/>
        <w:autoSpaceDE/>
        <w:autoSpaceDN/>
        <w:bidi w:val="0"/>
        <w:adjustRightInd/>
        <w:snapToGrid/>
        <w:spacing w:after="0" w:afterLines="0" w:line="240" w:lineRule="auto"/>
        <w:ind w:firstLine="320" w:firstLineChars="100"/>
        <w:jc w:val="left"/>
        <w:textAlignment w:val="auto"/>
        <w:rPr>
          <w:rFonts w:hint="eastAsia" w:ascii="黑体" w:hAnsi="黑体" w:eastAsia="黑体" w:cs="黑体"/>
          <w:sz w:val="32"/>
          <w:szCs w:val="32"/>
          <w:highlight w:val="none"/>
          <w:lang w:val="en-US" w:eastAsia="zh-CN"/>
        </w:rPr>
      </w:pPr>
    </w:p>
    <w:p w14:paraId="1B9D3770">
      <w:pPr>
        <w:keepNext w:val="0"/>
        <w:keepLines w:val="0"/>
        <w:pageBreakBefore w:val="0"/>
        <w:widowControl w:val="0"/>
        <w:kinsoku/>
        <w:overflowPunct/>
        <w:topLinePunct w:val="0"/>
        <w:autoSpaceDE/>
        <w:autoSpaceDN/>
        <w:bidi w:val="0"/>
        <w:adjustRightInd/>
        <w:snapToGrid/>
        <w:spacing w:after="120" w:afterLines="50" w:line="600" w:lineRule="exact"/>
        <w:jc w:val="center"/>
        <w:textAlignment w:val="auto"/>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5</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9"/>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5E4A377C">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619E643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59B64E7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14B5043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63ADF39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791D227E">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71885C54">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63CF50D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55</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2DED32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580F315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116.36%</w:t>
            </w:r>
          </w:p>
        </w:tc>
      </w:tr>
      <w:tr w14:paraId="0ED45878">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DF2437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4863655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4A454AF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412975A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年决算数</w:t>
            </w:r>
          </w:p>
        </w:tc>
      </w:tr>
      <w:tr w14:paraId="3C734A48">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47C5B66D">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543D5C76">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19.18</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7EF5899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77A208E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r>
      <w:tr w14:paraId="37A75616">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6F8F9EA0">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82AAAEC">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6.66</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353971F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2A31DB9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r>
      <w:tr w14:paraId="7EDE670A">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4A6EE713">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ECDA3F7">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11E52DD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34321D4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0894DD53">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99045D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6B578A3C">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6.66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53B7D3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4AC5C7D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　</w:t>
            </w:r>
          </w:p>
        </w:tc>
      </w:tr>
      <w:tr w14:paraId="68360684">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FCC20B5">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1DADE5BE">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12.1</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9E678E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72DA0FF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381A1C89">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C463272">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14B6809B">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0.42</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A8B83A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1D9D953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2FA0C0A8">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152E019">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8E6321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1574.82</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B5121E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9137.16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0B67E1F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7566.45</w:t>
            </w:r>
          </w:p>
        </w:tc>
      </w:tr>
      <w:tr w14:paraId="43323EAC">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049D4BC3">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0394731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3347A70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7659935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0397AC44">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7961726F">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10B706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5885694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3D08337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14:paraId="0AB2DFEA">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4808B8AE">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5FEDD0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1574.82</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20D3048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9137.16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0273FB0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7566.45</w:t>
            </w:r>
          </w:p>
        </w:tc>
      </w:tr>
      <w:tr w14:paraId="285F16C4">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FB8B06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w:t>
            </w:r>
            <w:r>
              <w:rPr>
                <w:rFonts w:hint="eastAsia" w:ascii="仿宋_GB2312" w:hAnsi="仿宋_GB2312" w:eastAsia="仿宋_GB2312" w:cs="仿宋_GB2312"/>
                <w:sz w:val="20"/>
                <w:szCs w:val="20"/>
                <w:highlight w:val="none"/>
              </w:rPr>
              <w:t>日常工作经费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F169BF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309.84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4D995A4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228.99</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2DFC5D8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228.99</w:t>
            </w:r>
          </w:p>
        </w:tc>
      </w:tr>
      <w:tr w14:paraId="1EA8EC5E">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389B7A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w:t>
            </w:r>
            <w:r>
              <w:rPr>
                <w:rFonts w:hint="eastAsia" w:ascii="仿宋_GB2312" w:hAnsi="仿宋_GB2312" w:eastAsia="仿宋_GB2312" w:cs="仿宋_GB2312"/>
                <w:sz w:val="20"/>
                <w:szCs w:val="20"/>
                <w:highlight w:val="none"/>
              </w:rPr>
              <w:t>施工图审查经费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7B7F1F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299.96</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73830CE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color w:val="000000"/>
                <w:sz w:val="20"/>
                <w:szCs w:val="20"/>
                <w:highlight w:val="none"/>
                <w:lang w:val="en-US" w:eastAsia="zh-CN"/>
              </w:rPr>
              <w:t>238.54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53C23E2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238.5</w:t>
            </w:r>
          </w:p>
        </w:tc>
      </w:tr>
      <w:tr w14:paraId="162FBD63">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4043715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城市管网及污水处理补助</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53C3E5F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724.4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358A4D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1429.83</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05A5284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504.63</w:t>
            </w:r>
          </w:p>
        </w:tc>
      </w:tr>
      <w:tr w14:paraId="3F35F0CF">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F5F4EB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四中人行天桥项目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6E71B50D">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48B10F0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109.94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6001628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19.91</w:t>
            </w:r>
          </w:p>
        </w:tc>
      </w:tr>
      <w:tr w14:paraId="27840E47">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0FCD80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城市更新示范项目前期经费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4DAFE4A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2748C18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254.68</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5495321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247.08</w:t>
            </w:r>
          </w:p>
        </w:tc>
      </w:tr>
      <w:tr w14:paraId="5E5BA709">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69E91DA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w:t>
            </w:r>
            <w:r>
              <w:rPr>
                <w:rFonts w:hint="eastAsia" w:ascii="仿宋_GB2312" w:hAnsi="仿宋_GB2312" w:eastAsia="仿宋_GB2312" w:cs="仿宋_GB2312"/>
                <w:sz w:val="20"/>
                <w:szCs w:val="20"/>
                <w:highlight w:val="none"/>
              </w:rPr>
              <w:t>历史文化名城专项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4BAE50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117.33</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5B75208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lang w:val="en-US" w:eastAsia="zh-CN"/>
              </w:rPr>
              <w:t>107.44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5E835BC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106.77</w:t>
            </w:r>
          </w:p>
        </w:tc>
      </w:tr>
      <w:tr w14:paraId="729FD5BE">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0803B0F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(7)</w:t>
            </w:r>
            <w:r>
              <w:rPr>
                <w:rFonts w:hint="eastAsia" w:ascii="仿宋_GB2312" w:hAnsi="仿宋_GB2312" w:eastAsia="仿宋_GB2312" w:cs="仿宋_GB2312"/>
                <w:sz w:val="20"/>
                <w:szCs w:val="20"/>
                <w:highlight w:val="none"/>
              </w:rPr>
              <w:t>求索西路项目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58AD26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74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67145B0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1526</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2B9985A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1524</w:t>
            </w:r>
          </w:p>
        </w:tc>
      </w:tr>
      <w:tr w14:paraId="00F9A3F5">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2D7ED3A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(8)</w:t>
            </w:r>
            <w:r>
              <w:rPr>
                <w:rFonts w:hint="eastAsia" w:ascii="仿宋_GB2312" w:hAnsi="仿宋_GB2312" w:eastAsia="仿宋_GB2312" w:cs="仿宋_GB2312"/>
                <w:sz w:val="20"/>
                <w:szCs w:val="20"/>
                <w:highlight w:val="none"/>
              </w:rPr>
              <w:t>住房城乡建设引导专项资金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6905FB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14.04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05FCD36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130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007C946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88.59</w:t>
            </w:r>
          </w:p>
        </w:tc>
      </w:tr>
      <w:tr w14:paraId="24F1FB70">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01A4B74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w:t>
            </w:r>
            <w:r>
              <w:rPr>
                <w:rFonts w:hint="eastAsia" w:ascii="仿宋_GB2312" w:hAnsi="仿宋_GB2312" w:eastAsia="仿宋_GB2312" w:cs="仿宋_GB2312"/>
                <w:sz w:val="20"/>
                <w:szCs w:val="20"/>
                <w:highlight w:val="none"/>
              </w:rPr>
              <w:t>城建维护经费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3C1F1A5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19.45</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260B7F7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100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7859F72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100</w:t>
            </w:r>
          </w:p>
        </w:tc>
      </w:tr>
      <w:tr w14:paraId="46CEE626">
        <w:tblPrEx>
          <w:tblCellMar>
            <w:top w:w="0" w:type="dxa"/>
            <w:left w:w="108" w:type="dxa"/>
            <w:bottom w:w="0" w:type="dxa"/>
            <w:right w:w="108" w:type="dxa"/>
          </w:tblCellMar>
        </w:tblPrEx>
        <w:trPr>
          <w:trHeight w:val="9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66F23E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w:t>
            </w:r>
            <w:r>
              <w:rPr>
                <w:rFonts w:hint="eastAsia" w:ascii="仿宋_GB2312" w:hAnsi="仿宋_GB2312" w:eastAsia="仿宋_GB2312" w:cs="仿宋_GB2312"/>
                <w:sz w:val="20"/>
                <w:szCs w:val="20"/>
                <w:highlight w:val="none"/>
              </w:rPr>
              <w:t>保障性住房购置专项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0E44D2B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5BA279C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5000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2D66652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4496.25</w:t>
            </w:r>
          </w:p>
        </w:tc>
      </w:tr>
      <w:tr w14:paraId="508040E5">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0050865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(11)</w:t>
            </w:r>
            <w:r>
              <w:rPr>
                <w:rFonts w:hint="eastAsia" w:ascii="仿宋_GB2312" w:hAnsi="仿宋_GB2312" w:eastAsia="仿宋_GB2312" w:cs="仿宋_GB2312"/>
                <w:sz w:val="20"/>
                <w:szCs w:val="20"/>
                <w:highlight w:val="none"/>
              </w:rPr>
              <w:t>自贸试验区制度创新激励资金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BE94AA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63D1B79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5</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7021B5DB">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4.99</w:t>
            </w:r>
          </w:p>
        </w:tc>
      </w:tr>
      <w:tr w14:paraId="266F634D">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1C144F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(12)</w:t>
            </w:r>
            <w:r>
              <w:rPr>
                <w:rFonts w:hint="eastAsia" w:ascii="仿宋_GB2312" w:hAnsi="仿宋_GB2312" w:eastAsia="仿宋_GB2312" w:cs="仿宋_GB2312"/>
                <w:sz w:val="20"/>
                <w:szCs w:val="20"/>
                <w:highlight w:val="none"/>
              </w:rPr>
              <w:t>企业军转干部资金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0FB6E64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15.8</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3CC9084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6.74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3CB8FDB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6.74</w:t>
            </w:r>
          </w:p>
        </w:tc>
      </w:tr>
      <w:tr w14:paraId="4404884A">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3DF419A">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CB82F15">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437.26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468FBFA0">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red"/>
              </w:rPr>
            </w:pPr>
            <w:r>
              <w:rPr>
                <w:rFonts w:hint="eastAsia" w:ascii="仿宋_GB2312" w:hAnsi="仿宋_GB2312" w:eastAsia="仿宋_GB2312" w:cs="仿宋_GB2312"/>
                <w:sz w:val="20"/>
                <w:szCs w:val="20"/>
                <w:highlight w:val="none"/>
                <w:lang w:val="en-US" w:eastAsia="zh-CN"/>
              </w:rPr>
              <w:t>303.37</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00EA3C1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301.33</w:t>
            </w:r>
            <w:r>
              <w:rPr>
                <w:rFonts w:hint="eastAsia" w:ascii="仿宋_GB2312" w:hAnsi="仿宋_GB2312" w:eastAsia="仿宋_GB2312" w:cs="仿宋_GB2312"/>
                <w:sz w:val="20"/>
                <w:szCs w:val="20"/>
                <w:highlight w:val="none"/>
              </w:rPr>
              <w:t>　</w:t>
            </w:r>
          </w:p>
        </w:tc>
      </w:tr>
      <w:tr w14:paraId="5D1D1FC1">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34A7863F">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03EE102">
            <w:pPr>
              <w:widowControl/>
              <w:spacing w:line="360" w:lineRule="exact"/>
              <w:jc w:val="center"/>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281.69</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71095D51">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red"/>
                <w:lang w:val="en-US"/>
              </w:rPr>
            </w:pPr>
            <w:r>
              <w:rPr>
                <w:rFonts w:hint="eastAsia" w:ascii="仿宋_GB2312" w:hAnsi="仿宋_GB2312" w:eastAsia="仿宋_GB2312" w:cs="仿宋_GB2312"/>
                <w:color w:val="auto"/>
                <w:sz w:val="20"/>
                <w:szCs w:val="20"/>
                <w:highlight w:val="none"/>
                <w:lang w:val="en-US" w:eastAsia="zh-CN"/>
              </w:rPr>
              <w:t>207.68</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08133F4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205.22</w:t>
            </w:r>
            <w:r>
              <w:rPr>
                <w:rFonts w:hint="eastAsia" w:ascii="仿宋_GB2312" w:hAnsi="仿宋_GB2312" w:eastAsia="仿宋_GB2312" w:cs="仿宋_GB2312"/>
                <w:color w:val="auto"/>
                <w:sz w:val="20"/>
                <w:szCs w:val="20"/>
                <w:highlight w:val="none"/>
              </w:rPr>
              <w:t>　</w:t>
            </w:r>
          </w:p>
        </w:tc>
      </w:tr>
      <w:tr w14:paraId="4F53184D">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0F2C6201">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73558787">
            <w:pPr>
              <w:widowControl/>
              <w:spacing w:line="360" w:lineRule="exact"/>
              <w:jc w:val="center"/>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54.41</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22726AAC">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red"/>
                <w:lang w:val="en-US"/>
              </w:rPr>
            </w:pPr>
            <w:r>
              <w:rPr>
                <w:rFonts w:hint="eastAsia" w:ascii="仿宋_GB2312" w:hAnsi="仿宋_GB2312" w:eastAsia="仿宋_GB2312" w:cs="仿宋_GB2312"/>
                <w:color w:val="auto"/>
                <w:sz w:val="20"/>
                <w:szCs w:val="20"/>
                <w:highlight w:val="none"/>
                <w:lang w:val="en-US" w:eastAsia="zh-CN"/>
              </w:rPr>
              <w:t>82.01</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44BF439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81.06</w:t>
            </w:r>
            <w:r>
              <w:rPr>
                <w:rFonts w:hint="eastAsia" w:ascii="仿宋_GB2312" w:hAnsi="仿宋_GB2312" w:eastAsia="仿宋_GB2312" w:cs="仿宋_GB2312"/>
                <w:color w:val="auto"/>
                <w:sz w:val="20"/>
                <w:szCs w:val="20"/>
                <w:highlight w:val="none"/>
              </w:rPr>
              <w:t>　</w:t>
            </w:r>
          </w:p>
        </w:tc>
      </w:tr>
      <w:tr w14:paraId="0B2A053A">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3B94E15D">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015B5F35">
            <w:pPr>
              <w:widowControl/>
              <w:spacing w:line="360" w:lineRule="exact"/>
              <w:jc w:val="center"/>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2.90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215548E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sz w:val="20"/>
                <w:szCs w:val="20"/>
                <w:highlight w:val="red"/>
                <w:lang w:val="en-US" w:eastAsia="zh-CN"/>
              </w:rPr>
            </w:pPr>
            <w:r>
              <w:rPr>
                <w:rFonts w:hint="eastAsia" w:ascii="仿宋_GB2312" w:hAnsi="仿宋_GB2312" w:eastAsia="仿宋_GB2312" w:cs="仿宋_GB2312"/>
                <w:color w:val="auto"/>
                <w:sz w:val="20"/>
                <w:szCs w:val="20"/>
                <w:highlight w:val="none"/>
                <w:lang w:val="en-US" w:eastAsia="zh-CN"/>
              </w:rPr>
              <w:t>1.91</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5884279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1.91</w:t>
            </w:r>
            <w:r>
              <w:rPr>
                <w:rFonts w:hint="eastAsia" w:ascii="仿宋_GB2312" w:hAnsi="仿宋_GB2312" w:eastAsia="仿宋_GB2312" w:cs="仿宋_GB2312"/>
                <w:color w:val="auto"/>
                <w:sz w:val="20"/>
                <w:szCs w:val="20"/>
                <w:highlight w:val="none"/>
              </w:rPr>
              <w:t>　</w:t>
            </w:r>
          </w:p>
        </w:tc>
      </w:tr>
      <w:tr w14:paraId="56303160">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56DB9B14">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0FB6B69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55C8CB6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2283.82</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5D197814">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2283.82</w:t>
            </w:r>
            <w:r>
              <w:rPr>
                <w:rFonts w:hint="eastAsia" w:ascii="仿宋_GB2312" w:hAnsi="仿宋_GB2312" w:eastAsia="仿宋_GB2312" w:cs="仿宋_GB2312"/>
                <w:sz w:val="20"/>
                <w:szCs w:val="20"/>
                <w:highlight w:val="none"/>
              </w:rPr>
              <w:t>　</w:t>
            </w:r>
          </w:p>
        </w:tc>
      </w:tr>
      <w:tr w14:paraId="24350ACC">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293FEE10">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45CBA26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14:paraId="63A4877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1980.71</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14:paraId="6406988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1978.63</w:t>
            </w:r>
            <w:r>
              <w:rPr>
                <w:rFonts w:hint="eastAsia" w:ascii="仿宋_GB2312" w:hAnsi="仿宋_GB2312" w:eastAsia="仿宋_GB2312" w:cs="仿宋_GB2312"/>
                <w:sz w:val="20"/>
                <w:szCs w:val="20"/>
                <w:highlight w:val="none"/>
              </w:rPr>
              <w:t>　</w:t>
            </w:r>
          </w:p>
        </w:tc>
      </w:tr>
      <w:tr w14:paraId="6B241A48">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2CCD0EA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年完工项目）</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2974FA32">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3D9B44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single" w:color="auto" w:sz="4" w:space="0"/>
              <w:left w:val="single" w:color="auto" w:sz="4" w:space="0"/>
              <w:bottom w:val="single" w:color="auto" w:sz="4" w:space="0"/>
              <w:right w:val="single" w:color="auto" w:sz="4" w:space="0"/>
            </w:tcBorders>
            <w:noWrap w:val="0"/>
            <w:vAlign w:val="center"/>
          </w:tcPr>
          <w:p w14:paraId="2F10290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10E466A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5D5278">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DF88999">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2C5C2967">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77244848">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229A1F97">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1B2D36A6">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29" w:type="dxa"/>
            <w:tcBorders>
              <w:top w:val="single" w:color="auto" w:sz="4" w:space="0"/>
              <w:left w:val="single" w:color="auto" w:sz="4" w:space="0"/>
              <w:bottom w:val="single" w:color="auto" w:sz="4" w:space="0"/>
              <w:right w:val="single" w:color="auto" w:sz="4" w:space="0"/>
            </w:tcBorders>
            <w:noWrap w:val="0"/>
            <w:vAlign w:val="center"/>
          </w:tcPr>
          <w:p w14:paraId="4C18B6DE">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2A639975">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F2DFEF">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5238A83A">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621EA976">
        <w:tblPrEx>
          <w:tblCellMar>
            <w:top w:w="0" w:type="dxa"/>
            <w:left w:w="108" w:type="dxa"/>
            <w:bottom w:w="0" w:type="dxa"/>
            <w:right w:w="108" w:type="dxa"/>
          </w:tblCellMar>
        </w:tblPrEx>
        <w:trPr>
          <w:trHeight w:val="0" w:hRule="atLeast"/>
          <w:jc w:val="center"/>
        </w:trPr>
        <w:tc>
          <w:tcPr>
            <w:tcW w:w="3354" w:type="dxa"/>
            <w:tcBorders>
              <w:top w:val="single" w:color="auto" w:sz="4" w:space="0"/>
              <w:left w:val="single" w:color="auto" w:sz="4" w:space="0"/>
              <w:bottom w:val="single" w:color="auto" w:sz="4" w:space="0"/>
              <w:right w:val="single" w:color="auto" w:sz="4" w:space="0"/>
            </w:tcBorders>
            <w:noWrap w:val="0"/>
            <w:vAlign w:val="center"/>
          </w:tcPr>
          <w:p w14:paraId="19FA3833">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single" w:color="auto" w:sz="4" w:space="0"/>
              <w:bottom w:val="single" w:color="auto" w:sz="4" w:space="0"/>
              <w:right w:val="single" w:color="auto" w:sz="4" w:space="0"/>
            </w:tcBorders>
            <w:noWrap w:val="0"/>
            <w:vAlign w:val="center"/>
          </w:tcPr>
          <w:p w14:paraId="6214CF9B">
            <w:pPr>
              <w:widowControl/>
              <w:spacing w:line="360" w:lineRule="exact"/>
              <w:ind w:firstLine="400" w:firstLineChars="20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1.机关工作人员模范带头过“紧日子”，坚持</w:t>
            </w:r>
            <w:r>
              <w:rPr>
                <w:rFonts w:hint="eastAsia" w:ascii="仿宋_GB2312" w:hAnsi="仿宋_GB2312" w:eastAsia="仿宋_GB2312" w:cs="仿宋_GB2312"/>
                <w:sz w:val="20"/>
                <w:szCs w:val="20"/>
              </w:rPr>
              <w:t>厉行节约</w:t>
            </w:r>
            <w:r>
              <w:rPr>
                <w:rFonts w:hint="eastAsia" w:ascii="仿宋_GB2312" w:hAnsi="仿宋_GB2312" w:eastAsia="仿宋_GB2312" w:cs="仿宋_GB2312"/>
                <w:sz w:val="20"/>
                <w:szCs w:val="20"/>
                <w:lang w:val="en-US" w:eastAsia="zh-CN"/>
              </w:rPr>
              <w:t>，压减一般性支出</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lang w:val="en-US" w:eastAsia="zh-CN"/>
              </w:rPr>
              <w:t>严格控制三公经费、会议费、培训费、印刷费、办公费、劳务费、委托业务费、维修（护）费、其他交通费等日常性经费开支。</w:t>
            </w:r>
          </w:p>
          <w:p w14:paraId="3D52FD9F">
            <w:pPr>
              <w:widowControl/>
              <w:spacing w:line="360" w:lineRule="exact"/>
              <w:ind w:firstLine="400" w:firstLineChars="200"/>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2.进一步优化管理制度，抓制度落实，控制费用增长。根据湖南省财政厅《关于规范差旅伙食费和市内交通费收交管理有关事项的通知》</w:t>
            </w:r>
          </w:p>
          <w:p w14:paraId="6600BAB8">
            <w:pPr>
              <w:widowControl/>
              <w:spacing w:line="360" w:lineRule="exact"/>
              <w:jc w:val="left"/>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val="en-US" w:eastAsia="zh-CN"/>
              </w:rPr>
              <w:t>《岳阳市市直机关会议费管理办法》《岳阳市财政局中共岳阳市委岳阳市人民政府接待处关于明确市直党政机关公务活动用餐有关事项的通知》等制度，结合本单位实际情况，进一步优化了行政经费各项管理制度，并遵照执行。</w:t>
            </w:r>
          </w:p>
          <w:p w14:paraId="6BA587A4">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 xml:space="preserve">    3.加强对预算管理及财务收支管理。严格遵照“无预算不支出”预算管理要求，严控行政经费及项目经费预算；财务部门加强财务收支管理，对支出每笔费认真审核，对不合规费用拒绝支付，严格按照审核、审批程序，把控资金支付合规性、合法性、准确性。</w:t>
            </w:r>
            <w:r>
              <w:rPr>
                <w:rFonts w:hint="eastAsia" w:ascii="仿宋_GB2312" w:hAnsi="仿宋_GB2312" w:eastAsia="仿宋_GB2312" w:cs="仿宋_GB2312"/>
                <w:sz w:val="20"/>
                <w:szCs w:val="20"/>
                <w:highlight w:val="none"/>
              </w:rPr>
              <w:t>　</w:t>
            </w:r>
          </w:p>
        </w:tc>
      </w:tr>
    </w:tbl>
    <w:p w14:paraId="3E56C3CB">
      <w:pPr>
        <w:keepNext w:val="0"/>
        <w:keepLines w:val="0"/>
        <w:pageBreakBefore w:val="0"/>
        <w:widowControl w:val="0"/>
        <w:kinsoku/>
        <w:overflowPunct/>
        <w:topLinePunct w:val="0"/>
        <w:autoSpaceDE/>
        <w:autoSpaceDN/>
        <w:bidi w:val="0"/>
        <w:adjustRightInd/>
        <w:snapToGrid/>
        <w:spacing w:afterLines="0" w:line="400" w:lineRule="exact"/>
        <w:ind w:left="660" w:hanging="660" w:hangingChars="300"/>
        <w:jc w:val="left"/>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2B6361C7">
      <w:pPr>
        <w:keepNext w:val="0"/>
        <w:keepLines w:val="0"/>
        <w:pageBreakBefore w:val="0"/>
        <w:widowControl w:val="0"/>
        <w:kinsoku/>
        <w:overflowPunct/>
        <w:topLinePunct w:val="0"/>
        <w:autoSpaceDE/>
        <w:autoSpaceDN/>
        <w:bidi w:val="0"/>
        <w:adjustRightInd/>
        <w:snapToGrid/>
        <w:spacing w:afterLines="0" w:line="400" w:lineRule="exact"/>
        <w:jc w:val="left"/>
        <w:textAlignment w:val="auto"/>
        <w:rPr>
          <w:rFonts w:hint="default" w:ascii="Times New Roman" w:hAnsi="Times New Roman" w:eastAsia="仿宋_GB2312" w:cs="Times New Roman"/>
          <w:sz w:val="22"/>
          <w:highlight w:val="none"/>
        </w:rPr>
      </w:pPr>
    </w:p>
    <w:p w14:paraId="517198FF">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734DF748">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p>
    <w:p w14:paraId="2A2FF569">
      <w:pPr>
        <w:keepNext w:val="0"/>
        <w:keepLines w:val="0"/>
        <w:pageBreakBefore w:val="0"/>
        <w:widowControl w:val="0"/>
        <w:kinsoku/>
        <w:overflowPunct/>
        <w:topLinePunct w:val="0"/>
        <w:autoSpaceDE/>
        <w:autoSpaceDN/>
        <w:bidi w:val="0"/>
        <w:adjustRightInd/>
        <w:snapToGrid/>
        <w:spacing w:after="120" w:afterLines="50"/>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9"/>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205F91F9">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758E6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4F7BF9C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2"/>
                <w:szCs w:val="22"/>
                <w:lang w:eastAsia="zh-CN"/>
              </w:rPr>
              <w:t>岳阳市住房和城乡建设局本级</w:t>
            </w:r>
            <w:r>
              <w:rPr>
                <w:rFonts w:hint="eastAsia" w:ascii="仿宋_GB2312" w:hAnsi="仿宋_GB2312" w:eastAsia="仿宋_GB2312" w:cs="仿宋_GB2312"/>
                <w:color w:val="000000"/>
                <w:sz w:val="20"/>
                <w:szCs w:val="20"/>
                <w:highlight w:val="none"/>
              </w:rPr>
              <w:t>　</w:t>
            </w:r>
          </w:p>
        </w:tc>
      </w:tr>
      <w:tr w14:paraId="36592D9F">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63A7456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1CFCFE4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14:paraId="3B84B27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14:paraId="2D163B8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14:paraId="232FF85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14:paraId="706243E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14:paraId="4DF8841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02C655A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14:paraId="4FBC3E1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5215C9B8">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14:paraId="6AB68AA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14:paraId="05A75A0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14:paraId="16880A9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1943.2</w:t>
            </w:r>
          </w:p>
        </w:tc>
        <w:tc>
          <w:tcPr>
            <w:tcW w:w="1311" w:type="dxa"/>
            <w:tcBorders>
              <w:top w:val="nil"/>
              <w:left w:val="nil"/>
              <w:bottom w:val="single" w:color="auto" w:sz="4" w:space="0"/>
              <w:right w:val="single" w:color="auto" w:sz="4" w:space="0"/>
            </w:tcBorders>
            <w:noWrap w:val="0"/>
            <w:vAlign w:val="center"/>
          </w:tcPr>
          <w:p w14:paraId="7ED677B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11141.12</w:t>
            </w:r>
          </w:p>
        </w:tc>
        <w:tc>
          <w:tcPr>
            <w:tcW w:w="1269" w:type="dxa"/>
            <w:tcBorders>
              <w:top w:val="nil"/>
              <w:left w:val="nil"/>
              <w:bottom w:val="single" w:color="auto" w:sz="4" w:space="0"/>
              <w:right w:val="single" w:color="auto" w:sz="4" w:space="0"/>
            </w:tcBorders>
            <w:noWrap w:val="0"/>
            <w:vAlign w:val="center"/>
          </w:tcPr>
          <w:p w14:paraId="16F8041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9545.09</w:t>
            </w:r>
          </w:p>
        </w:tc>
        <w:tc>
          <w:tcPr>
            <w:tcW w:w="716" w:type="dxa"/>
            <w:tcBorders>
              <w:top w:val="nil"/>
              <w:left w:val="nil"/>
              <w:bottom w:val="single" w:color="auto" w:sz="4" w:space="0"/>
              <w:right w:val="single" w:color="auto" w:sz="4" w:space="0"/>
            </w:tcBorders>
            <w:noWrap w:val="0"/>
            <w:vAlign w:val="center"/>
          </w:tcPr>
          <w:p w14:paraId="6689FAC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74291C7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85.67%</w:t>
            </w:r>
          </w:p>
        </w:tc>
        <w:tc>
          <w:tcPr>
            <w:tcW w:w="1446" w:type="dxa"/>
            <w:tcBorders>
              <w:top w:val="nil"/>
              <w:left w:val="nil"/>
              <w:bottom w:val="single" w:color="auto" w:sz="4" w:space="0"/>
              <w:right w:val="single" w:color="auto" w:sz="4" w:space="0"/>
            </w:tcBorders>
            <w:noWrap w:val="0"/>
            <w:vAlign w:val="center"/>
          </w:tcPr>
          <w:p w14:paraId="248E1CC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8.57</w:t>
            </w:r>
          </w:p>
        </w:tc>
      </w:tr>
      <w:tr w14:paraId="0F0BC9B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B84855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75AF905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14:paraId="45539A9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4774D4B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7CEFEE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66A0B5E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7551.8</w:t>
            </w:r>
          </w:p>
        </w:tc>
        <w:tc>
          <w:tcPr>
            <w:tcW w:w="4304" w:type="dxa"/>
            <w:gridSpan w:val="4"/>
            <w:tcBorders>
              <w:top w:val="nil"/>
              <w:left w:val="nil"/>
              <w:bottom w:val="single" w:color="auto" w:sz="4" w:space="0"/>
              <w:right w:val="single" w:color="auto" w:sz="4" w:space="0"/>
            </w:tcBorders>
            <w:noWrap w:val="0"/>
            <w:vAlign w:val="center"/>
          </w:tcPr>
          <w:p w14:paraId="04B8BFC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1978.63</w:t>
            </w:r>
          </w:p>
        </w:tc>
      </w:tr>
      <w:tr w14:paraId="6991F67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91E2FB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5BC15D0B">
            <w:pPr>
              <w:keepNext w:val="0"/>
              <w:keepLines w:val="0"/>
              <w:pageBreakBefore w:val="0"/>
              <w:widowControl w:val="0"/>
              <w:kinsoku/>
              <w:overflowPunct/>
              <w:topLinePunct w:val="0"/>
              <w:autoSpaceDE/>
              <w:autoSpaceDN/>
              <w:bidi w:val="0"/>
              <w:adjustRightInd/>
              <w:snapToGrid/>
              <w:spacing w:line="240" w:lineRule="exact"/>
              <w:ind w:firstLine="800" w:firstLineChars="4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政府性基金拨款：</w:t>
            </w:r>
            <w:r>
              <w:rPr>
                <w:rFonts w:hint="eastAsia" w:ascii="仿宋_GB2312" w:hAnsi="仿宋_GB2312" w:eastAsia="仿宋_GB2312" w:cs="仿宋_GB2312"/>
                <w:color w:val="000000"/>
                <w:sz w:val="20"/>
                <w:szCs w:val="20"/>
                <w:highlight w:val="none"/>
                <w:lang w:val="en-US" w:eastAsia="zh-CN"/>
              </w:rPr>
              <w:t>1890.99</w:t>
            </w:r>
          </w:p>
        </w:tc>
        <w:tc>
          <w:tcPr>
            <w:tcW w:w="4304" w:type="dxa"/>
            <w:gridSpan w:val="4"/>
            <w:tcBorders>
              <w:top w:val="nil"/>
              <w:left w:val="nil"/>
              <w:bottom w:val="single" w:color="auto" w:sz="4" w:space="0"/>
              <w:right w:val="single" w:color="auto" w:sz="4" w:space="0"/>
            </w:tcBorders>
            <w:noWrap w:val="0"/>
            <w:vAlign w:val="center"/>
          </w:tcPr>
          <w:p w14:paraId="02E8B701">
            <w:pPr>
              <w:keepNext w:val="0"/>
              <w:keepLines w:val="0"/>
              <w:pageBreakBefore w:val="0"/>
              <w:widowControl w:val="0"/>
              <w:kinsoku/>
              <w:overflowPunct/>
              <w:topLinePunct w:val="0"/>
              <w:autoSpaceDE/>
              <w:autoSpaceDN/>
              <w:bidi w:val="0"/>
              <w:adjustRightInd/>
              <w:snapToGrid/>
              <w:spacing w:line="240" w:lineRule="exact"/>
              <w:ind w:firstLine="600" w:firstLineChars="3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7566.46</w:t>
            </w:r>
          </w:p>
        </w:tc>
      </w:tr>
      <w:tr w14:paraId="50DD699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FADB0C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6A3675B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纳入专户管理的非税收入拨款：</w:t>
            </w:r>
            <w:r>
              <w:rPr>
                <w:rFonts w:hint="eastAsia" w:ascii="仿宋_GB2312" w:hAnsi="仿宋_GB2312" w:eastAsia="仿宋_GB2312" w:cs="仿宋_GB2312"/>
                <w:color w:val="000000"/>
                <w:sz w:val="20"/>
                <w:szCs w:val="20"/>
                <w:highlight w:val="none"/>
                <w:lang w:val="en-US" w:eastAsia="zh-CN"/>
              </w:rPr>
              <w:t>0</w:t>
            </w:r>
          </w:p>
        </w:tc>
        <w:tc>
          <w:tcPr>
            <w:tcW w:w="4304" w:type="dxa"/>
            <w:gridSpan w:val="4"/>
            <w:tcBorders>
              <w:top w:val="nil"/>
              <w:left w:val="nil"/>
              <w:bottom w:val="single" w:color="auto" w:sz="4" w:space="0"/>
              <w:right w:val="single" w:color="auto" w:sz="4" w:space="0"/>
            </w:tcBorders>
            <w:noWrap w:val="0"/>
            <w:vAlign w:val="center"/>
          </w:tcPr>
          <w:p w14:paraId="5845682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4C01F6A1">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0088DBC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3C03BF9B">
            <w:pPr>
              <w:keepNext w:val="0"/>
              <w:keepLines w:val="0"/>
              <w:pageBreakBefore w:val="0"/>
              <w:widowControl w:val="0"/>
              <w:kinsoku/>
              <w:overflowPunct/>
              <w:topLinePunct w:val="0"/>
              <w:autoSpaceDE/>
              <w:autoSpaceDN/>
              <w:bidi w:val="0"/>
              <w:adjustRightInd/>
              <w:snapToGrid/>
              <w:spacing w:line="240" w:lineRule="exact"/>
              <w:ind w:firstLine="1400" w:firstLineChars="7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102.3</w:t>
            </w:r>
          </w:p>
        </w:tc>
        <w:tc>
          <w:tcPr>
            <w:tcW w:w="4304" w:type="dxa"/>
            <w:gridSpan w:val="4"/>
            <w:tcBorders>
              <w:top w:val="nil"/>
              <w:left w:val="nil"/>
              <w:bottom w:val="single" w:color="auto" w:sz="4" w:space="0"/>
              <w:right w:val="single" w:color="auto" w:sz="4" w:space="0"/>
            </w:tcBorders>
            <w:noWrap w:val="0"/>
            <w:vAlign w:val="center"/>
          </w:tcPr>
          <w:p w14:paraId="270EA49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284EA888">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9699B6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5D8EEE9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288C3E1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7D56E8A">
        <w:tblPrEx>
          <w:tblCellMar>
            <w:top w:w="0" w:type="dxa"/>
            <w:left w:w="108" w:type="dxa"/>
            <w:bottom w:w="0" w:type="dxa"/>
            <w:right w:w="108" w:type="dxa"/>
          </w:tblCellMar>
        </w:tblPrEx>
        <w:trPr>
          <w:trHeight w:val="783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6728E0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14:paraId="6AD401E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lang w:eastAsia="zh-CN"/>
              </w:rPr>
              <w:t>1.全力保障单位正常履职运转；</w:t>
            </w:r>
          </w:p>
          <w:p w14:paraId="5EC4E8C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eastAsia="zh-CN"/>
              </w:rPr>
              <w:t>2.推动城市更新，推进老旧改造，</w:t>
            </w:r>
            <w:r>
              <w:rPr>
                <w:rFonts w:hint="eastAsia" w:ascii="仿宋_GB2312" w:hAnsi="仿宋_GB2312" w:eastAsia="仿宋_GB2312" w:cs="仿宋_GB2312"/>
                <w:color w:val="000000"/>
                <w:sz w:val="24"/>
                <w:szCs w:val="24"/>
                <w:highlight w:val="none"/>
                <w:lang w:val="en-US" w:eastAsia="zh-CN"/>
              </w:rPr>
              <w:t>加大住房保障力度，加速乡镇污水治理；</w:t>
            </w:r>
          </w:p>
          <w:p w14:paraId="1AD6D56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lang w:val="en-US" w:eastAsia="zh-CN"/>
              </w:rPr>
              <w:t>3.稳定产业经济，持续做好保交房，支持企业降本增效；</w:t>
            </w:r>
          </w:p>
          <w:p w14:paraId="7075BF7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eastAsia="zh-CN"/>
              </w:rPr>
              <w:t>4.提升城市品质，</w:t>
            </w:r>
            <w:r>
              <w:rPr>
                <w:rFonts w:hint="eastAsia" w:ascii="仿宋_GB2312" w:hAnsi="仿宋_GB2312" w:eastAsia="仿宋_GB2312" w:cs="仿宋_GB2312"/>
                <w:color w:val="000000"/>
                <w:sz w:val="24"/>
                <w:szCs w:val="24"/>
                <w:highlight w:val="none"/>
                <w:lang w:val="en-US" w:eastAsia="zh-CN"/>
              </w:rPr>
              <w:t>推进海绵城市建设，推动绿色转型，</w:t>
            </w:r>
            <w:r>
              <w:rPr>
                <w:rFonts w:hint="eastAsia" w:ascii="仿宋_GB2312" w:hAnsi="仿宋_GB2312" w:eastAsia="仿宋_GB2312" w:cs="仿宋_GB2312"/>
                <w:color w:val="000000"/>
                <w:sz w:val="24"/>
                <w:szCs w:val="24"/>
                <w:highlight w:val="none"/>
                <w:lang w:eastAsia="zh-CN"/>
              </w:rPr>
              <w:t>加速历史文化名城保护</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lang w:eastAsia="zh-CN"/>
              </w:rPr>
              <w:br w:type="textWrapping"/>
            </w:r>
            <w:r>
              <w:rPr>
                <w:rFonts w:hint="eastAsia" w:ascii="仿宋_GB2312" w:hAnsi="仿宋_GB2312" w:eastAsia="仿宋_GB2312" w:cs="仿宋_GB2312"/>
                <w:color w:val="000000"/>
                <w:sz w:val="24"/>
                <w:szCs w:val="24"/>
                <w:highlight w:val="none"/>
                <w:lang w:val="en-US" w:eastAsia="zh-CN"/>
              </w:rPr>
              <w:t>5.提升质量监督</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压实</w:t>
            </w:r>
            <w:r>
              <w:rPr>
                <w:rFonts w:hint="eastAsia" w:ascii="仿宋_GB2312" w:hAnsi="仿宋_GB2312" w:eastAsia="仿宋_GB2312" w:cs="仿宋_GB2312"/>
                <w:color w:val="000000"/>
                <w:sz w:val="24"/>
                <w:szCs w:val="24"/>
                <w:highlight w:val="none"/>
                <w:lang w:eastAsia="zh-CN"/>
              </w:rPr>
              <w:t>安全监管责任，落实安全生产。</w:t>
            </w:r>
          </w:p>
          <w:p w14:paraId="0283CBE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4304" w:type="dxa"/>
            <w:gridSpan w:val="4"/>
            <w:tcBorders>
              <w:top w:val="single" w:color="auto" w:sz="4" w:space="0"/>
              <w:left w:val="nil"/>
              <w:bottom w:val="single" w:color="auto" w:sz="4" w:space="0"/>
              <w:right w:val="single" w:color="auto" w:sz="4" w:space="0"/>
            </w:tcBorders>
            <w:noWrap w:val="0"/>
            <w:vAlign w:val="center"/>
          </w:tcPr>
          <w:p w14:paraId="0290E7D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1、单位统筹预算资金，强化要素保障，整体运转正常有序，机关运行经费有效节约；</w:t>
            </w:r>
          </w:p>
          <w:p w14:paraId="3886DF6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w:t>
            </w:r>
            <w:r>
              <w:rPr>
                <w:rFonts w:hint="default" w:ascii="仿宋_GB2312" w:hAnsi="仿宋_GB2312" w:eastAsia="仿宋_GB2312" w:cs="仿宋_GB2312"/>
                <w:color w:val="000000"/>
                <w:sz w:val="24"/>
                <w:szCs w:val="24"/>
                <w:highlight w:val="none"/>
                <w:lang w:val="en-US" w:eastAsia="zh-CN"/>
              </w:rPr>
              <w:t>积极争取城市更新、安居工程、农村危房改造等领域资金支持，全年累计争取各类政策性资金5.7亿元，有效保障项目建设。</w:t>
            </w:r>
            <w:r>
              <w:rPr>
                <w:rFonts w:hint="eastAsia" w:ascii="仿宋_GB2312" w:hAnsi="仿宋_GB2312" w:eastAsia="仿宋_GB2312" w:cs="仿宋_GB2312"/>
                <w:color w:val="000000"/>
                <w:sz w:val="24"/>
                <w:szCs w:val="24"/>
                <w:highlight w:val="none"/>
                <w:lang w:val="en-US" w:eastAsia="zh-CN"/>
              </w:rPr>
              <w:t>圆满完成老旧小区改造及保障性住房年初工作目标，人居环境有效改善；</w:t>
            </w:r>
          </w:p>
          <w:p w14:paraId="0273A1D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w:t>
            </w:r>
            <w:r>
              <w:rPr>
                <w:rFonts w:hint="default" w:ascii="仿宋_GB2312" w:hAnsi="仿宋_GB2312" w:eastAsia="仿宋_GB2312" w:cs="仿宋_GB2312"/>
                <w:color w:val="000000"/>
                <w:sz w:val="24"/>
                <w:szCs w:val="24"/>
                <w:highlight w:val="none"/>
                <w:lang w:val="en-US" w:eastAsia="zh-CN"/>
              </w:rPr>
              <w:t>争取房企“白名单”融资59.34亿元稳住投资，27个保交楼项目获专项借款15.93亿元，交付率100%</w:t>
            </w:r>
            <w:r>
              <w:rPr>
                <w:rFonts w:hint="eastAsia" w:ascii="仿宋_GB2312" w:hAnsi="仿宋_GB2312" w:eastAsia="仿宋_GB2312" w:cs="仿宋_GB2312"/>
                <w:color w:val="000000"/>
                <w:sz w:val="24"/>
                <w:szCs w:val="24"/>
                <w:highlight w:val="none"/>
                <w:lang w:val="en-US" w:eastAsia="zh-CN"/>
              </w:rPr>
              <w:t>；</w:t>
            </w:r>
          </w:p>
          <w:p w14:paraId="44BE1E7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w:t>
            </w:r>
            <w:r>
              <w:rPr>
                <w:rFonts w:hint="default" w:ascii="仿宋_GB2312" w:hAnsi="仿宋_GB2312" w:eastAsia="仿宋_GB2312" w:cs="仿宋_GB2312"/>
                <w:color w:val="000000"/>
                <w:sz w:val="24"/>
                <w:szCs w:val="24"/>
                <w:highlight w:val="none"/>
                <w:lang w:val="en-US" w:eastAsia="zh-CN"/>
              </w:rPr>
              <w:t>中心城区污水收集率从“十四五”初期的50.21%提升至73.32%，乡镇污水运行负荷率71.1%，出水水质达一级A标准</w:t>
            </w:r>
            <w:r>
              <w:rPr>
                <w:rFonts w:hint="eastAsia" w:ascii="仿宋_GB2312" w:hAnsi="仿宋_GB2312" w:eastAsia="仿宋_GB2312" w:cs="仿宋_GB2312"/>
                <w:color w:val="000000"/>
                <w:sz w:val="24"/>
                <w:szCs w:val="24"/>
                <w:highlight w:val="none"/>
                <w:lang w:val="en-US" w:eastAsia="zh-CN"/>
              </w:rPr>
              <w:t>。。</w:t>
            </w:r>
            <w:r>
              <w:rPr>
                <w:rFonts w:hint="default" w:ascii="仿宋_GB2312" w:hAnsi="仿宋_GB2312" w:eastAsia="仿宋_GB2312" w:cs="仿宋_GB2312"/>
                <w:color w:val="000000"/>
                <w:sz w:val="24"/>
                <w:szCs w:val="24"/>
                <w:highlight w:val="none"/>
                <w:lang w:val="zh-CN" w:eastAsia="zh-CN"/>
              </w:rPr>
              <w:t>作为全省唯一绿色建造与浅层地热能“双试点”城市，实现新建民用建筑节能标准执行率、绿色建筑竣工面积占比“双100%”</w:t>
            </w:r>
            <w:r>
              <w:rPr>
                <w:rFonts w:hint="eastAsia" w:ascii="仿宋_GB2312" w:hAnsi="仿宋_GB2312" w:eastAsia="仿宋_GB2312" w:cs="仿宋_GB2312"/>
                <w:color w:val="000000"/>
                <w:sz w:val="24"/>
                <w:szCs w:val="24"/>
                <w:highlight w:val="none"/>
                <w:lang w:val="zh-CN" w:eastAsia="zh-CN"/>
              </w:rPr>
              <w:t>。</w:t>
            </w:r>
            <w:r>
              <w:rPr>
                <w:rFonts w:hint="default" w:ascii="仿宋_GB2312" w:hAnsi="仿宋_GB2312" w:eastAsia="仿宋_GB2312" w:cs="仿宋_GB2312"/>
                <w:color w:val="000000"/>
                <w:sz w:val="24"/>
                <w:szCs w:val="24"/>
                <w:highlight w:val="none"/>
                <w:lang w:val="en-US" w:eastAsia="zh-CN"/>
              </w:rPr>
              <w:t>完成20处历史建筑精准修缮，保留18家本土老字号、引进32家特色新业态，打造全时态文旅消费场景。建成全市统一历史建筑档案数据库，归集资料5000余件</w:t>
            </w:r>
            <w:r>
              <w:rPr>
                <w:rFonts w:hint="eastAsia" w:ascii="仿宋_GB2312" w:hAnsi="仿宋_GB2312" w:eastAsia="仿宋_GB2312" w:cs="仿宋_GB2312"/>
                <w:color w:val="000000"/>
                <w:sz w:val="24"/>
                <w:szCs w:val="24"/>
                <w:highlight w:val="none"/>
                <w:lang w:val="en-US" w:eastAsia="zh-CN"/>
              </w:rPr>
              <w:t>；</w:t>
            </w:r>
          </w:p>
          <w:p w14:paraId="023E043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5、筑牢安全生产坚固屏障，建筑工人实名制管理全省领先，</w:t>
            </w:r>
            <w:r>
              <w:rPr>
                <w:rFonts w:hint="default" w:ascii="仿宋_GB2312" w:hAnsi="仿宋_GB2312" w:eastAsia="仿宋_GB2312" w:cs="仿宋_GB2312"/>
                <w:color w:val="000000"/>
                <w:sz w:val="24"/>
                <w:szCs w:val="24"/>
                <w:highlight w:val="none"/>
                <w:lang w:val="en-US" w:eastAsia="zh-CN"/>
              </w:rPr>
              <w:t>全市已安全运行65</w:t>
            </w:r>
            <w:r>
              <w:rPr>
                <w:rFonts w:hint="eastAsia" w:ascii="仿宋_GB2312" w:hAnsi="仿宋_GB2312" w:eastAsia="仿宋_GB2312" w:cs="仿宋_GB2312"/>
                <w:color w:val="000000"/>
                <w:sz w:val="24"/>
                <w:szCs w:val="24"/>
                <w:highlight w:val="none"/>
                <w:lang w:val="en-US" w:eastAsia="zh-CN"/>
              </w:rPr>
              <w:t>6</w:t>
            </w:r>
            <w:r>
              <w:rPr>
                <w:rFonts w:hint="default" w:ascii="仿宋_GB2312" w:hAnsi="仿宋_GB2312" w:eastAsia="仿宋_GB2312" w:cs="仿宋_GB2312"/>
                <w:color w:val="000000"/>
                <w:sz w:val="24"/>
                <w:szCs w:val="24"/>
                <w:highlight w:val="none"/>
                <w:lang w:val="en-US" w:eastAsia="zh-CN"/>
              </w:rPr>
              <w:t>天（中心城区9</w:t>
            </w:r>
            <w:r>
              <w:rPr>
                <w:rFonts w:hint="eastAsia" w:ascii="仿宋_GB2312" w:hAnsi="仿宋_GB2312" w:eastAsia="仿宋_GB2312" w:cs="仿宋_GB2312"/>
                <w:color w:val="000000"/>
                <w:sz w:val="24"/>
                <w:szCs w:val="24"/>
                <w:highlight w:val="none"/>
                <w:lang w:val="en-US" w:eastAsia="zh-CN"/>
              </w:rPr>
              <w:t>60</w:t>
            </w:r>
            <w:r>
              <w:rPr>
                <w:rFonts w:hint="default" w:ascii="仿宋_GB2312" w:hAnsi="仿宋_GB2312" w:eastAsia="仿宋_GB2312" w:cs="仿宋_GB2312"/>
                <w:color w:val="000000"/>
                <w:sz w:val="24"/>
                <w:szCs w:val="24"/>
                <w:highlight w:val="none"/>
                <w:lang w:val="en-US" w:eastAsia="zh-CN"/>
              </w:rPr>
              <w:t>天）</w:t>
            </w:r>
            <w:r>
              <w:rPr>
                <w:rFonts w:hint="eastAsia" w:ascii="仿宋_GB2312" w:hAnsi="仿宋_GB2312" w:eastAsia="仿宋_GB2312" w:cs="仿宋_GB2312"/>
                <w:color w:val="000000"/>
                <w:sz w:val="24"/>
                <w:szCs w:val="24"/>
                <w:highlight w:val="none"/>
                <w:lang w:val="en-US" w:eastAsia="zh-CN"/>
              </w:rPr>
              <w:t>，27个项目斩获省级质量“芙蓉奖”，以本质安全水平提升服务发展大局。</w:t>
            </w:r>
          </w:p>
          <w:p w14:paraId="4DD4D52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36E3D59C">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394F1A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EEE9EF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2C3D28E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F8E832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34802B1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507385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CF52B0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1FE0A7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E431CDE">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E9CDFD4">
            <w:pPr>
              <w:keepNext w:val="0"/>
              <w:keepLines w:val="0"/>
              <w:pageBreakBefore w:val="0"/>
              <w:widowControl w:val="0"/>
              <w:kinsoku/>
              <w:overflowPunct/>
              <w:topLinePunct w:val="0"/>
              <w:autoSpaceDE/>
              <w:autoSpaceDN/>
              <w:bidi w:val="0"/>
              <w:adjustRightInd/>
              <w:snapToGrid/>
              <w:spacing w:line="240" w:lineRule="exac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C18B7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CE0E53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0311FBC">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3281397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5968C7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BC222A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539E95A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p w14:paraId="052E50B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3DD26CE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55AB28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筹集公共租赁住房数量</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8B6D65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≥800套</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CB7372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704套</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E2D56F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B8A6F8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1.76</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CB05F0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指标值以省厅正式下达数</w:t>
            </w:r>
            <w:r>
              <w:rPr>
                <w:rFonts w:hint="eastAsia" w:ascii="仿宋_GB2312" w:hAnsi="仿宋_GB2312" w:eastAsia="仿宋_GB2312" w:cs="仿宋_GB2312"/>
                <w:color w:val="000000"/>
                <w:sz w:val="20"/>
                <w:szCs w:val="20"/>
                <w:highlight w:val="none"/>
                <w:lang w:val="en-US" w:eastAsia="zh-CN"/>
              </w:rPr>
              <w:t>704套为准</w:t>
            </w:r>
          </w:p>
        </w:tc>
      </w:tr>
      <w:tr w14:paraId="2C0FFB3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D5E7D0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C8117F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A40958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5DCAB9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筹集保障性租赁住房数量</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BB0E17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≥1000套</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229C03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2227套</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57BD00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8203A6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9590D5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F374C7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F210C3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9B57D4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048566C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6BED9E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发放租赁补贴</w:t>
            </w:r>
            <w:r>
              <w:rPr>
                <w:rFonts w:hint="eastAsia" w:ascii="仿宋_GB2312" w:hAnsi="仿宋_GB2312" w:eastAsia="仿宋_GB2312" w:cs="仿宋_GB2312"/>
                <w:color w:val="000000"/>
                <w:sz w:val="20"/>
                <w:szCs w:val="20"/>
                <w:highlight w:val="none"/>
                <w:lang w:eastAsia="zh-CN"/>
              </w:rPr>
              <w:t>户数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937B67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≥9000户</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AF73E6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9300户</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A6B16A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CB85A6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BEC65F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249EED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548CF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7909D0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B3130E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A065F0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老旧小区改造实施方案评审数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04E571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≥300个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376441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211个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8E2B54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0EAC84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E4EFAD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2025年城镇老旧小区改造计划实际计划为211个小区</w:t>
            </w:r>
          </w:p>
        </w:tc>
      </w:tr>
      <w:tr w14:paraId="3BD99FD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AF7ADA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DB087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445B64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3158AD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农村危房改造任务数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0F2E17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省厅核准</w:t>
            </w:r>
            <w:r>
              <w:rPr>
                <w:rFonts w:hint="eastAsia" w:ascii="仿宋_GB2312" w:hAnsi="仿宋_GB2312" w:eastAsia="仿宋_GB2312" w:cs="仿宋_GB2312"/>
                <w:color w:val="000000"/>
                <w:sz w:val="20"/>
                <w:szCs w:val="20"/>
                <w:highlight w:val="none"/>
                <w:lang w:eastAsia="zh-CN"/>
              </w:rPr>
              <w:t>数</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EA8800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814户</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C09EB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33CC6B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D3A18F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D1B06F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47046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3FE745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7750C5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F9A7FD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新建乡镇污水管网任务数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22938E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10公里</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1C821E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14.6公里</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EAA57B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6E6CD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86DFEE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超额完成</w:t>
            </w:r>
          </w:p>
        </w:tc>
      </w:tr>
      <w:tr w14:paraId="596BF13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47734E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466DF7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BEFC6D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FE99BD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海绵城市建设项目督导数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7BD355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2E2C57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D4B290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3DBBD7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DCAE45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1C9E6B3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E86E63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DD3F7A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0DC8B85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83253A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黑臭水体整治项目督导数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188DDC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AA9B3F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8390EC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B284C8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69C16A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2E6F822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81C377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76882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BFE195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E68083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城市节约用水宣传周活动次数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A56293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1次</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7CDB5E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1次</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66D628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E8FC70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A9D61D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2D012BC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A33622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0D3084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67BD596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CECB6F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招标项目标后稽查</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3375DE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一年2次</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EC6BA5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一年2次</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045D85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B1C92C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EB85EA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1351EBB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49F3C0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C1D08D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08362DF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48591A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招标文件抽查</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0B2908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一年4次</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D0D003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一年4次</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1C38FC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9A4B79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78C3DC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6A4F4FC9">
        <w:tblPrEx>
          <w:tblCellMar>
            <w:top w:w="0" w:type="dxa"/>
            <w:left w:w="108" w:type="dxa"/>
            <w:bottom w:w="0" w:type="dxa"/>
            <w:right w:w="108" w:type="dxa"/>
          </w:tblCellMar>
        </w:tblPrEx>
        <w:trPr>
          <w:trHeight w:val="57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898362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03D269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C8A44F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2A6432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安全生产事故应急演练</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FFDC70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≥2次</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00669D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3次</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8BE448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32646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281B8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6F9AF98C">
        <w:tblPrEx>
          <w:tblCellMar>
            <w:top w:w="0" w:type="dxa"/>
            <w:left w:w="108" w:type="dxa"/>
            <w:bottom w:w="0" w:type="dxa"/>
            <w:right w:w="108" w:type="dxa"/>
          </w:tblCellMar>
        </w:tblPrEx>
        <w:trPr>
          <w:trHeight w:val="60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26E9B4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672725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D33973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D5FBF7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优质工程项目评审</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085BD9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≥60个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C0BF59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61个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B3ADE1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B57BAC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8C898B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208487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E92865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50BF75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698F300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F682B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年度保交房率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53E5B7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0711C4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98.89%</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1AA81B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CE4196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E234DF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B10FE9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245CC0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DDA8CE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1000B3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7E3750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融资白名单项目协助修复数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64CB76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7FA8CB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DCE555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74BB6C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E7E3BE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02379CA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E840AC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49F1C9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F4ADFD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379430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非物质文化遗产和物质文化遗产保护项目以及其他项目个数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5C0E01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r>
              <w:rPr>
                <w:rFonts w:hint="eastAsia" w:ascii="仿宋_GB2312" w:hAnsi="仿宋_GB2312" w:eastAsia="仿宋_GB2312" w:cs="仿宋_GB2312"/>
                <w:color w:val="000000"/>
                <w:sz w:val="20"/>
                <w:szCs w:val="20"/>
                <w:highlight w:val="none"/>
              </w:rPr>
              <w:t>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5923DC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6CCE83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D402D1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BE42E7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228A1D7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1FAB1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6CD17D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4EF62C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1A0B2F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历史建筑测绘建档率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BF07BE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3B9313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E25C11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4C3BA3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16D396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732319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6562BA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17D558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F03A30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F68E93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星级绿色建筑占比</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CACAE1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C041D4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FC57E4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1458AC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52A60B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784C5D0C">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9B6E22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45B188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ADD8E8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70B02A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装配式建筑面积占比</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0E085E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8AB890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503B95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07224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B7391C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879C481">
        <w:tblPrEx>
          <w:tblCellMar>
            <w:top w:w="0" w:type="dxa"/>
            <w:left w:w="108" w:type="dxa"/>
            <w:bottom w:w="0" w:type="dxa"/>
            <w:right w:w="108" w:type="dxa"/>
          </w:tblCellMar>
        </w:tblPrEx>
        <w:trPr>
          <w:trHeight w:val="56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1BA2D9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697755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3A7271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D77C2E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长沙筑博会次数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864ED3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省厅安排</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7A08BC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0次</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4F9D53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4D0DD8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FEEB69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省厅未组织举办</w:t>
            </w:r>
          </w:p>
        </w:tc>
      </w:tr>
      <w:tr w14:paraId="36BE825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2D19ED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1A8A8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2C107D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19F047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住宅质量潜在缺陷保险试点任务数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06B0CC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≥1件</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914913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1件</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13E025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9DEE09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23925D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1B475E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C7267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D9460E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6AB4146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DD1325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农村危房改造验收率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C24AF0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3FD239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9B3602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15AB35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F17BC4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150AC46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B01982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5FD7E9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5C4D83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9817AA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建设工程质量验收合格率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4A9FC8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49B308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4DBEA6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D8A64E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FFFAE8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9940BE8">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B8E6F0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97655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80BC75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8741FB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消防现场验收专家技术支撑合格率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D15E56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≥95%</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FF1E8C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≥95%</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18FB8F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009332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31EB9C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261ED41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9258B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550F9F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08DD39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E240A7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保交房项目按期交付率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3905F5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CC8B7B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98.89%</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5C5664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D1BAF1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C64B1B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BAF685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3418FC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412E7A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D277BE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962CE1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文物保护单位维修效果</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7F5567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合格</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68500D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合格</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2ABB58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FCE276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8E1F2D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D502DD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4AF2ED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88BC6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98B149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AAC653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建设项目装配率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13CEE6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E6A043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≥50%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081607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D5CE42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43F75A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53CA64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B7C1ED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BF0380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1F8328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53D5C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工程审批事项全程网办率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4CEB81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≥98%</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450735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≥98%</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3FB84F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01864D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6CF28E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71CB636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92E3CF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06BE6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EAE1E9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822BD2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合同和规范性文件合法性审查率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FBAF3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EC8493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1DBD3E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7A35B2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6004D6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76BC37C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B892A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3AAD1F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3723BB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6E1D88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行政复议和行政诉讼应诉答辩及时合法率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F0E31D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C84623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CB4273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315A6F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00FB21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00D6A0A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B3C9C1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4A09F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7B34762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B9D0E1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公共租赁住房计划开工时间</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96A6EC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当年全部开工</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4EEFB4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当年全部开工</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333B36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6E34FA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362FEB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C6129B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79A8F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3909E8E">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671C7F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7C4433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节水宣传周活动完成时间</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D13121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5月份</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30AD12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5月份</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E83E9F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DC82C2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92111A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41D0401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B052BF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97C88F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C1C108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557760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工程建设项目审批时限</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B65577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≤100天</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117203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≤100天</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B4AD00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557BE4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24763F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7F87579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321ECC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98EED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C83589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C4EBB6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保交房项目交房时间</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3211C9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按期交付</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4C8163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按期交付</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F5238B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53C6BF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33123F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5D3524A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D81860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58C7D5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531C1AA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E54B92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全年支出金额</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FB0B9E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2234.85万元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CFA388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lang w:val="en-US" w:eastAsia="zh-CN"/>
              </w:rPr>
              <w:t>9545.09万元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0F63D6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9DCBE5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F09F68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年中追加预算</w:t>
            </w:r>
          </w:p>
        </w:tc>
      </w:tr>
      <w:tr w14:paraId="43C0D74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0B7883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35DF1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36F51C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5895090">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27482B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03FFBC8">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A7C311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7E91BA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C1BE61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23308F3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279222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6053F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E7EFE3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3CA031E">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i w:val="0"/>
                <w:iCs w:val="0"/>
                <w:color w:val="000000"/>
                <w:kern w:val="0"/>
                <w:sz w:val="20"/>
                <w:szCs w:val="20"/>
                <w:highlight w:val="none"/>
                <w:u w:val="none"/>
                <w:lang w:val="en-US" w:eastAsia="zh-CN" w:bidi="ar"/>
              </w:rPr>
              <w:t>生态环境成本指标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B4656C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3A51814">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E831F2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248A51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97EAC2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14:paraId="0DBB2ED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610482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8BA976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2ED0854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p w14:paraId="0C67221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B52C11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5821E3A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221B0BF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306893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雨水资源利用</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452BE1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≥100万吨</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7943B1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≥100万吨</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DBF54D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3AA5E5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F4C05F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15FBBD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9A72F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53AE0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552CD12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7222F08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B5DB24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城镇户籍低保、低收入住房困难户家庭申请公租房的保障率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DB3926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2B49C6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802A10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A7B65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F940DE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3333EF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B11580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1D31BF">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45BB57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CE0D56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工程审批“帮代办”优化服务</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3C44E7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13个县市区全面推行</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DFA310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13个县市区全面推行</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1CC720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93B6DB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7CCBAC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A0D0E6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AB7D79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F98693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993461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78321D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政府购买施工图审查服务</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92F1D5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严格落实</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C81459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严格落实</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263651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1A0A81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F2B4A4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3FD6F6B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AEADE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5F5267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AEE10A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0A39D4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住建领域营商环境</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4B1457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有效优化</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5C69F2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有效优化</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66EAD8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090C7D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A25280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028B610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653367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96212E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71C1DC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E41BCB8">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“交房即交证”改革</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6C10D8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全面推进</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4AB0C5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全面推进</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493D7C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361C27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4AFB77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11C5030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EEA12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3BA08B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74A0EF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FCB4B7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信访事项受理率、办结率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0DB752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7EAE2A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0F9418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004382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17B3BC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0043734C">
        <w:tblPrEx>
          <w:tblCellMar>
            <w:top w:w="0" w:type="dxa"/>
            <w:left w:w="108" w:type="dxa"/>
            <w:bottom w:w="0" w:type="dxa"/>
            <w:right w:w="108" w:type="dxa"/>
          </w:tblCellMar>
        </w:tblPrEx>
        <w:trPr>
          <w:trHeight w:val="6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FFF62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AC85B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441B453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808091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23388F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施工扬尘污染率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B0C714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有效降低</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F91069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有效降低</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6D468E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262B46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60DF48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A60846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6312DF3">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A3494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5EB904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0EF319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乡镇污水处理率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1F8E53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312600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CDE509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489F1E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8EBE82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DC093B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C4D53D">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B6DBB8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CE2C75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51A115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乡镇污水处理设施进水COD浓度</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4D4BF0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≥60Mg/L</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BE474D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95.3</w:t>
            </w:r>
            <w:r>
              <w:rPr>
                <w:rFonts w:hint="eastAsia" w:ascii="仿宋_GB2312" w:hAnsi="仿宋_GB2312" w:eastAsia="仿宋_GB2312" w:cs="仿宋_GB2312"/>
                <w:color w:val="000000"/>
                <w:sz w:val="20"/>
                <w:szCs w:val="20"/>
                <w:highlight w:val="none"/>
              </w:rPr>
              <w:t>Mg/L</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6FCC78F">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6891FA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44D7CD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6C80C88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77163C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41610F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5AEC807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5D6FC9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乡镇污水处理设施运行负荷率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AF5F01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AE9936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73.1%</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00C692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B254C9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594D26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224E738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257728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D4CD62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638694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DEE53C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出水总磷控制数</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B0493C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eastAsia" w:ascii="仿宋_GB2312" w:hAnsi="仿宋_GB2312" w:eastAsia="仿宋_GB2312" w:cs="仿宋_GB2312"/>
                <w:color w:val="000000"/>
                <w:sz w:val="20"/>
                <w:szCs w:val="20"/>
                <w:highlight w:val="none"/>
              </w:rPr>
              <w:t>0.2Mg/L</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A75E48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&lt;</w:t>
            </w:r>
            <w:r>
              <w:rPr>
                <w:rFonts w:hint="eastAsia" w:ascii="仿宋_GB2312" w:hAnsi="仿宋_GB2312" w:eastAsia="仿宋_GB2312" w:cs="仿宋_GB2312"/>
                <w:color w:val="000000"/>
                <w:sz w:val="20"/>
                <w:szCs w:val="20"/>
                <w:highlight w:val="none"/>
              </w:rPr>
              <w:t>0.2Mg/L</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13DFAE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A7E21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5AE0D7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06E5759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70D448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54934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7E78E12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63D293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32处黑臭水体水质取样检测率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FA5755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A76A5E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CF1CA2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93C4DD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9C54EA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60A33CEA">
        <w:tblPrEx>
          <w:tblCellMar>
            <w:top w:w="0" w:type="dxa"/>
            <w:left w:w="108" w:type="dxa"/>
            <w:bottom w:w="0" w:type="dxa"/>
            <w:right w:w="108" w:type="dxa"/>
          </w:tblCellMar>
        </w:tblPrEx>
        <w:trPr>
          <w:trHeight w:val="47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6A2CE2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1BF7658">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EE6D08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7AC309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建筑垃圾</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25A7B2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逐步减少</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9C7ABD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逐步减少</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591F60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4F3B9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DD2304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14:paraId="76BE655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69B08E6">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9C301CA">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29AD0B7">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E972440">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碳排放污染量</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C43F06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逐步降低</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BCA4C31">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逐步降低</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9B7152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E12961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99E3669">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21028A3">
        <w:tblPrEx>
          <w:tblCellMar>
            <w:top w:w="0" w:type="dxa"/>
            <w:left w:w="108" w:type="dxa"/>
            <w:bottom w:w="0" w:type="dxa"/>
            <w:right w:w="108" w:type="dxa"/>
          </w:tblCellMar>
        </w:tblPrEx>
        <w:trPr>
          <w:trHeight w:val="2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B9752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E3596C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3C6E0DC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B0CF7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城市水环境质量</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EC307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持续改善</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5DF03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持续改善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0BD145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542025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795667B">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26686FD">
        <w:tblPrEx>
          <w:tblCellMar>
            <w:top w:w="0" w:type="dxa"/>
            <w:left w:w="108" w:type="dxa"/>
            <w:bottom w:w="0" w:type="dxa"/>
            <w:right w:w="108" w:type="dxa"/>
          </w:tblCellMar>
        </w:tblPrEx>
        <w:trPr>
          <w:trHeight w:val="33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272711">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25DC8D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745C922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C95497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22A4D62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BD2F87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群众满意度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DEFFA9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973996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77EDAC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1CEA773">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5F8A594">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5FF036">
        <w:tblPrEx>
          <w:tblCellMar>
            <w:top w:w="0" w:type="dxa"/>
            <w:left w:w="108" w:type="dxa"/>
            <w:bottom w:w="0" w:type="dxa"/>
            <w:right w:w="108" w:type="dxa"/>
          </w:tblCellMar>
        </w:tblPrEx>
        <w:trPr>
          <w:trHeight w:val="27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BC422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129392">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110AC8C5">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A36A87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企业</w:t>
            </w:r>
            <w:r>
              <w:rPr>
                <w:rFonts w:hint="eastAsia" w:ascii="仿宋_GB2312" w:hAnsi="仿宋_GB2312" w:eastAsia="仿宋_GB2312" w:cs="仿宋_GB2312"/>
                <w:color w:val="000000"/>
                <w:sz w:val="20"/>
                <w:szCs w:val="20"/>
                <w:highlight w:val="none"/>
              </w:rPr>
              <w:t>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63A9DE6">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5248989">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DA7D28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EFB01E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404A9DC">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CBB0418">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auto" w:sz="4" w:space="0"/>
            </w:tcBorders>
            <w:noWrap w:val="0"/>
            <w:vAlign w:val="center"/>
          </w:tcPr>
          <w:p w14:paraId="034DEFEC">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5B207B4">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000551D">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94.73</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58971B0">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EF13AFA">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w:t>
      </w:r>
    </w:p>
    <w:p w14:paraId="2F7106C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63B73AC5">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2A4CB5EE">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D2345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5DEC88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1E280E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日常工作经费　</w:t>
            </w:r>
          </w:p>
        </w:tc>
      </w:tr>
      <w:tr w14:paraId="63416FF8">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64B5F71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5F2FD14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14:paraId="517D33E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4F7263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1B35E742">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55E67F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0DAA570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0105813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4B623A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70582C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66E3F8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5B4746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13AF0C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13EDD4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3A9DD0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24403F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36AAAD3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680AB2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E150C0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6C6ED7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310</w:t>
            </w:r>
          </w:p>
        </w:tc>
        <w:tc>
          <w:tcPr>
            <w:tcW w:w="1134" w:type="dxa"/>
            <w:tcBorders>
              <w:top w:val="nil"/>
              <w:left w:val="nil"/>
              <w:bottom w:val="single" w:color="auto" w:sz="4" w:space="0"/>
              <w:right w:val="single" w:color="auto" w:sz="4" w:space="0"/>
            </w:tcBorders>
            <w:noWrap w:val="0"/>
            <w:vAlign w:val="center"/>
          </w:tcPr>
          <w:p w14:paraId="16C5B2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233.65</w:t>
            </w:r>
          </w:p>
        </w:tc>
        <w:tc>
          <w:tcPr>
            <w:tcW w:w="1134" w:type="dxa"/>
            <w:tcBorders>
              <w:top w:val="nil"/>
              <w:left w:val="nil"/>
              <w:bottom w:val="single" w:color="auto" w:sz="4" w:space="0"/>
              <w:right w:val="single" w:color="auto" w:sz="4" w:space="0"/>
            </w:tcBorders>
            <w:noWrap w:val="0"/>
            <w:vAlign w:val="center"/>
          </w:tcPr>
          <w:p w14:paraId="6F8C83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228.99</w:t>
            </w:r>
          </w:p>
        </w:tc>
        <w:tc>
          <w:tcPr>
            <w:tcW w:w="828" w:type="dxa"/>
            <w:tcBorders>
              <w:top w:val="nil"/>
              <w:left w:val="nil"/>
              <w:bottom w:val="single" w:color="auto" w:sz="4" w:space="0"/>
              <w:right w:val="single" w:color="auto" w:sz="4" w:space="0"/>
            </w:tcBorders>
            <w:noWrap w:val="0"/>
            <w:vAlign w:val="center"/>
          </w:tcPr>
          <w:p w14:paraId="01C407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5D2203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98.01%</w:t>
            </w:r>
          </w:p>
        </w:tc>
        <w:tc>
          <w:tcPr>
            <w:tcW w:w="1418" w:type="dxa"/>
            <w:tcBorders>
              <w:top w:val="nil"/>
              <w:left w:val="nil"/>
              <w:bottom w:val="single" w:color="auto" w:sz="4" w:space="0"/>
              <w:right w:val="single" w:color="auto" w:sz="4" w:space="0"/>
            </w:tcBorders>
            <w:noWrap w:val="0"/>
            <w:vAlign w:val="center"/>
          </w:tcPr>
          <w:p w14:paraId="43C94D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r>
      <w:tr w14:paraId="25214620">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B52E3D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53DD2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670DCD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46B46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224.42</w:t>
            </w:r>
          </w:p>
        </w:tc>
        <w:tc>
          <w:tcPr>
            <w:tcW w:w="1134" w:type="dxa"/>
            <w:tcBorders>
              <w:top w:val="nil"/>
              <w:left w:val="nil"/>
              <w:bottom w:val="single" w:color="auto" w:sz="4" w:space="0"/>
              <w:right w:val="single" w:color="auto" w:sz="4" w:space="0"/>
            </w:tcBorders>
            <w:noWrap w:val="0"/>
            <w:vAlign w:val="center"/>
          </w:tcPr>
          <w:p w14:paraId="0864D2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222.39</w:t>
            </w:r>
          </w:p>
        </w:tc>
        <w:tc>
          <w:tcPr>
            <w:tcW w:w="828" w:type="dxa"/>
            <w:tcBorders>
              <w:top w:val="nil"/>
              <w:left w:val="nil"/>
              <w:bottom w:val="single" w:color="auto" w:sz="4" w:space="0"/>
              <w:right w:val="single" w:color="auto" w:sz="4" w:space="0"/>
            </w:tcBorders>
            <w:noWrap w:val="0"/>
            <w:vAlign w:val="center"/>
          </w:tcPr>
          <w:p w14:paraId="3A3CDE1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364B74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3166A3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DD85AE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B0E02D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0219768">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5718962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413A0E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9.23</w:t>
            </w:r>
          </w:p>
        </w:tc>
        <w:tc>
          <w:tcPr>
            <w:tcW w:w="1134" w:type="dxa"/>
            <w:tcBorders>
              <w:top w:val="nil"/>
              <w:left w:val="nil"/>
              <w:bottom w:val="single" w:color="auto" w:sz="4" w:space="0"/>
              <w:right w:val="single" w:color="auto" w:sz="4" w:space="0"/>
            </w:tcBorders>
            <w:noWrap w:val="0"/>
            <w:vAlign w:val="center"/>
          </w:tcPr>
          <w:p w14:paraId="42085A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6.6</w:t>
            </w:r>
          </w:p>
        </w:tc>
        <w:tc>
          <w:tcPr>
            <w:tcW w:w="828" w:type="dxa"/>
            <w:tcBorders>
              <w:top w:val="nil"/>
              <w:left w:val="nil"/>
              <w:bottom w:val="single" w:color="auto" w:sz="4" w:space="0"/>
              <w:right w:val="single" w:color="auto" w:sz="4" w:space="0"/>
            </w:tcBorders>
            <w:noWrap w:val="0"/>
            <w:vAlign w:val="center"/>
          </w:tcPr>
          <w:p w14:paraId="1C0CA0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0F972A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0721F7E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CB8A70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BC4307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1473FC2">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0E01107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5760D2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78B1D4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B4C01C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03928D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306FB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D7792A3">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157277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092068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746A1F3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762F9A7">
        <w:tblPrEx>
          <w:tblCellMar>
            <w:top w:w="0" w:type="dxa"/>
            <w:left w:w="108" w:type="dxa"/>
            <w:bottom w:w="0" w:type="dxa"/>
            <w:right w:w="108" w:type="dxa"/>
          </w:tblCellMar>
        </w:tblPrEx>
        <w:trPr>
          <w:trHeight w:val="880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25B1DF9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C07B6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1.住房保障工作绩效目标：全市预计2025年度开工建设公共租赁住房数量约800套、筹集保障性租赁住房数量约1000套，发放租赁补贴约9000户。牵头组织完成2025年度岳阳市城镇老旧小区改造实施方案评审。</w:t>
            </w:r>
          </w:p>
          <w:p w14:paraId="22468E9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农村危房改造暨乡镇污水治理工作绩效目标：督促各县市区完成年度计划任务，加强安全质量督管，完成省住建厅交办本年度农村危房改造任务，保障农村低保户、分散供养特困人员、低保边缘户、易致贫返贫户、突发困难户等“六类对象”住房安全，完成乡村振兴战略相关工作；保障全市93座乡镇污水处理设施运行负荷率达到50%以上、进水COD浓度达到60Mg/L以上；完成洞庭湖总磷削减任务中本年度新建乡镇污水管网10公里的任务。</w:t>
            </w:r>
          </w:p>
          <w:p w14:paraId="23C83CC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黑臭水体整治暨海绵城市工作绩效目标：督导30个海绵城市建设项目，开展全市海绵城市系统培训海绵城市建设宣传，邀请2次专家现场指导海绵城市建设；核定更新岳阳市建成区范围，开展建成区范围内黑臭水体排查，邀请专家到现场指导黑臭水体整治，开展黑臭水体整治宣传，开展黑臭水体整治项目水质取样检测；加强城市供水用水管理，开展为期一周的城市节约用水宣传周活动。</w:t>
            </w:r>
          </w:p>
          <w:p w14:paraId="6E61615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建设市场管理工作绩效目标：全面推广《房屋建筑和市政基础设施工程招标文件备案要点》，预计开展2次建设工程招标投标相关政策性文件宣贯、4次全市房屋建筑和市政基础设施工程招标文件抽查、2次全市房屋建筑和市政基础设施工程招标项目标后稽查。预计对全市约60个以上建设项目进行优质工程评审、约60个房屋市政基础设施项目进行质量安全隐患排查，预计开展4次以上执法检查、3次质量安全宣传活动、2次安全生产事故应急演练活动，组织对4个以上质量安全示范项目的观摩活动。及时完成市本级（楼区、经开区、南湖新区）消防验收工作。</w:t>
            </w:r>
          </w:p>
          <w:p w14:paraId="6171E16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房地产市场监管暨历史文化名城管理工作绩效目标：保交房项目按期交付率不低于90%。力争在12月底前“白名单”项目“应贷尽贷”以及保交房按期交付率交付率达到80%以上。按照历史文化名城保护资金管理办法的要求，实施历史文化名城保护项目8个，监督指导名城保护项目实施和资金使用情况。</w:t>
            </w:r>
          </w:p>
          <w:p w14:paraId="1F6991F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6.建筑节能与装配式建筑管理工作绩效目标：完成《湖南省住建领域碳达峰实施方案》任务要求的2025年度绿色建筑标准各项指标任务，及时完成建筑节能专项验收，指导县市区提升建筑节能管理水平，预计结合全国节能宣传周、全国低碳日活动组织1次县市区绿色建筑、装配式生产宣传培训，开展1次示范工地、绿色建材现场推广观摩会，开展“双随机、一公开”项目抽查。完成省厅下达2025年岳阳市装配式建筑目标任务，按月对各县市区装配式建筑项目进行督导并及时登记台账，牵头组织2025年长沙筑博会岳阳展馆布展工作。</w:t>
            </w:r>
          </w:p>
          <w:p w14:paraId="1D280AF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7.工程建设项目审批制度改革暨优化营商环境工作绩效目标：推动审批管理实现“多测合一、多设合一、多审合一、技审分离”，强化“一张图”应用，实行统一报装、交房即交证；认真做好年度营商环境国检、省检测评工作，强化工改业务培训、考察；完成工改工作的省、市媒体宣传报道和政策宣贯；打造“帮代办”服务标杆，实现全程服务零距离、项目进度随时查、企业问题随时报。组织机关各科室、局属各单位根据业务工作实际需要和现行政策编制信息化项目建设需求方案；确保物业系统、网签系统等既有业务系统正常运行。完成12345热线工单、市长信箱、信访系统交办件以及省厅、市委市政府等上级单位交办的信访事项，确保四个“不发生”，做到受理率、办结率、参评率100%，满意率90%以上。完成年度依法行政工作任务,合法性审查、普法教育、行政执法工作上台阶,行政诉讼、行政复议中合法规避行政损失。</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166341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预期目标均按照年初计划和相关要求如期完成。</w:t>
            </w:r>
          </w:p>
        </w:tc>
      </w:tr>
      <w:tr w14:paraId="0D6BBCA2">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B3D67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5444DB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610E14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0902180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9B410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6F26E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6B721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22D33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BF2C0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051FD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717DA1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7F592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B829B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897A1D5">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37199EB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633F7B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35DE2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7E07D8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7404A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15809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28F8EE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筹集公共租赁住房数量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9253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≥800套</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BC905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704套</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81B37E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CA7E36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2.64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F336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指标值以省厅正式下达数</w:t>
            </w:r>
            <w:r>
              <w:rPr>
                <w:rFonts w:hint="eastAsia" w:ascii="仿宋_GB2312" w:hAnsi="仿宋_GB2312" w:eastAsia="仿宋_GB2312" w:cs="仿宋_GB2312"/>
                <w:color w:val="000000"/>
                <w:sz w:val="20"/>
                <w:szCs w:val="20"/>
                <w:highlight w:val="none"/>
                <w:lang w:val="en-US" w:eastAsia="zh-CN"/>
              </w:rPr>
              <w:t>704套为准</w:t>
            </w:r>
          </w:p>
        </w:tc>
      </w:tr>
      <w:tr w14:paraId="56DC0ED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6E7B02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449C9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9862A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AE51F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筹集保障性租赁住房数量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D11B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≥1000套</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12EF7E2">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2227套</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D0A19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368192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AC9FBE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8AEB83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BC34B9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7ADEE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123C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7A60A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发放租赁补贴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40DD7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≥9000户</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097E32A">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9300户</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9E834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C28BD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894664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925F496">
        <w:tblPrEx>
          <w:tblCellMar>
            <w:top w:w="0" w:type="dxa"/>
            <w:left w:w="108" w:type="dxa"/>
            <w:bottom w:w="0" w:type="dxa"/>
            <w:right w:w="108" w:type="dxa"/>
          </w:tblCellMar>
        </w:tblPrEx>
        <w:trPr>
          <w:trHeight w:val="66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BD632A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152CD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C49434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08478F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农村危房改造任务数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28621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省厅核准数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5CF639B">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814户</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641DC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64672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B0965D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B64691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66D5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CA38BB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1087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6D28B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新建乡镇污水管网任务数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B466E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10公里</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CB5677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14.6公里</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5DB76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A2D61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C7E5D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超额完成</w:t>
            </w:r>
          </w:p>
        </w:tc>
      </w:tr>
      <w:tr w14:paraId="2E02530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29AE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8D2F0D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3C8C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02C54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海绵城市建设项目督导数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34E2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30个</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C5F8CB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30个</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8240E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52596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3EC23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986A89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BF00A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1A4957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798361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E48FE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黑臭水体整治项目督导数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FECE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10个</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C316D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10个</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E5524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22531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5170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50E6E8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B396E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CFD18E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4C886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8E16C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招标文件抽查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021FA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r>
              <w:rPr>
                <w:rFonts w:hint="eastAsia" w:ascii="仿宋_GB2312" w:hAnsi="仿宋_GB2312" w:eastAsia="仿宋_GB2312" w:cs="仿宋_GB2312"/>
                <w:color w:val="000000"/>
                <w:sz w:val="20"/>
                <w:szCs w:val="20"/>
                <w:highlight w:val="none"/>
              </w:rPr>
              <w:t>次/年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0763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r>
              <w:rPr>
                <w:rFonts w:hint="eastAsia" w:ascii="仿宋_GB2312" w:hAnsi="仿宋_GB2312" w:eastAsia="仿宋_GB2312" w:cs="仿宋_GB2312"/>
                <w:color w:val="000000"/>
                <w:sz w:val="20"/>
                <w:szCs w:val="20"/>
                <w:highlight w:val="none"/>
              </w:rPr>
              <w:t>次/年</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3CA215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B7483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E20B29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D9B014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16D74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F485EB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02676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37CE2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年度保交房率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4391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C601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98.89%</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BC1E3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15C16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50B37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B606D6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61053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D65095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F46620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FB272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历史建筑测绘建档率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4ED99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42C59A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2E664E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9B509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4A9EF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196B76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7FA5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AB57A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E90A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D63D4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星级绿色建筑占比</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BB75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9E4A13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BA2167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CB82F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782DA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3801C7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510E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7DBEB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B1D8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3C933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装配式建筑面积占比</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A0F74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CF173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≥40%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0266F9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71732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A79AB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5DE091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55CD5D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697751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DEA20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6D5D2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采石场保障人数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10B7B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1人</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24248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1人</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B186F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A311F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1BE015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F954FF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55B3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56F21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558955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0E4F4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建设工程质量验收合格率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1E98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BA3E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262B7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6E648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BB3B9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169007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CC255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81E59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785DA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545A1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消防现场验收专家技术支撑合格率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06722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C6BF7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CADAE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B7EA5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361D5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3B6E7CE">
        <w:tblPrEx>
          <w:tblCellMar>
            <w:top w:w="0" w:type="dxa"/>
            <w:left w:w="108" w:type="dxa"/>
            <w:bottom w:w="0" w:type="dxa"/>
            <w:right w:w="108" w:type="dxa"/>
          </w:tblCellMar>
        </w:tblPrEx>
        <w:trPr>
          <w:trHeight w:val="6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CA249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6DFDC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859C2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4E9D1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文物保护单位维修效果</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8552B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合格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9767B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合格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10100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E63F7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CFEAC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60E49B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D352A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307B41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678CB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4C464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建设项目装配率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53E3F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90752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≥50%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3AF80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B991E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3CC6A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0716AE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A75D3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FDF18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1EB22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B8708C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合同和规范性文件合法性审查率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782F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0399A3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D38E8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185D10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61C0C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C9CDA1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E297BE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E97137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9505D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B7238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公共租赁住房计划开工时间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908B1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当年全部开工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E1284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当年全部开工</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880D82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16EE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C8F6C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4161C03">
        <w:tblPrEx>
          <w:tblCellMar>
            <w:top w:w="0" w:type="dxa"/>
            <w:left w:w="108" w:type="dxa"/>
            <w:bottom w:w="0" w:type="dxa"/>
            <w:right w:w="108" w:type="dxa"/>
          </w:tblCellMar>
        </w:tblPrEx>
        <w:trPr>
          <w:trHeight w:val="75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D0E3D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3C56C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E7BC53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61DB8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财政预算资金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B977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≤366.3万元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EEC4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228.99万元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B2FC09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4387E7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CA60F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A4D9F9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36C42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39273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F6579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6A2F8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F3E86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CF3AC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3E991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BE4BD0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92D32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1C9EFD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732BB0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9481D1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F2DCD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DA369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F465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D93D2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22843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126FA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037FE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8AEBB00">
        <w:tblPrEx>
          <w:tblCellMar>
            <w:top w:w="0" w:type="dxa"/>
            <w:left w:w="108" w:type="dxa"/>
            <w:bottom w:w="0" w:type="dxa"/>
            <w:right w:w="108" w:type="dxa"/>
          </w:tblCellMar>
        </w:tblPrEx>
        <w:trPr>
          <w:trHeight w:val="69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3EE03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14951C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3A5423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6624E2F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42EFEF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53E4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1CBD2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F00DA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雨水资源利用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5D11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≥100万吨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3BB1D1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≥100万吨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C162E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95513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E277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11CDB0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13C70F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A9CCD6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36A47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49B53F1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269334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城镇户籍低保、低收入住房困难户家庭申请公租房的保障率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CE122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6274A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54500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0D32D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C3145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2F1DF8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E3AC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F35F8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7233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303B9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政府购买施工图审查服务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92B5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严格落实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9249C9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严格落实</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EA692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7D5F10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ED285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6D9B8B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A27E4E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D88DFD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C3F21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3A4F2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信访事项受理率、办结率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26BB5B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7BDA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674FE1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CA2CB1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D58FE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0A7E2D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CE587B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990F3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BDA3AF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296780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C40CE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乡镇污水处理设施进水COD浓度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2083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≥60Mg/L</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51F207">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95.3</w:t>
            </w:r>
            <w:r>
              <w:rPr>
                <w:rFonts w:hint="eastAsia" w:ascii="仿宋_GB2312" w:hAnsi="仿宋_GB2312" w:eastAsia="仿宋_GB2312" w:cs="仿宋_GB2312"/>
                <w:color w:val="000000"/>
                <w:sz w:val="20"/>
                <w:szCs w:val="20"/>
                <w:highlight w:val="none"/>
              </w:rPr>
              <w:t>Mg/L</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8414E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3C4DA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7798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C7AE28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B4BCF0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3A2C93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3702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78F62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乡镇污水处理设施运行负荷率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A890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190095">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73.1%</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EBAA7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4DCF4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63181F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31B45A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7A76D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A5E69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684E60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B11B1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出水总磷控制数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E64BF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≤0.2Mg/L</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CB1C8CE">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&lt;</w:t>
            </w:r>
            <w:r>
              <w:rPr>
                <w:rFonts w:hint="eastAsia" w:ascii="仿宋_GB2312" w:hAnsi="仿宋_GB2312" w:eastAsia="仿宋_GB2312" w:cs="仿宋_GB2312"/>
                <w:color w:val="000000"/>
                <w:sz w:val="20"/>
                <w:szCs w:val="20"/>
                <w:highlight w:val="none"/>
              </w:rPr>
              <w:t>0.2Mg/L</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F622B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72F5E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30F01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C4D566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7E1EAC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2AA48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FAEA5D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3CACF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施工扬尘污染</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4360F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有效降低</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F8E0A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有效降低</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3AFD6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5E61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01E19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CB06076">
        <w:tblPrEx>
          <w:tblCellMar>
            <w:top w:w="0" w:type="dxa"/>
            <w:left w:w="108" w:type="dxa"/>
            <w:bottom w:w="0" w:type="dxa"/>
            <w:right w:w="108" w:type="dxa"/>
          </w:tblCellMar>
        </w:tblPrEx>
        <w:trPr>
          <w:trHeight w:val="49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FB2D8A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11E6DC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AD66C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68B94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建筑垃圾</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ED5B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逐步减少</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9355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逐步减少</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07C15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5F626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0FFD5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BADF80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C3C5C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DD45C2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C07728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AF675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碳排放污染量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353E1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逐步降低</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F02F5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逐步降低</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528FB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39094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B5E40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374741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62035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679C9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B1AF58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C26E4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城市水环境质量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A10B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F8B8A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持续改善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B5D0F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9E9DD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B3932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89F895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58F11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B67F2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02D194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03CC62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F8546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393E7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群众满意度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24794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2D6B6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7465B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311121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090EE1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7479E44">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5E9685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383BD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E5229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99.44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9390A4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771E27AC">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224AD4D2">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31C355D4">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w:t>
      </w:r>
    </w:p>
    <w:p w14:paraId="3EB24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5F09FEE5">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0AC47432">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43BD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CE59E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77ABE6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rPr>
              <w:t>施工图审查　</w:t>
            </w:r>
          </w:p>
        </w:tc>
      </w:tr>
      <w:tr w14:paraId="020893A0">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93F40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495CD0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3F59D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030B3D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4A32AA71">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C9A4F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E36583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50A70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04F7C4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C3728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C80A4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76EE6B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1A596B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9215D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9C8736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CBFB3A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2914A6A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D7426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453CF3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69EA1B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9798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238.54</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3667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238.50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607E2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AC44E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99.98%</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7D01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w:t>
            </w:r>
          </w:p>
        </w:tc>
      </w:tr>
      <w:tr w14:paraId="21C363F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D2404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085BFA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EE8B89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3363A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238.50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BFFBD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238.46</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D942DD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ACB9C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9F673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8156AA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B0852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19FC9324">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E8DBF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419CA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0.04</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42D92E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0.04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5DE7B7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4714D0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56B3B2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F8C82F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A5881B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0D4D915">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9260E4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5331F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5C8CC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A21B7F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D6E80F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49EBB6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D6A394">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307A1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285D2E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0467030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35D1CD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E370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5B28322">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1、完成2025年度市本级和岳阳楼区申报项目的施工图审查（含消防设计审查），确保项目顺利推进。</w:t>
            </w:r>
          </w:p>
          <w:p w14:paraId="1480E896">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2、在省施工图信息管理系统通过遴选报价的方式选择施工图审查机构，并通过政府电子卖场签订合同。</w:t>
            </w:r>
          </w:p>
          <w:p w14:paraId="7D9103AC">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3、市财政安排预算经费，按审批流程拨付各项目施工图审查费用。</w:t>
            </w:r>
          </w:p>
          <w:p w14:paraId="58434C7C">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4、按施工图审查时间顺序逐步支付施工图审查费用。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63F56A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均已完成。</w:t>
            </w:r>
          </w:p>
        </w:tc>
      </w:tr>
      <w:tr w14:paraId="1856B79D">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1534A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8D5E1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B7459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62261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287B5E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BEF4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3799F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9B64AA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58C5CF1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5EA5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516D20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F84BC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6A746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467E2B0">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6069936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1F81B8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3ED59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4AA9AD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64FD5B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6C620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92F208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市本级施工图审查任务数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31EF0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以全年实际项目数量为准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51EF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57个</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FB30C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A5F9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05DF56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5B5CCB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6CCC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E56C7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AF5F50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48699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施工图审查率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0D597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E54013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6F8E11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744C1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EFD12B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C01D0A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9CA4A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4AD713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D0EC7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D4A1F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任务完成时间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8E6AA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2025年12月前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297BC7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2025年12月前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43F85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DA70C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D9984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2E6E8F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A497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79384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1DAC1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83385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财政预算资金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41B5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宋体"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BFD04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238.5万元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A245F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256296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E1C55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08A364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23110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23D75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C344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146161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13D80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25BF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0C21D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6570E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CCA47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B1D80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D60C8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DE818A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2C3EE3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01185B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17AB7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FA1A5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FCC83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B8E29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E6C87A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0442D3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70B03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FC470F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69BDFF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1FD01CE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0D8D2F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2D98B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8409F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8F41F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企业成本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45B2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有效降低</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8263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有效降低</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E7C0A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A5C1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24F930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E2A5FF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41F932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56DD19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2533F4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5E0687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819111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推进工程建设领域“放管服”改革，优化营商环境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7079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有效推进</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255DED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有效推进</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29D60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3D0A3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93201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1AA173A">
        <w:tblPrEx>
          <w:tblCellMar>
            <w:top w:w="0" w:type="dxa"/>
            <w:left w:w="108" w:type="dxa"/>
            <w:bottom w:w="0" w:type="dxa"/>
            <w:right w:w="108" w:type="dxa"/>
          </w:tblCellMar>
        </w:tblPrEx>
        <w:trPr>
          <w:trHeight w:val="7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6BB5C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EC705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A53500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6FB23E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66892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促进建筑产业绿色发展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8AED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有效促进</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0DB4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有效促进</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9C95A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8C7F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7E3F76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C7A86C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EF5D6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61BD10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A27E98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FBEC1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施工图审查结果适用时效</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4C45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结果持续适用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D6521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结果持续适用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3B631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00BAD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231DE2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4E00D6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95231F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892CE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3EA785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54290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843678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68839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企业满意度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7C6B2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6556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7397E3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020AE6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441345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7A128E3">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655B8F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47565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10E7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99.99</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C29BB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32F7794">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3C2F5715">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07EB09D4">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黄豪</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2026.6.4</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3-3</w:t>
      </w:r>
    </w:p>
    <w:p w14:paraId="7E7D883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66EDEA29">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30990920">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CA581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8BC85D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527BBC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城市管网及污水处理补助</w:t>
            </w:r>
            <w:r>
              <w:rPr>
                <w:rFonts w:hint="eastAsia" w:ascii="仿宋_GB2312" w:hAnsi="仿宋_GB2312" w:eastAsia="仿宋_GB2312" w:cs="仿宋_GB2312"/>
                <w:color w:val="000000"/>
                <w:sz w:val="20"/>
                <w:szCs w:val="20"/>
                <w:highlight w:val="none"/>
              </w:rPr>
              <w:t>　</w:t>
            </w:r>
          </w:p>
        </w:tc>
      </w:tr>
      <w:tr w14:paraId="71794022">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DACFD4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7A4EA36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BEB8A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1BF271E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岳阳市住房和城乡建设局</w:t>
            </w:r>
          </w:p>
        </w:tc>
      </w:tr>
      <w:tr w14:paraId="1C3ABC23">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82283E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19485B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95DF8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E0167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2C0F8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7F3289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E8FB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27F5CF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6A843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2EDA7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DFF2C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53C37BC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C0994E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AEE72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7EB4F3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567C6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1429.83</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E18B6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504.63</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823E0C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1AEF9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35.29%</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979FFB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3.53</w:t>
            </w:r>
          </w:p>
        </w:tc>
      </w:tr>
      <w:tr w14:paraId="180D779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CADA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13330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CE821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6E179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D03BD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1B789DB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6D0A11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BEE22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EA3761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C7DC21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0EECD32">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F4EE98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3D16B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1429.83</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CE334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504.63</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64A46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08FE3F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F1B8C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BF2A55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0EF1CB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D16F1D7">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92488F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5E67A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3D1A48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2B4806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F2F6D0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B55FF0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DF92D95">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DD9D5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2EE52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7111C41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B73B8E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9F535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1E1CA69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系统化全域推进海绵城市建设理念得到全面、系统落实，法律、制度建设稳步推进，工程建设达到预期进度，城市防洪排涝能力、地下空间利用水平显著提升，城市水安全、水环境、水资源明显改善，群众满意度明显提升。</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61B6EF4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系统化全域推进海绵城市建设理念得到全面、系统落实，法律、制度建设稳步推进，工程建设达到预期进度，城市防洪排涝能力、地下空间利用水平显著提升，城市水安全、水环境、水资源明显改善，群众满意度明显提升。</w:t>
            </w:r>
          </w:p>
        </w:tc>
      </w:tr>
      <w:tr w14:paraId="0312912A">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09A2D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26A422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1B039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01B9F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5DE18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554C1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FB6AA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F4D06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3BC9B8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2D950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66C3AB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F37F66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35375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558E448">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7A46B9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0A83A5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8C877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37AC51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04FD46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173D2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088DB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拟建立的长效机制数量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81876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D082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9EE5C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6335B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E62CC3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94077C3">
        <w:tblPrEx>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F56FD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5D7EE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6BDA54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FAA7E8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内涝积水区段消除比例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3837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792BF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2CDD29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462BBD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E14BB1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31E043D">
        <w:tblPrEx>
          <w:tblCellMar>
            <w:top w:w="0" w:type="dxa"/>
            <w:left w:w="108" w:type="dxa"/>
            <w:bottom w:w="0" w:type="dxa"/>
            <w:right w:w="108" w:type="dxa"/>
          </w:tblCellMar>
        </w:tblPrEx>
        <w:trPr>
          <w:trHeight w:val="64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958ED8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D811AC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336B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69815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内涝防治标准（重现期）</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90E96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0年一遇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DB85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0年一遇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11314E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DFDA2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18472F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707B34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63751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19859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CBFD9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0FF781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内涝防治标准</w:t>
            </w:r>
          </w:p>
          <w:p w14:paraId="3EEF67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（对应降雨量）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624D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224.3</w:t>
            </w:r>
            <w:r>
              <w:rPr>
                <w:rFonts w:hint="eastAsia" w:ascii="仿宋_GB2312" w:hAnsi="仿宋_GB2312" w:eastAsia="仿宋_GB2312" w:cs="仿宋_GB2312"/>
                <w:color w:val="000000"/>
                <w:sz w:val="20"/>
                <w:szCs w:val="20"/>
                <w:highlight w:val="none"/>
              </w:rPr>
              <w:t>毫米／24小时</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7EDB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224.3</w:t>
            </w:r>
            <w:r>
              <w:rPr>
                <w:rFonts w:hint="eastAsia" w:ascii="仿宋_GB2312" w:hAnsi="仿宋_GB2312" w:eastAsia="仿宋_GB2312" w:cs="仿宋_GB2312"/>
                <w:color w:val="000000"/>
                <w:sz w:val="20"/>
                <w:szCs w:val="20"/>
                <w:highlight w:val="none"/>
              </w:rPr>
              <w:t>毫米／24小时</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BE56D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EACF3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565D08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33E0256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F9AC0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F376C4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7D63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238D7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城市防洪标准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C9C60A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0年一遇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10B9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0年一遇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0BDF2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3E66B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52D20A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5642E77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FC9A6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BE3C7B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3673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1385E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黑臭水体消除比例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D78DB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5A4AA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98D17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852FE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6CE6D3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5500D1C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AA9C4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A45D5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E45B1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AC887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地表水体水质达标率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7C35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93.6</w:t>
            </w:r>
            <w:r>
              <w:rPr>
                <w:rFonts w:hint="eastAsia" w:ascii="仿宋_GB2312" w:hAnsi="仿宋_GB2312" w:eastAsia="仿宋_GB2312" w:cs="仿宋_GB2312"/>
                <w:color w:val="000000"/>
                <w:sz w:val="20"/>
                <w:szCs w:val="20"/>
                <w:highlight w:val="none"/>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B2899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BDAC6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FC89B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0FA4C7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03ECEBC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B761EA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54DB7B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F0D1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61BC7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天然水域面积比例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0F7A5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12.7%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457FC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w:t>
            </w:r>
            <w:r>
              <w:rPr>
                <w:rFonts w:hint="eastAsia" w:ascii="仿宋_GB2312" w:hAnsi="仿宋_GB2312" w:eastAsia="仿宋_GB2312" w:cs="仿宋_GB2312"/>
                <w:color w:val="000000"/>
                <w:sz w:val="20"/>
                <w:szCs w:val="20"/>
                <w:highlight w:val="none"/>
                <w:lang w:val="en-US" w:eastAsia="zh-CN"/>
              </w:rPr>
              <w:t>5</w:t>
            </w: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164DE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E4DB9D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6767B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6D3E95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C45F83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B7BC2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0E2C5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33ED0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可透水地面面积比例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6979F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w:t>
            </w: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3E64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rPr>
              <w:t>49.</w:t>
            </w:r>
            <w:r>
              <w:rPr>
                <w:rFonts w:hint="eastAsia" w:ascii="仿宋_GB2312" w:hAnsi="仿宋_GB2312" w:eastAsia="仿宋_GB2312" w:cs="仿宋_GB2312"/>
                <w:color w:val="000000"/>
                <w:sz w:val="20"/>
                <w:szCs w:val="20"/>
                <w:highlight w:val="none"/>
                <w:lang w:val="en-US" w:eastAsia="zh-CN"/>
              </w:rPr>
              <w:t>66</w:t>
            </w:r>
            <w:r>
              <w:rPr>
                <w:rFonts w:hint="eastAsia" w:ascii="仿宋_GB2312" w:hAnsi="仿宋_GB2312" w:eastAsia="仿宋_GB2312" w:cs="仿宋_GB2312"/>
                <w:color w:val="000000"/>
                <w:sz w:val="20"/>
                <w:szCs w:val="20"/>
                <w:highlight w:val="none"/>
                <w:lang w:val="en-US"/>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CFB60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46CED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A5F8A5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0F40380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BEFA2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57E008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A2D9A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3CC6F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资金使用合规性（合规/基本合规/不合规）</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9C64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基本合规</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FE4DC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基本合规</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49CBE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D150C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4BC60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59C81C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44B04D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CF119E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C83CAE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A6FBD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资金下达</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D475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资金下达及时</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64566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资金下达及时</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033F1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82740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1121B4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479BB9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5E88AD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6D53D4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E9CA2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78DD4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成本节约情况</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AD25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不超项目预算</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4311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未超出项目预算</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6D3F9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C67DC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3E6DE3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F5CAB6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3750AA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E60A46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AE1E86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3D3B65D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4742E41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18691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33E113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D3E95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雨水资源化利用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34A900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节省424</w:t>
            </w:r>
            <w:r>
              <w:rPr>
                <w:rFonts w:hint="eastAsia" w:ascii="仿宋_GB2312" w:hAnsi="仿宋_GB2312" w:eastAsia="仿宋_GB2312" w:cs="仿宋_GB2312"/>
                <w:color w:val="000000"/>
                <w:sz w:val="20"/>
                <w:szCs w:val="20"/>
                <w:highlight w:val="none"/>
              </w:rPr>
              <w:t>万吨</w:t>
            </w:r>
            <w:r>
              <w:rPr>
                <w:rFonts w:hint="eastAsia" w:ascii="仿宋_GB2312" w:hAnsi="仿宋_GB2312" w:eastAsia="仿宋_GB2312" w:cs="仿宋_GB2312"/>
                <w:color w:val="000000"/>
                <w:sz w:val="20"/>
                <w:szCs w:val="20"/>
                <w:highlight w:val="none"/>
                <w:lang w:eastAsia="zh-CN"/>
              </w:rPr>
              <w:t>自来水费</w:t>
            </w: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8F6E8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节省</w:t>
            </w:r>
            <w:r>
              <w:rPr>
                <w:rFonts w:hint="eastAsia" w:ascii="仿宋_GB2312" w:hAnsi="仿宋_GB2312" w:eastAsia="仿宋_GB2312" w:cs="仿宋_GB2312"/>
                <w:color w:val="000000"/>
                <w:sz w:val="20"/>
                <w:szCs w:val="20"/>
                <w:highlight w:val="none"/>
              </w:rPr>
              <w:t>超过</w:t>
            </w:r>
            <w:r>
              <w:rPr>
                <w:rFonts w:hint="eastAsia" w:ascii="仿宋_GB2312" w:hAnsi="仿宋_GB2312" w:eastAsia="仿宋_GB2312" w:cs="仿宋_GB2312"/>
                <w:color w:val="000000"/>
                <w:sz w:val="20"/>
                <w:szCs w:val="20"/>
                <w:highlight w:val="none"/>
                <w:lang w:val="en-US" w:eastAsia="zh-CN"/>
              </w:rPr>
              <w:t>424</w:t>
            </w:r>
            <w:r>
              <w:rPr>
                <w:rFonts w:hint="eastAsia" w:ascii="仿宋_GB2312" w:hAnsi="仿宋_GB2312" w:eastAsia="仿宋_GB2312" w:cs="仿宋_GB2312"/>
                <w:color w:val="000000"/>
                <w:sz w:val="20"/>
                <w:szCs w:val="20"/>
                <w:highlight w:val="none"/>
              </w:rPr>
              <w:t>万吨</w:t>
            </w:r>
            <w:r>
              <w:rPr>
                <w:rFonts w:hint="eastAsia" w:ascii="仿宋_GB2312" w:hAnsi="仿宋_GB2312" w:eastAsia="仿宋_GB2312" w:cs="仿宋_GB2312"/>
                <w:color w:val="000000"/>
                <w:sz w:val="20"/>
                <w:szCs w:val="20"/>
                <w:highlight w:val="none"/>
                <w:lang w:eastAsia="zh-CN"/>
              </w:rPr>
              <w:t>自来水费</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5F135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3F71C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941DEB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FDFC3C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F7C55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2081D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60C7B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4ABB05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E5445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海绵城市建设理念是否落实在规划建设管理全过程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6FA0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基本落实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9185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基本落实</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79721B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F7E061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478296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93245A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735C4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953281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A1540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26A4D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工作谋划的整体性系统性（流域区域、城市、社区、设施等各个层面、各层面之间充分衔接，具有系统考虑和安排）</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66CB1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全面落实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D758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全面落实</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2556A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247A8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D52249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B2129A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F8B2C7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64E2D9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340D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04745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新建项目全面落实海绵城市建设理念</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2273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C01CD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301BF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7DCFE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00CD15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37C84A1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B4206E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7D17E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C5C7E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03E196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海绵城市建设与城市更新、防洪排涝设施建设、地下空间建设、老旧小区改造等工作充分结合</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AC695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A136DA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48FA0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F535F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4FED04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79961DF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53D035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530F09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8C7811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6CC4D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项目谋划和实施的系统性整体性</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C5D1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强</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DC29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强</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4EA09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04626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85F251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6491C86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C5B49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F38E3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F41F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7DA40A1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ABAB8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对生态环境改善程度（优、良、中、无改善）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6C55D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46184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59267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4274B1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4E6C46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2DF706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CB1DF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8B58C0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5A575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9E921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项目后续运行的可持续影响情况（优、良、中、无）</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5EA78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7D4F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1EB17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DE61A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D4682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823AFA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C8B4D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284C5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0AC082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8559FE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FE39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B2A50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en-US"/>
              </w:rPr>
              <w:t>人民群众对海绵城市的认知度、参与度、满意度显著提升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B3D081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人民群众对海绵城市的认知度、参与度、满意度显著提升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084A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人民群众对海绵城市的认知度、参与度、满意度显著提升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AA46B1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DE279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811560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E96B6A3">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52F58BF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nil"/>
              <w:bottom w:val="single" w:color="auto" w:sz="4" w:space="0"/>
              <w:right w:val="single" w:color="auto" w:sz="4" w:space="0"/>
            </w:tcBorders>
            <w:noWrap w:val="0"/>
            <w:vAlign w:val="center"/>
          </w:tcPr>
          <w:p w14:paraId="5416C0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nil"/>
              <w:bottom w:val="single" w:color="auto" w:sz="4" w:space="0"/>
              <w:right w:val="single" w:color="auto" w:sz="4" w:space="0"/>
            </w:tcBorders>
            <w:noWrap w:val="0"/>
            <w:vAlign w:val="center"/>
          </w:tcPr>
          <w:p w14:paraId="12CE62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93.53</w:t>
            </w:r>
          </w:p>
        </w:tc>
        <w:tc>
          <w:tcPr>
            <w:tcW w:w="1418" w:type="dxa"/>
            <w:tcBorders>
              <w:top w:val="single" w:color="auto" w:sz="4" w:space="0"/>
              <w:left w:val="nil"/>
              <w:bottom w:val="single" w:color="auto" w:sz="4" w:space="0"/>
              <w:right w:val="single" w:color="auto" w:sz="4" w:space="0"/>
            </w:tcBorders>
            <w:noWrap w:val="0"/>
            <w:vAlign w:val="center"/>
          </w:tcPr>
          <w:p w14:paraId="4CB8BC6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220D85F">
      <w:pPr>
        <w:keepNext w:val="0"/>
        <w:keepLines w:val="0"/>
        <w:pageBreakBefore w:val="0"/>
        <w:widowControl w:val="0"/>
        <w:kinsoku/>
        <w:overflowPunct/>
        <w:topLinePunct w:val="0"/>
        <w:autoSpaceDE/>
        <w:autoSpaceDN/>
        <w:bidi w:val="0"/>
        <w:adjustRightInd/>
        <w:snapToGrid/>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3-4</w:t>
      </w:r>
    </w:p>
    <w:p w14:paraId="131EC4F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551AC517">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52"/>
        <w:gridCol w:w="1052"/>
        <w:gridCol w:w="1039"/>
        <w:gridCol w:w="1181"/>
        <w:gridCol w:w="1265"/>
        <w:gridCol w:w="1216"/>
        <w:gridCol w:w="809"/>
        <w:gridCol w:w="869"/>
        <w:gridCol w:w="1368"/>
      </w:tblGrid>
      <w:tr w14:paraId="519A14E3">
        <w:tblPrEx>
          <w:tblCellMar>
            <w:top w:w="0" w:type="dxa"/>
            <w:left w:w="108" w:type="dxa"/>
            <w:bottom w:w="0" w:type="dxa"/>
            <w:right w:w="108" w:type="dxa"/>
          </w:tblCellMar>
        </w:tblPrEx>
        <w:trPr>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7C2276F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2CBFCA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9" w:type="dxa"/>
            <w:gridSpan w:val="8"/>
            <w:tcBorders>
              <w:top w:val="single" w:color="auto" w:sz="4" w:space="0"/>
              <w:left w:val="nil"/>
              <w:bottom w:val="single" w:color="auto" w:sz="4" w:space="0"/>
              <w:right w:val="single" w:color="auto" w:sz="4" w:space="0"/>
            </w:tcBorders>
            <w:noWrap w:val="0"/>
            <w:vAlign w:val="center"/>
          </w:tcPr>
          <w:p w14:paraId="7296DB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rPr>
              <w:t>四中人行天桥EPC项目</w:t>
            </w:r>
          </w:p>
        </w:tc>
      </w:tr>
      <w:tr w14:paraId="67EEE25A">
        <w:tblPrEx>
          <w:tblCellMar>
            <w:top w:w="0" w:type="dxa"/>
            <w:left w:w="108" w:type="dxa"/>
            <w:bottom w:w="0" w:type="dxa"/>
            <w:right w:w="108" w:type="dxa"/>
          </w:tblCellMar>
        </w:tblPrEx>
        <w:trPr>
          <w:jc w:val="center"/>
        </w:trPr>
        <w:tc>
          <w:tcPr>
            <w:tcW w:w="1052" w:type="dxa"/>
            <w:tcBorders>
              <w:top w:val="nil"/>
              <w:left w:val="single" w:color="auto" w:sz="4" w:space="0"/>
              <w:bottom w:val="single" w:color="auto" w:sz="4" w:space="0"/>
              <w:right w:val="single" w:color="auto" w:sz="4" w:space="0"/>
            </w:tcBorders>
            <w:noWrap w:val="0"/>
            <w:vAlign w:val="center"/>
          </w:tcPr>
          <w:p w14:paraId="276241A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37" w:type="dxa"/>
            <w:gridSpan w:val="4"/>
            <w:tcBorders>
              <w:top w:val="single" w:color="auto" w:sz="4" w:space="0"/>
              <w:left w:val="nil"/>
              <w:bottom w:val="single" w:color="auto" w:sz="4" w:space="0"/>
              <w:right w:val="single" w:color="auto" w:sz="4" w:space="0"/>
            </w:tcBorders>
            <w:noWrap w:val="0"/>
            <w:vAlign w:val="center"/>
          </w:tcPr>
          <w:p w14:paraId="1D7869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216" w:type="dxa"/>
            <w:tcBorders>
              <w:top w:val="single" w:color="auto" w:sz="4" w:space="0"/>
              <w:left w:val="nil"/>
              <w:bottom w:val="single" w:color="auto" w:sz="4" w:space="0"/>
              <w:right w:val="single" w:color="000000" w:sz="4" w:space="0"/>
            </w:tcBorders>
            <w:noWrap w:val="0"/>
            <w:vAlign w:val="center"/>
          </w:tcPr>
          <w:p w14:paraId="49610C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46" w:type="dxa"/>
            <w:gridSpan w:val="3"/>
            <w:tcBorders>
              <w:top w:val="single" w:color="auto" w:sz="4" w:space="0"/>
              <w:left w:val="nil"/>
              <w:bottom w:val="single" w:color="auto" w:sz="4" w:space="0"/>
              <w:right w:val="single" w:color="auto" w:sz="4" w:space="0"/>
            </w:tcBorders>
            <w:noWrap w:val="0"/>
            <w:vAlign w:val="center"/>
          </w:tcPr>
          <w:p w14:paraId="1325551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6E48350F">
        <w:tblPrEx>
          <w:tblCellMar>
            <w:top w:w="0" w:type="dxa"/>
            <w:left w:w="108" w:type="dxa"/>
            <w:bottom w:w="0" w:type="dxa"/>
            <w:right w:w="108" w:type="dxa"/>
          </w:tblCellMar>
        </w:tblPrEx>
        <w:trPr>
          <w:jc w:val="center"/>
        </w:trPr>
        <w:tc>
          <w:tcPr>
            <w:tcW w:w="1052" w:type="dxa"/>
            <w:vMerge w:val="restart"/>
            <w:tcBorders>
              <w:top w:val="nil"/>
              <w:left w:val="single" w:color="auto" w:sz="4" w:space="0"/>
              <w:bottom w:val="single" w:color="000000" w:sz="4" w:space="0"/>
              <w:right w:val="single" w:color="auto" w:sz="4" w:space="0"/>
            </w:tcBorders>
            <w:noWrap w:val="0"/>
            <w:vAlign w:val="center"/>
          </w:tcPr>
          <w:p w14:paraId="25FD853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091" w:type="dxa"/>
            <w:gridSpan w:val="2"/>
            <w:tcBorders>
              <w:top w:val="nil"/>
              <w:left w:val="nil"/>
              <w:bottom w:val="single" w:color="auto" w:sz="4" w:space="0"/>
              <w:right w:val="single" w:color="auto" w:sz="4" w:space="0"/>
            </w:tcBorders>
            <w:noWrap w:val="0"/>
            <w:vAlign w:val="center"/>
          </w:tcPr>
          <w:p w14:paraId="0453433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81" w:type="dxa"/>
            <w:tcBorders>
              <w:top w:val="nil"/>
              <w:left w:val="nil"/>
              <w:bottom w:val="single" w:color="auto" w:sz="4" w:space="0"/>
              <w:right w:val="single" w:color="auto" w:sz="4" w:space="0"/>
            </w:tcBorders>
            <w:noWrap w:val="0"/>
            <w:vAlign w:val="center"/>
          </w:tcPr>
          <w:p w14:paraId="17BBEF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1BB14E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65" w:type="dxa"/>
            <w:tcBorders>
              <w:top w:val="nil"/>
              <w:left w:val="nil"/>
              <w:bottom w:val="single" w:color="auto" w:sz="4" w:space="0"/>
              <w:right w:val="single" w:color="auto" w:sz="4" w:space="0"/>
            </w:tcBorders>
            <w:noWrap w:val="0"/>
            <w:vAlign w:val="center"/>
          </w:tcPr>
          <w:p w14:paraId="5DAD3A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E3F9D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14:paraId="196422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6C4ED6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09" w:type="dxa"/>
            <w:tcBorders>
              <w:top w:val="nil"/>
              <w:left w:val="nil"/>
              <w:bottom w:val="single" w:color="auto" w:sz="4" w:space="0"/>
              <w:right w:val="single" w:color="auto" w:sz="4" w:space="0"/>
            </w:tcBorders>
            <w:noWrap w:val="0"/>
            <w:vAlign w:val="center"/>
          </w:tcPr>
          <w:p w14:paraId="33AF0A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69" w:type="dxa"/>
            <w:tcBorders>
              <w:top w:val="nil"/>
              <w:left w:val="nil"/>
              <w:bottom w:val="single" w:color="auto" w:sz="4" w:space="0"/>
              <w:right w:val="single" w:color="auto" w:sz="4" w:space="0"/>
            </w:tcBorders>
            <w:noWrap w:val="0"/>
            <w:vAlign w:val="center"/>
          </w:tcPr>
          <w:p w14:paraId="2601AD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68" w:type="dxa"/>
            <w:tcBorders>
              <w:top w:val="nil"/>
              <w:left w:val="nil"/>
              <w:bottom w:val="single" w:color="auto" w:sz="4" w:space="0"/>
              <w:right w:val="single" w:color="auto" w:sz="4" w:space="0"/>
            </w:tcBorders>
            <w:noWrap w:val="0"/>
            <w:vAlign w:val="center"/>
          </w:tcPr>
          <w:p w14:paraId="34F908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3EE9525">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14:paraId="53FAF9E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14:paraId="05230E5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181" w:type="dxa"/>
            <w:tcBorders>
              <w:top w:val="nil"/>
              <w:left w:val="nil"/>
              <w:bottom w:val="single" w:color="auto" w:sz="4" w:space="0"/>
              <w:right w:val="single" w:color="auto" w:sz="4" w:space="0"/>
            </w:tcBorders>
            <w:noWrap w:val="0"/>
            <w:vAlign w:val="center"/>
          </w:tcPr>
          <w:p w14:paraId="4B3185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14:paraId="1DB6906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109.94</w:t>
            </w:r>
          </w:p>
        </w:tc>
        <w:tc>
          <w:tcPr>
            <w:tcW w:w="1216" w:type="dxa"/>
            <w:tcBorders>
              <w:top w:val="nil"/>
              <w:left w:val="nil"/>
              <w:bottom w:val="single" w:color="auto" w:sz="4" w:space="0"/>
              <w:right w:val="single" w:color="auto" w:sz="4" w:space="0"/>
            </w:tcBorders>
            <w:noWrap w:val="0"/>
            <w:vAlign w:val="center"/>
          </w:tcPr>
          <w:p w14:paraId="062566D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19.91</w:t>
            </w:r>
          </w:p>
        </w:tc>
        <w:tc>
          <w:tcPr>
            <w:tcW w:w="809" w:type="dxa"/>
            <w:tcBorders>
              <w:top w:val="nil"/>
              <w:left w:val="nil"/>
              <w:bottom w:val="single" w:color="auto" w:sz="4" w:space="0"/>
              <w:right w:val="single" w:color="auto" w:sz="4" w:space="0"/>
            </w:tcBorders>
            <w:noWrap w:val="0"/>
            <w:vAlign w:val="center"/>
          </w:tcPr>
          <w:p w14:paraId="31D7616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69" w:type="dxa"/>
            <w:tcBorders>
              <w:top w:val="nil"/>
              <w:left w:val="nil"/>
              <w:bottom w:val="single" w:color="auto" w:sz="4" w:space="0"/>
              <w:right w:val="single" w:color="auto" w:sz="4" w:space="0"/>
            </w:tcBorders>
            <w:noWrap w:val="0"/>
            <w:vAlign w:val="center"/>
          </w:tcPr>
          <w:p w14:paraId="2445123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18.11%</w:t>
            </w:r>
          </w:p>
        </w:tc>
        <w:tc>
          <w:tcPr>
            <w:tcW w:w="1368" w:type="dxa"/>
            <w:tcBorders>
              <w:top w:val="nil"/>
              <w:left w:val="nil"/>
              <w:bottom w:val="single" w:color="auto" w:sz="4" w:space="0"/>
              <w:right w:val="single" w:color="auto" w:sz="4" w:space="0"/>
            </w:tcBorders>
            <w:noWrap w:val="0"/>
            <w:vAlign w:val="center"/>
          </w:tcPr>
          <w:p w14:paraId="0A2ECA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1.81</w:t>
            </w:r>
          </w:p>
        </w:tc>
      </w:tr>
      <w:tr w14:paraId="23EDB362">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14:paraId="21A441A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14:paraId="4F2603D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181" w:type="dxa"/>
            <w:tcBorders>
              <w:top w:val="nil"/>
              <w:left w:val="nil"/>
              <w:bottom w:val="single" w:color="auto" w:sz="4" w:space="0"/>
              <w:right w:val="single" w:color="auto" w:sz="4" w:space="0"/>
            </w:tcBorders>
            <w:noWrap w:val="0"/>
            <w:vAlign w:val="center"/>
          </w:tcPr>
          <w:p w14:paraId="4725753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14:paraId="127B3C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109.94</w:t>
            </w:r>
          </w:p>
        </w:tc>
        <w:tc>
          <w:tcPr>
            <w:tcW w:w="1216" w:type="dxa"/>
            <w:tcBorders>
              <w:top w:val="nil"/>
              <w:left w:val="nil"/>
              <w:bottom w:val="single" w:color="auto" w:sz="4" w:space="0"/>
              <w:right w:val="single" w:color="auto" w:sz="4" w:space="0"/>
            </w:tcBorders>
            <w:noWrap w:val="0"/>
            <w:vAlign w:val="center"/>
          </w:tcPr>
          <w:p w14:paraId="79CAE0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19.91</w:t>
            </w:r>
          </w:p>
        </w:tc>
        <w:tc>
          <w:tcPr>
            <w:tcW w:w="809" w:type="dxa"/>
            <w:tcBorders>
              <w:top w:val="nil"/>
              <w:left w:val="nil"/>
              <w:bottom w:val="single" w:color="auto" w:sz="4" w:space="0"/>
              <w:right w:val="single" w:color="auto" w:sz="4" w:space="0"/>
            </w:tcBorders>
            <w:noWrap w:val="0"/>
            <w:vAlign w:val="center"/>
          </w:tcPr>
          <w:p w14:paraId="1547109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p>
        </w:tc>
        <w:tc>
          <w:tcPr>
            <w:tcW w:w="869" w:type="dxa"/>
            <w:tcBorders>
              <w:top w:val="nil"/>
              <w:left w:val="nil"/>
              <w:bottom w:val="single" w:color="auto" w:sz="4" w:space="0"/>
              <w:right w:val="single" w:color="auto" w:sz="4" w:space="0"/>
            </w:tcBorders>
            <w:noWrap w:val="0"/>
            <w:vAlign w:val="center"/>
          </w:tcPr>
          <w:p w14:paraId="72C8FEE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368" w:type="dxa"/>
            <w:tcBorders>
              <w:top w:val="nil"/>
              <w:left w:val="nil"/>
              <w:bottom w:val="single" w:color="auto" w:sz="4" w:space="0"/>
              <w:right w:val="single" w:color="auto" w:sz="4" w:space="0"/>
            </w:tcBorders>
            <w:noWrap w:val="0"/>
            <w:vAlign w:val="center"/>
          </w:tcPr>
          <w:p w14:paraId="5CDD08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14:paraId="3F9479DB">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14:paraId="746C0FC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14:paraId="473BFA56">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181" w:type="dxa"/>
            <w:tcBorders>
              <w:top w:val="nil"/>
              <w:left w:val="nil"/>
              <w:bottom w:val="single" w:color="auto" w:sz="4" w:space="0"/>
              <w:right w:val="single" w:color="auto" w:sz="4" w:space="0"/>
            </w:tcBorders>
            <w:noWrap w:val="0"/>
            <w:vAlign w:val="center"/>
          </w:tcPr>
          <w:p w14:paraId="71E89CE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14:paraId="5DC8EEE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14:paraId="6970821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09" w:type="dxa"/>
            <w:tcBorders>
              <w:top w:val="nil"/>
              <w:left w:val="nil"/>
              <w:bottom w:val="single" w:color="auto" w:sz="4" w:space="0"/>
              <w:right w:val="single" w:color="auto" w:sz="4" w:space="0"/>
            </w:tcBorders>
            <w:noWrap w:val="0"/>
            <w:vAlign w:val="center"/>
          </w:tcPr>
          <w:p w14:paraId="4BA9862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9" w:type="dxa"/>
            <w:tcBorders>
              <w:top w:val="nil"/>
              <w:left w:val="nil"/>
              <w:bottom w:val="single" w:color="auto" w:sz="4" w:space="0"/>
              <w:right w:val="single" w:color="auto" w:sz="4" w:space="0"/>
            </w:tcBorders>
            <w:noWrap w:val="0"/>
            <w:vAlign w:val="center"/>
          </w:tcPr>
          <w:p w14:paraId="39FD7F5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68" w:type="dxa"/>
            <w:tcBorders>
              <w:top w:val="nil"/>
              <w:left w:val="nil"/>
              <w:bottom w:val="single" w:color="auto" w:sz="4" w:space="0"/>
              <w:right w:val="single" w:color="auto" w:sz="4" w:space="0"/>
            </w:tcBorders>
            <w:noWrap w:val="0"/>
            <w:vAlign w:val="center"/>
          </w:tcPr>
          <w:p w14:paraId="0830CF9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2D737A0">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14:paraId="401E150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14:paraId="1E400647">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181" w:type="dxa"/>
            <w:tcBorders>
              <w:top w:val="nil"/>
              <w:left w:val="nil"/>
              <w:bottom w:val="single" w:color="auto" w:sz="4" w:space="0"/>
              <w:right w:val="single" w:color="auto" w:sz="4" w:space="0"/>
            </w:tcBorders>
            <w:noWrap w:val="0"/>
            <w:vAlign w:val="center"/>
          </w:tcPr>
          <w:p w14:paraId="2860D4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14:paraId="06BCB6E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14:paraId="77253C5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09" w:type="dxa"/>
            <w:tcBorders>
              <w:top w:val="nil"/>
              <w:left w:val="nil"/>
              <w:bottom w:val="single" w:color="auto" w:sz="4" w:space="0"/>
              <w:right w:val="single" w:color="auto" w:sz="4" w:space="0"/>
            </w:tcBorders>
            <w:noWrap w:val="0"/>
            <w:vAlign w:val="center"/>
          </w:tcPr>
          <w:p w14:paraId="45B2081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9" w:type="dxa"/>
            <w:tcBorders>
              <w:top w:val="nil"/>
              <w:left w:val="nil"/>
              <w:bottom w:val="single" w:color="auto" w:sz="4" w:space="0"/>
              <w:right w:val="single" w:color="auto" w:sz="4" w:space="0"/>
            </w:tcBorders>
            <w:noWrap w:val="0"/>
            <w:vAlign w:val="center"/>
          </w:tcPr>
          <w:p w14:paraId="3211512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68" w:type="dxa"/>
            <w:tcBorders>
              <w:top w:val="nil"/>
              <w:left w:val="nil"/>
              <w:bottom w:val="single" w:color="auto" w:sz="4" w:space="0"/>
              <w:right w:val="single" w:color="auto" w:sz="4" w:space="0"/>
            </w:tcBorders>
            <w:noWrap w:val="0"/>
            <w:vAlign w:val="center"/>
          </w:tcPr>
          <w:p w14:paraId="570A2A7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02805E">
        <w:tblPrEx>
          <w:tblCellMar>
            <w:top w:w="0" w:type="dxa"/>
            <w:left w:w="108" w:type="dxa"/>
            <w:bottom w:w="0" w:type="dxa"/>
            <w:right w:w="108" w:type="dxa"/>
          </w:tblCellMar>
        </w:tblPrEx>
        <w:trPr>
          <w:jc w:val="center"/>
        </w:trPr>
        <w:tc>
          <w:tcPr>
            <w:tcW w:w="1052" w:type="dxa"/>
            <w:vMerge w:val="restart"/>
            <w:tcBorders>
              <w:top w:val="nil"/>
              <w:left w:val="single" w:color="auto" w:sz="4" w:space="0"/>
              <w:bottom w:val="single" w:color="000000" w:sz="4" w:space="0"/>
              <w:right w:val="single" w:color="auto" w:sz="4" w:space="0"/>
            </w:tcBorders>
            <w:noWrap w:val="0"/>
            <w:vAlign w:val="center"/>
          </w:tcPr>
          <w:p w14:paraId="6CC94DB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37" w:type="dxa"/>
            <w:gridSpan w:val="4"/>
            <w:tcBorders>
              <w:top w:val="single" w:color="auto" w:sz="4" w:space="0"/>
              <w:left w:val="single" w:color="auto" w:sz="4" w:space="0"/>
              <w:bottom w:val="single" w:color="auto" w:sz="4" w:space="0"/>
              <w:right w:val="single" w:color="auto" w:sz="4" w:space="0"/>
            </w:tcBorders>
            <w:noWrap w:val="0"/>
            <w:vAlign w:val="center"/>
          </w:tcPr>
          <w:p w14:paraId="6A186E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62" w:type="dxa"/>
            <w:gridSpan w:val="4"/>
            <w:tcBorders>
              <w:top w:val="single" w:color="auto" w:sz="4" w:space="0"/>
              <w:left w:val="single" w:color="auto" w:sz="4" w:space="0"/>
              <w:bottom w:val="single" w:color="auto" w:sz="4" w:space="0"/>
              <w:right w:val="single" w:color="auto" w:sz="4" w:space="0"/>
            </w:tcBorders>
            <w:noWrap w:val="0"/>
            <w:vAlign w:val="center"/>
          </w:tcPr>
          <w:p w14:paraId="792CA05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F785E0A">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14:paraId="14CEBE4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37" w:type="dxa"/>
            <w:gridSpan w:val="4"/>
            <w:tcBorders>
              <w:top w:val="single" w:color="auto" w:sz="4" w:space="0"/>
              <w:left w:val="single" w:color="auto" w:sz="4" w:space="0"/>
              <w:bottom w:val="single" w:color="auto" w:sz="4" w:space="0"/>
              <w:right w:val="single" w:color="auto" w:sz="4" w:space="0"/>
            </w:tcBorders>
            <w:noWrap w:val="0"/>
            <w:vAlign w:val="center"/>
          </w:tcPr>
          <w:p w14:paraId="485C3503">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市四中人行天桥EPC项目完成建设、投入使用　　</w:t>
            </w:r>
          </w:p>
        </w:tc>
        <w:tc>
          <w:tcPr>
            <w:tcW w:w="4262" w:type="dxa"/>
            <w:gridSpan w:val="4"/>
            <w:tcBorders>
              <w:top w:val="single" w:color="auto" w:sz="4" w:space="0"/>
              <w:left w:val="single" w:color="auto" w:sz="4" w:space="0"/>
              <w:bottom w:val="single" w:color="auto" w:sz="4" w:space="0"/>
              <w:right w:val="single" w:color="auto" w:sz="4" w:space="0"/>
            </w:tcBorders>
            <w:noWrap w:val="0"/>
            <w:vAlign w:val="center"/>
          </w:tcPr>
          <w:p w14:paraId="25FD7C1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市四中人行天桥EPC项目</w:t>
            </w:r>
            <w:r>
              <w:rPr>
                <w:rFonts w:hint="eastAsia" w:ascii="仿宋_GB2312" w:hAnsi="仿宋_GB2312" w:eastAsia="仿宋_GB2312" w:cs="仿宋_GB2312"/>
                <w:color w:val="000000"/>
                <w:sz w:val="20"/>
                <w:szCs w:val="20"/>
                <w:highlight w:val="none"/>
                <w:lang w:eastAsia="zh-CN"/>
              </w:rPr>
              <w:t>已</w:t>
            </w:r>
            <w:r>
              <w:rPr>
                <w:rFonts w:hint="eastAsia" w:ascii="仿宋_GB2312" w:hAnsi="仿宋_GB2312" w:eastAsia="仿宋_GB2312" w:cs="仿宋_GB2312"/>
                <w:color w:val="000000"/>
                <w:sz w:val="20"/>
                <w:szCs w:val="20"/>
                <w:highlight w:val="none"/>
              </w:rPr>
              <w:t>完成建设、投入使用</w:t>
            </w:r>
          </w:p>
        </w:tc>
      </w:tr>
      <w:tr w14:paraId="6ACE70C7">
        <w:tblPrEx>
          <w:tblCellMar>
            <w:top w:w="0" w:type="dxa"/>
            <w:left w:w="108" w:type="dxa"/>
            <w:bottom w:w="0" w:type="dxa"/>
            <w:right w:w="108" w:type="dxa"/>
          </w:tblCellMar>
        </w:tblPrEx>
        <w:trPr>
          <w:jc w:val="center"/>
        </w:trPr>
        <w:tc>
          <w:tcPr>
            <w:tcW w:w="1052" w:type="dxa"/>
            <w:vMerge w:val="restart"/>
            <w:tcBorders>
              <w:top w:val="nil"/>
              <w:left w:val="single" w:color="auto" w:sz="4" w:space="0"/>
              <w:right w:val="single" w:color="auto" w:sz="4" w:space="0"/>
            </w:tcBorders>
            <w:noWrap w:val="0"/>
            <w:vAlign w:val="center"/>
          </w:tcPr>
          <w:p w14:paraId="345EDF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119CA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A62286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1A46B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52" w:type="dxa"/>
            <w:tcBorders>
              <w:top w:val="single" w:color="auto" w:sz="4" w:space="0"/>
              <w:left w:val="single" w:color="auto" w:sz="4" w:space="0"/>
              <w:bottom w:val="single" w:color="auto" w:sz="4" w:space="0"/>
              <w:right w:val="single" w:color="auto" w:sz="4" w:space="0"/>
            </w:tcBorders>
            <w:noWrap w:val="0"/>
            <w:vAlign w:val="center"/>
          </w:tcPr>
          <w:p w14:paraId="002053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53CAAB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458134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6C9B77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79066B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99DC7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2138E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200A181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386351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5BDE91DB">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CD97F88">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6CD8A89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restart"/>
            <w:tcBorders>
              <w:top w:val="single" w:color="auto" w:sz="4" w:space="0"/>
              <w:left w:val="single" w:color="auto" w:sz="4" w:space="0"/>
              <w:bottom w:val="single" w:color="auto" w:sz="4" w:space="0"/>
              <w:right w:val="single" w:color="auto" w:sz="4" w:space="0"/>
            </w:tcBorders>
            <w:noWrap w:val="0"/>
            <w:vAlign w:val="center"/>
          </w:tcPr>
          <w:p w14:paraId="73F2EA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55570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829B7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6B72D6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729F92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人行天桥数量</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794527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1座</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62F554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1座</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43D3A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382EF5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089DFCE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75D6B75">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4B39F31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34F3C4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14:paraId="00EE82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2EC374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验收合格率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331CD41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5C0A8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F4C89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302496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AE255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DA0AE74">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4FE9072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4215FD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14:paraId="1F0E51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498293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天桥投入使用时间</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30F886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2025.12.31之前</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715381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2025.12.31之前</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C3E54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2E36EF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192DC1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C1FDB69">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6A75E1A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432FB67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vMerge w:val="restart"/>
            <w:tcBorders>
              <w:top w:val="single" w:color="auto" w:sz="4" w:space="0"/>
              <w:left w:val="single" w:color="auto" w:sz="4" w:space="0"/>
              <w:bottom w:val="single" w:color="auto" w:sz="4" w:space="0"/>
              <w:right w:val="single" w:color="auto" w:sz="4" w:space="0"/>
            </w:tcBorders>
            <w:noWrap w:val="0"/>
            <w:vAlign w:val="center"/>
          </w:tcPr>
          <w:p w14:paraId="17021AE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0A01BF6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本年度支付成本</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22F0A4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宋体"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≤109.94</w:t>
            </w:r>
            <w:r>
              <w:rPr>
                <w:rFonts w:hint="eastAsia" w:ascii="仿宋_GB2312" w:hAnsi="仿宋_GB2312" w:eastAsia="仿宋_GB2312" w:cs="仿宋_GB2312"/>
                <w:color w:val="000000"/>
                <w:sz w:val="20"/>
                <w:szCs w:val="20"/>
                <w:highlight w:val="none"/>
                <w:lang w:eastAsia="zh-CN"/>
              </w:rPr>
              <w:t>万元</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34C36E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19.91万元</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47B8FC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F6265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02D8B1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项目工程款支付手续不完善，导致工程款未能成功支付。</w:t>
            </w:r>
          </w:p>
        </w:tc>
      </w:tr>
      <w:tr w14:paraId="66129737">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0F09BC8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6FCB86F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vMerge w:val="continue"/>
            <w:tcBorders>
              <w:top w:val="single" w:color="auto" w:sz="4" w:space="0"/>
              <w:left w:val="single" w:color="auto" w:sz="4" w:space="0"/>
              <w:bottom w:val="single" w:color="auto" w:sz="4" w:space="0"/>
              <w:right w:val="single" w:color="auto" w:sz="4" w:space="0"/>
            </w:tcBorders>
            <w:noWrap w:val="0"/>
            <w:vAlign w:val="center"/>
          </w:tcPr>
          <w:p w14:paraId="1D8257C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14:paraId="035884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73ADCDD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8711A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04FFFD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970EF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AB897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BEFAB0C">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7FBD36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5274C23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vMerge w:val="continue"/>
            <w:tcBorders>
              <w:top w:val="single" w:color="auto" w:sz="4" w:space="0"/>
              <w:left w:val="single" w:color="auto" w:sz="4" w:space="0"/>
              <w:bottom w:val="single" w:color="auto" w:sz="4" w:space="0"/>
              <w:right w:val="single" w:color="auto" w:sz="4" w:space="0"/>
            </w:tcBorders>
            <w:noWrap w:val="0"/>
            <w:vAlign w:val="center"/>
          </w:tcPr>
          <w:p w14:paraId="6E0B84C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14:paraId="1F4ECA3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398519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6EBD95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225556F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428E35F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2CB12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10B547E">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3E75334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restart"/>
            <w:tcBorders>
              <w:top w:val="single" w:color="auto" w:sz="4" w:space="0"/>
              <w:left w:val="single" w:color="auto" w:sz="4" w:space="0"/>
              <w:bottom w:val="single" w:color="auto" w:sz="4" w:space="0"/>
              <w:right w:val="single" w:color="auto" w:sz="4" w:space="0"/>
            </w:tcBorders>
            <w:noWrap w:val="0"/>
            <w:vAlign w:val="center"/>
          </w:tcPr>
          <w:p w14:paraId="42C808D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73AE8B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0C59CB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92CFCE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53BA2F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8EA35A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69B37B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市民出行费用</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4E4C733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有效节约</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6FAE56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有效节约</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2DF84B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F5347F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3BAF75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3F1871B">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582DD45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5BC1D3C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14:paraId="4B7A8C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6DA099F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07F364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市民交通便利度</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25AF683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有效提升</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AE61D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有效提升</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C9629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8</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BE394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794B6A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1865E01">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574B3F6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208F2DC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14:paraId="162F09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5C96AB6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57EE61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生态效益指标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670126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对生态效益无负面影响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8F1B6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无负面影响</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DBEBC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7395AE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6</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51380A3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816E55C">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2CCEA7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14:paraId="70425F7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14:paraId="7C85BC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3F19B6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天桥使用时间</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2126C60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长期使用</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7012A8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长期使用</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9A01F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75AE26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05A4E3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5C12455">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14:paraId="022A7BC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tcBorders>
              <w:top w:val="single" w:color="auto" w:sz="4" w:space="0"/>
              <w:left w:val="single" w:color="auto" w:sz="4" w:space="0"/>
              <w:bottom w:val="single" w:color="auto" w:sz="4" w:space="0"/>
              <w:right w:val="single" w:color="auto" w:sz="4" w:space="0"/>
            </w:tcBorders>
            <w:noWrap w:val="0"/>
            <w:vAlign w:val="center"/>
          </w:tcPr>
          <w:p w14:paraId="627F212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0F76F7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130E0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518609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699CC2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市民满意度</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293D3F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90%</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247A5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C5B32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9D5AB3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6B36D58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4DD2413">
        <w:tblPrEx>
          <w:tblCellMar>
            <w:top w:w="0" w:type="dxa"/>
            <w:left w:w="108" w:type="dxa"/>
            <w:bottom w:w="0" w:type="dxa"/>
            <w:right w:w="108" w:type="dxa"/>
          </w:tblCellMar>
        </w:tblPrEx>
        <w:trPr>
          <w:jc w:val="center"/>
        </w:trPr>
        <w:tc>
          <w:tcPr>
            <w:tcW w:w="6805" w:type="dxa"/>
            <w:gridSpan w:val="6"/>
            <w:tcBorders>
              <w:top w:val="single" w:color="auto" w:sz="4" w:space="0"/>
              <w:left w:val="single" w:color="auto" w:sz="4" w:space="0"/>
              <w:bottom w:val="single" w:color="auto" w:sz="4" w:space="0"/>
              <w:right w:val="single" w:color="000000" w:sz="4" w:space="0"/>
            </w:tcBorders>
            <w:noWrap w:val="0"/>
            <w:vAlign w:val="center"/>
          </w:tcPr>
          <w:p w14:paraId="257F75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09" w:type="dxa"/>
            <w:tcBorders>
              <w:top w:val="nil"/>
              <w:left w:val="nil"/>
              <w:bottom w:val="single" w:color="auto" w:sz="4" w:space="0"/>
              <w:right w:val="single" w:color="auto" w:sz="4" w:space="0"/>
            </w:tcBorders>
            <w:noWrap w:val="0"/>
            <w:vAlign w:val="center"/>
          </w:tcPr>
          <w:p w14:paraId="7D5649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69" w:type="dxa"/>
            <w:tcBorders>
              <w:top w:val="nil"/>
              <w:left w:val="nil"/>
              <w:bottom w:val="single" w:color="auto" w:sz="4" w:space="0"/>
              <w:right w:val="single" w:color="auto" w:sz="4" w:space="0"/>
            </w:tcBorders>
            <w:noWrap w:val="0"/>
            <w:vAlign w:val="center"/>
          </w:tcPr>
          <w:p w14:paraId="50FA99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91.81</w:t>
            </w:r>
          </w:p>
        </w:tc>
        <w:tc>
          <w:tcPr>
            <w:tcW w:w="1368" w:type="dxa"/>
            <w:tcBorders>
              <w:top w:val="nil"/>
              <w:left w:val="nil"/>
              <w:bottom w:val="single" w:color="auto" w:sz="4" w:space="0"/>
              <w:right w:val="single" w:color="auto" w:sz="4" w:space="0"/>
            </w:tcBorders>
            <w:noWrap w:val="0"/>
            <w:vAlign w:val="center"/>
          </w:tcPr>
          <w:p w14:paraId="1AE5342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EF867FA">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6EC73117">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3-5</w:t>
      </w:r>
    </w:p>
    <w:p w14:paraId="5598EAB4">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549B6A6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096D0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34FA77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613ACB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rPr>
              <w:t>城市更新示范项目前期经费</w:t>
            </w:r>
          </w:p>
        </w:tc>
      </w:tr>
      <w:tr w14:paraId="57F10BB5">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FE01C1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4A5D2B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F0BEC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68C6080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224512BA">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6B32B4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D32AE6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EB88E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082EC7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5E10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088B49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F7DC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467538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AEFC6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B25A7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6B95E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6A3C7F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E09DD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9DB1D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477738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24791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254.68</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D922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247.08</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BE2E3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0D803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97.02%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AF33D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w:t>
            </w:r>
          </w:p>
        </w:tc>
      </w:tr>
      <w:tr w14:paraId="771F6E0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5D65F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128ECE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32368C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988B3D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254.68</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C3F0F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247.08</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534C3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104ADC2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E13F3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14:paraId="41DF71E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BA3DCF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657989D">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5A4FEC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5A5DD5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8C1D6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8BF550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2E933D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55CA57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A1163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BC528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AF12835">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EC4BA5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BB22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1EE060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EB2730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C8CD66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C142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8663D71">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7BF84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19A211B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1D2ADC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BAF7DA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8BEA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699432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根据省住建厅、省财政厅关于城市更新示范建设工作的有关要求和市委市政府工作部署，完成《岳阳市城市更新示范建设工作规划方案》及其5个配套文件的编制和申报送审</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4214A81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编制完成</w:t>
            </w:r>
            <w:r>
              <w:rPr>
                <w:rFonts w:hint="eastAsia" w:ascii="仿宋_GB2312" w:hAnsi="仿宋_GB2312" w:eastAsia="仿宋_GB2312" w:cs="仿宋_GB2312"/>
                <w:color w:val="000000"/>
                <w:sz w:val="20"/>
                <w:szCs w:val="20"/>
                <w:highlight w:val="none"/>
              </w:rPr>
              <w:t>完成《岳阳市城市更新示范建设工作规划方案》及</w:t>
            </w:r>
            <w:r>
              <w:rPr>
                <w:rFonts w:hint="eastAsia" w:ascii="仿宋_GB2312" w:hAnsi="仿宋_GB2312" w:eastAsia="仿宋_GB2312" w:cs="仿宋_GB2312"/>
                <w:color w:val="000000"/>
                <w:sz w:val="20"/>
                <w:szCs w:val="20"/>
                <w:highlight w:val="none"/>
                <w:lang w:eastAsia="zh-CN"/>
              </w:rPr>
              <w:t>相关</w:t>
            </w:r>
            <w:r>
              <w:rPr>
                <w:rFonts w:hint="eastAsia" w:ascii="仿宋_GB2312" w:hAnsi="仿宋_GB2312" w:eastAsia="仿宋_GB2312" w:cs="仿宋_GB2312"/>
                <w:color w:val="000000"/>
                <w:sz w:val="20"/>
                <w:szCs w:val="20"/>
                <w:highlight w:val="none"/>
              </w:rPr>
              <w:t>配套文件</w:t>
            </w:r>
            <w:r>
              <w:rPr>
                <w:rFonts w:hint="eastAsia" w:ascii="仿宋_GB2312" w:hAnsi="仿宋_GB2312" w:eastAsia="仿宋_GB2312" w:cs="仿宋_GB2312"/>
                <w:color w:val="000000"/>
                <w:sz w:val="20"/>
                <w:szCs w:val="20"/>
                <w:highlight w:val="none"/>
                <w:lang w:eastAsia="zh-CN"/>
              </w:rPr>
              <w:t>。</w:t>
            </w:r>
          </w:p>
        </w:tc>
      </w:tr>
      <w:tr w14:paraId="0D4A65BC">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3EBF4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571313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4D07A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541DE2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EDDE9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7AEFD3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0A1C6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7341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5470E6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CD9242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6C252E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11E614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DA1BB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B7916A0">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7AE1F6A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0BD74F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027D4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59FBC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00E61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552D5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0783B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编报数量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251C59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6个</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F2DAE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6个</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CEB50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1E88D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2C5B6F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BA17D9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F9C0F6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A91A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A61B1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08183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省级评审通过率和方案验收合格率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93CF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4581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9DC2D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EB7E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DAA22F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F18B5F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2EC3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3B5A3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4590E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C1725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申报完成时限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E566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2E908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1C42A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9A0EB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3347E3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31094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D63A4E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BDD7D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84D443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097C2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方案编制成本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CFD58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≤254.68万元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7BDE7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247.08万元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54F1F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63CE2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60BF0F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E633B4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EACDD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C639FE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36706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DF315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86C9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0D17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0A5D6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1262B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867DC3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035375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55B4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0A423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9D5F52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31A05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62A0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29B3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D1939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AFA74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038CF7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ABD5FC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79560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BA1074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6C663BF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422ACE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36FB09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5ECCD2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2493EA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8B4C0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推动城市建设提质增效</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472EA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有效推动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C49DE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有效推动城市建设提质增效</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5EBF9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9FAFC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592E34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30B178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9771A7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8F78F4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78D73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4625D7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0BC3F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社会发展更新模式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D149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促进优化发展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5CAFA6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优化建设社会发展更新模式</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71F47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24ABA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37D101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391E2A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CC814D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07D24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028CFB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29CB9C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347F3F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城市生态环境改善状况</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3EC1E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推动绿色发展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39E95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推动城市生态环境绿色发展</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290B7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864B8B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73BE6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0AB504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C1FF9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F27C53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5FC7C5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3903E9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构建城市发展新模式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D27456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推动更新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55D0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推动构建城市发展新模式</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D781E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62FCA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269D12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C2537F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EEAFC7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239B03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6C152B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8C4686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2CC11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7BBEC7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市民满意度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CF14BA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C6F75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E90AC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FD98E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D9E3C7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3417103">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3DC74DF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DEB71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A09C1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99.7</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D4B2A4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168C6F4">
      <w:pPr>
        <w:keepNext w:val="0"/>
        <w:keepLines w:val="0"/>
        <w:pageBreakBefore w:val="0"/>
        <w:widowControl w:val="0"/>
        <w:kinsoku/>
        <w:overflowPunct/>
        <w:topLinePunct w:val="0"/>
        <w:autoSpaceDE/>
        <w:autoSpaceDN/>
        <w:bidi w:val="0"/>
        <w:adjustRightInd/>
        <w:snapToGrid/>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张泰来</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3-6</w:t>
      </w:r>
    </w:p>
    <w:p w14:paraId="2945C84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7D2A2C0C">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6AC667F7">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AE581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2B6477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9A534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b w:val="0"/>
                <w:bCs w:val="0"/>
                <w:color w:val="000000"/>
                <w:sz w:val="20"/>
                <w:szCs w:val="20"/>
                <w:highlight w:val="none"/>
              </w:rPr>
              <w:t>历史文化名城</w:t>
            </w:r>
            <w:r>
              <w:rPr>
                <w:rFonts w:hint="eastAsia" w:ascii="仿宋_GB2312" w:hAnsi="仿宋_GB2312" w:eastAsia="仿宋_GB2312" w:cs="仿宋_GB2312"/>
                <w:b w:val="0"/>
                <w:bCs w:val="0"/>
                <w:color w:val="000000"/>
                <w:sz w:val="20"/>
                <w:szCs w:val="20"/>
                <w:highlight w:val="none"/>
                <w:lang w:eastAsia="zh-CN"/>
              </w:rPr>
              <w:t>专项</w:t>
            </w:r>
          </w:p>
        </w:tc>
      </w:tr>
      <w:tr w14:paraId="39700AD0">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3F99327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193EC1B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14:paraId="6D3924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614F97E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090E0DAC">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EB420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0AA1453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120E6D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B50A8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5223A1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3FAE09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41864C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7807D9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1B65281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7FC45E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7F8E4CB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75C9567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1584EE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1DA9E0F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78404E2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8F958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107.44</w:t>
            </w:r>
          </w:p>
        </w:tc>
        <w:tc>
          <w:tcPr>
            <w:tcW w:w="1134" w:type="dxa"/>
            <w:tcBorders>
              <w:top w:val="nil"/>
              <w:left w:val="nil"/>
              <w:bottom w:val="single" w:color="auto" w:sz="4" w:space="0"/>
              <w:right w:val="single" w:color="auto" w:sz="4" w:space="0"/>
            </w:tcBorders>
            <w:noWrap w:val="0"/>
            <w:vAlign w:val="center"/>
          </w:tcPr>
          <w:p w14:paraId="0C4975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106.77</w:t>
            </w:r>
          </w:p>
        </w:tc>
        <w:tc>
          <w:tcPr>
            <w:tcW w:w="828" w:type="dxa"/>
            <w:tcBorders>
              <w:top w:val="nil"/>
              <w:left w:val="nil"/>
              <w:bottom w:val="single" w:color="auto" w:sz="4" w:space="0"/>
              <w:right w:val="single" w:color="auto" w:sz="4" w:space="0"/>
            </w:tcBorders>
            <w:noWrap w:val="0"/>
            <w:vAlign w:val="center"/>
          </w:tcPr>
          <w:p w14:paraId="25EC8E9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49F1FA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99.38%</w:t>
            </w:r>
          </w:p>
        </w:tc>
        <w:tc>
          <w:tcPr>
            <w:tcW w:w="1418" w:type="dxa"/>
            <w:tcBorders>
              <w:top w:val="nil"/>
              <w:left w:val="nil"/>
              <w:bottom w:val="single" w:color="auto" w:sz="4" w:space="0"/>
              <w:right w:val="single" w:color="auto" w:sz="4" w:space="0"/>
            </w:tcBorders>
            <w:noWrap w:val="0"/>
            <w:vAlign w:val="center"/>
          </w:tcPr>
          <w:p w14:paraId="0F183E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9.94</w:t>
            </w:r>
          </w:p>
        </w:tc>
      </w:tr>
      <w:tr w14:paraId="510BCF1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4A81E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C22273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7DA7332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5E935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77B921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14:paraId="0DDC8B1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4D8EA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37363B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F37249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29B4E8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129C29D">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6F4CFD3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7FD5D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107.44</w:t>
            </w:r>
          </w:p>
        </w:tc>
        <w:tc>
          <w:tcPr>
            <w:tcW w:w="1134" w:type="dxa"/>
            <w:tcBorders>
              <w:top w:val="nil"/>
              <w:left w:val="nil"/>
              <w:bottom w:val="single" w:color="auto" w:sz="4" w:space="0"/>
              <w:right w:val="single" w:color="auto" w:sz="4" w:space="0"/>
            </w:tcBorders>
            <w:noWrap w:val="0"/>
            <w:vAlign w:val="center"/>
          </w:tcPr>
          <w:p w14:paraId="46B2DE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106.77</w:t>
            </w:r>
          </w:p>
        </w:tc>
        <w:tc>
          <w:tcPr>
            <w:tcW w:w="828" w:type="dxa"/>
            <w:tcBorders>
              <w:top w:val="nil"/>
              <w:left w:val="nil"/>
              <w:bottom w:val="single" w:color="auto" w:sz="4" w:space="0"/>
              <w:right w:val="single" w:color="auto" w:sz="4" w:space="0"/>
            </w:tcBorders>
            <w:noWrap w:val="0"/>
            <w:vAlign w:val="center"/>
          </w:tcPr>
          <w:p w14:paraId="152636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873" w:type="dxa"/>
            <w:tcBorders>
              <w:top w:val="nil"/>
              <w:left w:val="nil"/>
              <w:bottom w:val="single" w:color="auto" w:sz="4" w:space="0"/>
              <w:right w:val="single" w:color="auto" w:sz="4" w:space="0"/>
            </w:tcBorders>
            <w:noWrap w:val="0"/>
            <w:vAlign w:val="center"/>
          </w:tcPr>
          <w:p w14:paraId="78BC58B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418" w:type="dxa"/>
            <w:tcBorders>
              <w:top w:val="nil"/>
              <w:left w:val="nil"/>
              <w:bottom w:val="single" w:color="auto" w:sz="4" w:space="0"/>
              <w:right w:val="single" w:color="auto" w:sz="4" w:space="0"/>
            </w:tcBorders>
            <w:noWrap w:val="0"/>
            <w:vAlign w:val="center"/>
          </w:tcPr>
          <w:p w14:paraId="643BE92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14:paraId="38FA0C9C">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F090DC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21D0097">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6E767C2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2AEB5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F71AF2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14B32D5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628AF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6B75707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E052A81">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84A00F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2622DC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1D92AB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0F96EE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5C4F5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1B1530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实施历史文化名城保护项目8个，主要包括历史文化名称保护相关的规划编制、历史建筑和历史街区修缮保护、非物质文化遗产保护、文物保护以及宣传咨询等。　　</w:t>
            </w:r>
          </w:p>
        </w:tc>
        <w:tc>
          <w:tcPr>
            <w:tcW w:w="4253" w:type="dxa"/>
            <w:gridSpan w:val="4"/>
            <w:tcBorders>
              <w:top w:val="single" w:color="auto" w:sz="4" w:space="0"/>
              <w:left w:val="nil"/>
              <w:bottom w:val="single" w:color="auto" w:sz="4" w:space="0"/>
              <w:right w:val="single" w:color="auto" w:sz="4" w:space="0"/>
            </w:tcBorders>
            <w:noWrap w:val="0"/>
            <w:vAlign w:val="center"/>
          </w:tcPr>
          <w:p w14:paraId="3146EAB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实施历史文化名城保护项目8个，</w:t>
            </w:r>
            <w:r>
              <w:rPr>
                <w:rFonts w:hint="eastAsia" w:ascii="仿宋_GB2312" w:hAnsi="仿宋_GB2312" w:eastAsia="仿宋_GB2312" w:cs="仿宋_GB2312"/>
                <w:color w:val="000000"/>
                <w:sz w:val="20"/>
                <w:szCs w:val="20"/>
                <w:highlight w:val="none"/>
                <w:lang w:eastAsia="zh-CN"/>
              </w:rPr>
              <w:t>包括历史建筑和历史街区修缮保护。</w:t>
            </w:r>
          </w:p>
        </w:tc>
      </w:tr>
      <w:tr w14:paraId="633C9BD9">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BB25F0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77E4681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417450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2BC550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A8E941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A4B924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B92F0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9FACA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849804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385D5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4405DE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67DBC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600E1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B28BCF9">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7E01969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55B831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3BA08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33532B1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16501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6C81C2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CFFC10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非物质文化遗产和物质文化遗产保护项目以及其他项目个数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659A96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8个</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67F66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8个</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1141C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DA0C5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9FFE9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6E8D38">
        <w:tblPrEx>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0F4251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8F8A93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DA0C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2674D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历史建筑测绘建档率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BA06A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2540A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62955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B0EC7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DBCB9D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9E2276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5BD912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BBB426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C290E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D26171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历史文化名城保护资金下拨时间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7A77F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2025年年底前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FB97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2025年年底前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2FE1F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1FF9B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0A2F5F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B6806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90669E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33E0B3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2F15F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27BDB0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2025年度历史文化名城保护资金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18C72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≤580万元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DCA05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106.77万元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C2652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A2BCFA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9E7387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507BB8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1BA6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5C182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731F07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58E0D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FA218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46AC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8DC2D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5FA57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0DFB1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B0F06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55E0A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09F47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0B284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66D3FC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C6561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E56E78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621357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EC81D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51AC50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6B149C4">
        <w:tblPrEx>
          <w:tblCellMar>
            <w:top w:w="0" w:type="dxa"/>
            <w:left w:w="108" w:type="dxa"/>
            <w:bottom w:w="0" w:type="dxa"/>
            <w:right w:w="108" w:type="dxa"/>
          </w:tblCellMar>
        </w:tblPrEx>
        <w:trPr>
          <w:trHeight w:val="66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9A2B9F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579B93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5150AA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3FAD5AD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8CACA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781D4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C3699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25BE90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对经济效益无负面影响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9EBD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C9864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276F1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06275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3CD9AD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51A8C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392F9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6B84C5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4EF3C1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39526D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C2DE7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历史文化名城保护意识增强，保护机制更加完善</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DDA46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效果明显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FE48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效果明显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EB2C4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0BF061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3C6F6A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FE6764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3EDCF0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2CFA2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AEE787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6B2928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7C4C1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对生态效益无负面影响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9889D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DBBE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80AD7B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2A359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975A7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9325E0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6B759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276630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9AC3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83B2E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规划引领作用更加凸显，历史街区整治措施更加有力，文化遗产保护更加全面</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AF466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效果明显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D859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效果明显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FC255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A1CDA2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0E2AF9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AB1A0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94F15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3E994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D29887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2F87E3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EBEBA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C21CE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D9DA0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96F6F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D3BAC4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D62F7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028C7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F8BC40B">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6C2ECA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CFDD21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EB803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E09A7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BB5AB79">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0505827F">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1CABB296">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陈兰</w:t>
      </w:r>
      <w:r>
        <w:rPr>
          <w:rFonts w:hint="eastAsia"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3-7</w:t>
      </w:r>
    </w:p>
    <w:p w14:paraId="33F441C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3CB08478">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2A68B348">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8B1A52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BC3CD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4AD8C2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求索西路项目</w:t>
            </w:r>
            <w:r>
              <w:rPr>
                <w:rFonts w:hint="eastAsia" w:ascii="仿宋_GB2312" w:hAnsi="仿宋_GB2312" w:eastAsia="仿宋_GB2312" w:cs="仿宋_GB2312"/>
                <w:color w:val="000000"/>
                <w:sz w:val="20"/>
                <w:szCs w:val="20"/>
                <w:highlight w:val="none"/>
              </w:rPr>
              <w:t>　</w:t>
            </w:r>
          </w:p>
        </w:tc>
      </w:tr>
      <w:tr w14:paraId="3222B506">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C7D328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61F2137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2857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6231A92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747470B6">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5750D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C4A955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42EEE2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286CE65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9AC9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69C8013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1F487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04FA1F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7E943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B163B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CEA0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067577E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A1B380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24FDA8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617AC9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F89AB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1526</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24B323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718BE3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FDB80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99.87%</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7AEEB3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w:t>
            </w:r>
          </w:p>
        </w:tc>
      </w:tr>
      <w:tr w14:paraId="1D44510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C41E73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0AB676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F13363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74437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15B25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35255DA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A5780C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93D8E8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A82B54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96122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114183A3">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4C44D4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D41E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1526</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50004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F896B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69AB93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7483C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19B3E3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DD90AA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D351902">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14731C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DCF5F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AA7D0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25197D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2EE7BB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9A7F2E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DF2D9D">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37071D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6B557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583A50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263C0C0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4A6AF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3CB779B6">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完成求索西路延伸段项目建设，提升城市道路通行效率，方便市民出行。</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5A1C423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求索西路延伸段项目已竣工验收并投入使用。</w:t>
            </w:r>
          </w:p>
        </w:tc>
      </w:tr>
      <w:tr w14:paraId="1C8F5615">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6A8F4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D196E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4103B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41828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BF495E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41E2E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D0A317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300F6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2E77A6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3CAE2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B0BB2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799D30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A1F69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2B21419">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666E1D2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508BF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64F0B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E131D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85074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DDE7C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E2385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道路建设里程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4B855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816米</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2E7A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816米</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B58FD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945BA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E571D4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5A9B67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B3CEBE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2939E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1CE1F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0BC65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37B3286">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DC2D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64B53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41382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84D8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844D89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CA93E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518F8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93FAC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40DBA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道路验收时限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144A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D652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38C00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9454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89DFC9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E6932A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F6E4A7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D1644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9EA38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36A7B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预算执行数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2C1F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≤1600万元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4914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1524万元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0E04D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F6E28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91A447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FB80E6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CDC60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830361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460F66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C13E84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BE41BF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97A484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CD719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CB90D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9106D6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D1B105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33642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6270C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D6943A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6ADC9B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E3179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E7D47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21F31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B6008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E3E7F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E69B9FC">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96C500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A7CBCD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41EB263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18E80D4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2D0656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05B13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31FA0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31138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促进城市经济运行</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2751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有效促进</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46A47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有效促进</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A7B8A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67875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A8C2FC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5C94F5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53F3D2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8D2DD5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0F14F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C86CF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CA133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道路通车率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97F4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81C0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EDADC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AE683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EFE7FB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1E59B1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8AED77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0FEF43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A9F06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1BEB7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BEE45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道路绿化覆盖率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1D85EE0">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22.5%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1C7DB4">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22.5%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64F4F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C506D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84593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B5A77C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5FA26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CD6F59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5FC2A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DBEED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市区交通通达度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1EA1C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95B84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4693D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C1C02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D54F4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8B486F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B8EA4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05C7A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C5DD6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5E1008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44CD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644F6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市民满意度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5F64E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DA181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219E2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19059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9DD160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C0C4794">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397344A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6D720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0739B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99.99</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973724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3EBAA2A7">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407537F5">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54D05BD6">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3-8</w:t>
      </w:r>
    </w:p>
    <w:p w14:paraId="01CB690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60A47424">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367D25B9">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DFE20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796E7A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74CCAA6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住房城乡建设引导专项资金</w:t>
            </w:r>
            <w:r>
              <w:rPr>
                <w:rFonts w:hint="eastAsia" w:ascii="仿宋_GB2312" w:hAnsi="仿宋_GB2312" w:eastAsia="仿宋_GB2312" w:cs="仿宋_GB2312"/>
                <w:color w:val="000000"/>
                <w:sz w:val="20"/>
                <w:szCs w:val="20"/>
                <w:highlight w:val="none"/>
              </w:rPr>
              <w:t>　</w:t>
            </w:r>
          </w:p>
        </w:tc>
      </w:tr>
      <w:tr w14:paraId="3146580E">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57B946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17D054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1C05A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0307D1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7ACBFC36">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AD89C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E8188E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6A74F3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C0109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CF218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1778D3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0A462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6F05F0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809C97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FF1B99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D0AF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01A64DD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C466D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B3F843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40FF5B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4B391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C65D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88.59</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443D2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A1A8A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68.15%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BCE1C7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6.82</w:t>
            </w:r>
          </w:p>
        </w:tc>
      </w:tr>
      <w:tr w14:paraId="540641A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C87AB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C32024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F31C7F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EE8C2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130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18778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88.59</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D35313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5661C9B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B7286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7C4650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838E98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82568F3">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E05193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C776DD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0BC59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8FCBE9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ECE2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CD375E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FE2CF3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C6CF6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05C3B86">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0CD071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762C8F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DF0ABF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00706E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B523C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9B429A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F3087C2">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5A29A1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3F327B5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14105E0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1EB052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68219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4B502D6B">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根据市政府关于《审定省拨住房城乡建设引导专项资金二次分配方案的请示》的批示，统筹用于住建领域专项业务工作。</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277E702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住建协同系统更新如期验收投入使用，推动全年</w:t>
            </w:r>
            <w:r>
              <w:rPr>
                <w:rFonts w:hint="eastAsia" w:ascii="仿宋_GB2312" w:hAnsi="仿宋_GB2312" w:eastAsia="仿宋_GB2312" w:cs="仿宋_GB2312"/>
                <w:color w:val="000000"/>
                <w:sz w:val="20"/>
                <w:szCs w:val="20"/>
                <w:lang w:val="en-US" w:eastAsia="zh-CN"/>
              </w:rPr>
              <w:t>住房保障、农村危房改造、黑臭水体治理、乡镇污水处理设施建设、装配式建筑实施管理等年度工作任务完成。</w:t>
            </w:r>
          </w:p>
        </w:tc>
      </w:tr>
      <w:tr w14:paraId="2F2E205C">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1437E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C06AB9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1E0D42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6892CA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FB0E32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5A453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F4660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F61E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228284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3BC707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46D531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D5FC3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9DBD51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60BC802">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694C877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85700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79DDB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8063A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C0392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2D7115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E80AB5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自然灾害综合风险基础数据库和行业库建设完成率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7618DE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7FB3B0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1A8B7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99A3B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6F1695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38C43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BDCD90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82E6F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920468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8E8458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城镇老旧小区改造实施方案评审通过率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55D25D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4A3EA8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1731A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01A9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D564B9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D9C784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71EAC4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5FE0E5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A3E888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0A35E7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BF8C5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1124B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2025年12月31日内</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170D7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FB4DD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86FE87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54F6AE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A6A39D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987241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4E6FB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E1A600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预算控制金额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3E837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E2EF4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88.59万元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0C3937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4303E1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695FE0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3CCF01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F7637B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E79BB7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29C68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840A90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00DFB5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C89CC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CDA01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A176F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6575CD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C6B829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A0065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2DED4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08B93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D1A6E7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71CAC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8D8EF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289D82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1F9A4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05408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D8D5BD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2B585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0F055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F2783D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145CE8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06400F7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83F87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03517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256E95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经济效益指标不适用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A0143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D5338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0FBB50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187BA8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DDF7DC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39E56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5CCA7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2B955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C2593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303C78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D806A1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住建领域舆情监测及时性</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BD5C2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4E54AB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AF49AE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DE0C3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605734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0FA7B7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74E599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38D18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9BB75E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07CAE28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A3113F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生态效益指标不适用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46C7A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165F6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1F8F7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594B1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4F1266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9109BD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DA3B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EFFC8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D6891B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AC3BBD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城市建成区范围核定</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32D0FA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长期有效</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6CA794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长期有效</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935141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AEADD7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4707B5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6E095E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E0F7B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1AA4C6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7DAA593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C28F57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056050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D4F3E2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服务企业满意率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0FD11C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B16FC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E52EF0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0E7AC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74DCAB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FDE15D5">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030988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8E700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AF6F8A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96.82</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B26F7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8686476">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539A7493">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1A2CBA43">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3-9</w:t>
      </w:r>
    </w:p>
    <w:p w14:paraId="01A9836B">
      <w:pPr>
        <w:pStyle w:val="2"/>
        <w:rPr>
          <w:rFonts w:hint="eastAsia"/>
          <w:lang w:val="en-US" w:eastAsia="zh-CN"/>
        </w:rPr>
      </w:pPr>
    </w:p>
    <w:p w14:paraId="1DDE1D07">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1449"/>
        <w:gridCol w:w="842"/>
      </w:tblGrid>
      <w:tr w14:paraId="4BCC8728">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4FFC4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70DA43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4E521C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城建维护经费</w:t>
            </w:r>
          </w:p>
        </w:tc>
      </w:tr>
      <w:tr w14:paraId="1761538E">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6651510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39C2AE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14:paraId="201D4F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5FAB4AF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5292862C">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131DD5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17FC1B6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685DE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BED79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680BB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566D4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FECA6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2DC526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AB567D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42DB203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7DE606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229208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EBC409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5AABCB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C1FFCD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56CC0A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E52A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3D3EA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46C4A6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1BDFD5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4AD7531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E2EF96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7C1CCA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D0B4FB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A46B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9989A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77FC1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49" w:type="dxa"/>
            <w:tcBorders>
              <w:top w:val="single" w:color="auto" w:sz="4" w:space="0"/>
              <w:left w:val="single" w:color="auto" w:sz="4" w:space="0"/>
              <w:bottom w:val="single" w:color="auto" w:sz="4" w:space="0"/>
              <w:right w:val="single" w:color="auto" w:sz="4" w:space="0"/>
            </w:tcBorders>
            <w:noWrap w:val="0"/>
            <w:vAlign w:val="center"/>
          </w:tcPr>
          <w:p w14:paraId="661850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47E1372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C46E8C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870509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E4F89CD">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582011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CA199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0D03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1FDC023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49" w:type="dxa"/>
            <w:tcBorders>
              <w:top w:val="single" w:color="auto" w:sz="4" w:space="0"/>
              <w:left w:val="single" w:color="auto" w:sz="4" w:space="0"/>
              <w:bottom w:val="single" w:color="auto" w:sz="4" w:space="0"/>
              <w:right w:val="single" w:color="auto" w:sz="4" w:space="0"/>
            </w:tcBorders>
            <w:noWrap w:val="0"/>
            <w:vAlign w:val="center"/>
          </w:tcPr>
          <w:p w14:paraId="0F561A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376F75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986DD2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3DDC44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6527A3B">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F7BC33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17EA4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3AE87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5DCC50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270C30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3B9F262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E869645">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5D68A1F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7C7EABD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3CCBD3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5B97F00">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65628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63CE44B5">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土桥桃花山旧改项目山体明塌加固工程功坡支护（应急工程）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36D2E30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已完成</w:t>
            </w:r>
            <w:r>
              <w:rPr>
                <w:rFonts w:hint="eastAsia" w:ascii="仿宋_GB2312" w:hAnsi="仿宋_GB2312" w:eastAsia="仿宋_GB2312" w:cs="仿宋_GB2312"/>
                <w:color w:val="000000"/>
                <w:sz w:val="20"/>
                <w:szCs w:val="20"/>
                <w:highlight w:val="none"/>
              </w:rPr>
              <w:t>土桥桃花山旧改项目山体明塌加固工程功坡支护应急工程</w:t>
            </w:r>
            <w:r>
              <w:rPr>
                <w:rFonts w:hint="eastAsia" w:ascii="仿宋_GB2312" w:hAnsi="仿宋_GB2312" w:eastAsia="仿宋_GB2312" w:cs="仿宋_GB2312"/>
                <w:color w:val="000000"/>
                <w:sz w:val="20"/>
                <w:szCs w:val="20"/>
                <w:highlight w:val="none"/>
                <w:lang w:eastAsia="zh-CN"/>
              </w:rPr>
              <w:t>。</w:t>
            </w:r>
          </w:p>
        </w:tc>
      </w:tr>
      <w:tr w14:paraId="76F49B60">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2EE9E0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13DA4B6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51B41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7EAD4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BAFE8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12AB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C9084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8A954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0DF8E94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576B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74E759D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93949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66F3C49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48520D90">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20593B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8F7163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8CA1E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5D286D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565E3C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1AA09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77CC2F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边坡支护段长度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65BE7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51米</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F8997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51米</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70F9A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1B5033C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60672A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C3EFA4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9E79AF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D9995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35AFB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436E1F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0C8050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40A32D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B56C5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243D81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4D7BD6D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EF991C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FF4430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D93E7A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21ADC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4A86D3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任务完成时间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F141D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1387D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E1021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03E29F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29D95FB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1A7317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A8C4C8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2A5D58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B61144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6C292F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预算内金额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EE410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F6B643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A9C9B5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030838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014D59F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14BD9F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EFF0E5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E95E6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B6363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36BA07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69B08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6CD64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DA0E7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41DA3E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562C5B2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680271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06DDA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A24F3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99009B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47A0C2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975A0E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CCFFB6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6DAD2C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37B8A4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18936C0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6FFFF2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AFD516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A5D22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163CDE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34EC5D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735AB9C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F7CA80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9A115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2425B9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对经济效益影响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9B5946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93315C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A8788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1903AA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223698B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3C3E8F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0F5841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9F13BA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2BE14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193FD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3F8842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居民出行安全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8806E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0A84D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1C4ED7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6874948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50B2A59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98AE96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26E5D1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E6319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DB886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000B18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D7D7D7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对生态效益影响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12A873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F52C5C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290269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4D6780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11361B6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A01FF6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D6F03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9B04D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D4B90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02B387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保持居民出行安全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8282E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长期有效</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D5684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长期有效</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EDD269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242F85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74A0F70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150515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5A3262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C978B5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3811A84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CC6B33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764207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A1B470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附近居民满意度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DB038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8935A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9EC371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14:paraId="53B31B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2B09FA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BAD5D9E">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045B5E5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0B5406B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449" w:type="dxa"/>
            <w:tcBorders>
              <w:top w:val="nil"/>
              <w:left w:val="nil"/>
              <w:bottom w:val="single" w:color="auto" w:sz="4" w:space="0"/>
              <w:right w:val="single" w:color="auto" w:sz="4" w:space="0"/>
            </w:tcBorders>
            <w:noWrap w:val="0"/>
            <w:vAlign w:val="center"/>
          </w:tcPr>
          <w:p w14:paraId="76A4CE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42" w:type="dxa"/>
            <w:tcBorders>
              <w:top w:val="nil"/>
              <w:left w:val="nil"/>
              <w:bottom w:val="single" w:color="auto" w:sz="4" w:space="0"/>
              <w:right w:val="single" w:color="auto" w:sz="4" w:space="0"/>
            </w:tcBorders>
            <w:noWrap w:val="0"/>
            <w:vAlign w:val="center"/>
          </w:tcPr>
          <w:p w14:paraId="7B26392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29996CB">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1B3B2127">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p>
    <w:p w14:paraId="53C7884C">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3-10</w:t>
      </w:r>
    </w:p>
    <w:p w14:paraId="3DB04CF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56FCEDC5">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5C0E275B">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FC63B9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36C8D4C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1836EDB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保障性住房购置专项</w:t>
            </w:r>
            <w:r>
              <w:rPr>
                <w:rFonts w:hint="eastAsia" w:ascii="仿宋_GB2312" w:hAnsi="仿宋_GB2312" w:eastAsia="仿宋_GB2312" w:cs="仿宋_GB2312"/>
                <w:b/>
                <w:bCs/>
                <w:color w:val="000000"/>
                <w:sz w:val="20"/>
                <w:szCs w:val="20"/>
                <w:highlight w:val="none"/>
              </w:rPr>
              <w:t>　</w:t>
            </w:r>
          </w:p>
        </w:tc>
      </w:tr>
      <w:tr w14:paraId="7090E720">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6802365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061440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ACCE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19480D1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34BA3C9D">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5AF742F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A1A7BE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EAFD0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5D1645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A54A9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624AF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DE34B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4D7FBC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B4A52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80667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288C0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E3E19E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EB420B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67CF12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5880AA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5769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B9403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4496.25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E104B3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2E0C9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89.93%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B1C14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8.99</w:t>
            </w:r>
          </w:p>
        </w:tc>
      </w:tr>
      <w:tr w14:paraId="3855714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BE2B0A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9ED833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FC1E19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835AF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2B05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682C8F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60828D8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EBF04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25C18D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81E9CD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2313A6A">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C5C215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BA417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0E358B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4496.25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48E62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048425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8AC5A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7EC8EAC">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8A86CA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FBFB72D">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690EDC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A8D1C2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F6BC6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FC1F1A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A37ECF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A35BBF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D31135B">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BA62A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4D02266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39C837F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97E7B4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C1CC97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2ABFFF9D">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收购存量商品住房作为保障性住房，解决新市民和无房户住房困难问题。</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4741EAD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已签订收购框架协议并支付房款，最终收购价格后续由专业机构进行评审确定。</w:t>
            </w:r>
            <w:r>
              <w:rPr>
                <w:rFonts w:hint="eastAsia" w:ascii="仿宋_GB2312" w:hAnsi="仿宋_GB2312" w:eastAsia="仿宋_GB2312" w:cs="仿宋_GB2312"/>
                <w:color w:val="000000"/>
                <w:sz w:val="20"/>
                <w:szCs w:val="20"/>
                <w:highlight w:val="none"/>
              </w:rPr>
              <w:t>　</w:t>
            </w:r>
          </w:p>
        </w:tc>
      </w:tr>
      <w:tr w14:paraId="53B64D80">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78359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DDB3B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BC5729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84A30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38F48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5821C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8129F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10CC8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50FE2D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30D5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369237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571F93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A2CE3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8CEF37B">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12DD0357">
        <w:tblPrEx>
          <w:tblCellMar>
            <w:top w:w="0" w:type="dxa"/>
            <w:left w:w="108" w:type="dxa"/>
            <w:bottom w:w="0" w:type="dxa"/>
            <w:right w:w="108" w:type="dxa"/>
          </w:tblCellMar>
        </w:tblPrEx>
        <w:trPr>
          <w:trHeight w:val="76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61958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2A924C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1A8BA1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F771A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98200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4C4781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住房购置套数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FB7D2E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≥120套</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513CA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129套</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00A1C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42BF82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34F7E4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C6F6DC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9817B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0106F1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FA00E3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085C74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房源为恒大公司自有产权住宅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6C0E3E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房源无产权纠纷、未抵押、未被查封、未冻结</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BC2919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房源无产权纠纷、未抵押、未被查封、未冻结</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D32B5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9B0B3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91F532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C1B74FE">
        <w:tblPrEx>
          <w:tblCellMar>
            <w:top w:w="0" w:type="dxa"/>
            <w:left w:w="108" w:type="dxa"/>
            <w:bottom w:w="0" w:type="dxa"/>
            <w:right w:w="108" w:type="dxa"/>
          </w:tblCellMar>
        </w:tblPrEx>
        <w:trPr>
          <w:trHeight w:val="71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D449E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A5CCC7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F43AA5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89C4E5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853F7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A31F2B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04C36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7175A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935C4D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336EB43">
        <w:tblPrEx>
          <w:tblCellMar>
            <w:top w:w="0" w:type="dxa"/>
            <w:left w:w="108" w:type="dxa"/>
            <w:bottom w:w="0" w:type="dxa"/>
            <w:right w:w="108" w:type="dxa"/>
          </w:tblCellMar>
        </w:tblPrEx>
        <w:trPr>
          <w:trHeight w:val="77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3CE57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C936B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B56E27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1DCAFF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预算安排金额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3A5FB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1A3E89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4496.25万元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23137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DF6F18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C57FDD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5FFC99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D29F6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D6F688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E7789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740AEB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D64B41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5E3E7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A42BE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319FA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B876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D0FC44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7EA763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919A92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B8117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FF5AC5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901D15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BE75BD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D54BC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44416E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F4CD5D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3E3C88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FB369A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A7A537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5EF4C2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0DA827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DBCF13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3DE369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FC913F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679AC3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保障性住房租金收入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8D46F8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按相关政策定</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EDB7CC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按相关政策定</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F46FE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89D7AE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3250BB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3396EA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A5B087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4DE154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45BA2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1907BB7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36B949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助力无房户实现住有所居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E3579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有力保障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41877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有力保障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31AFC0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767FB4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DFCE6D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10B49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44E499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361D7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58FD9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4B515D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EB3B93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生态效益指标不适用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8C2F44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6540D0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2F1A4C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BBC4A2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847519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4DFA92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570B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DE9F39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4595C3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3F7157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实现居者有其屋</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416D6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长期保障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28F37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长期保障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1A929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0A617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1863BF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7107CE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C44F2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E792F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44D6D0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6DF47D2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FFB21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D95F05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无房户满意度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2293D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20933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8F94F6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7BA59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0D8E0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89AC0C4">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5C5CE62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BF39E0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0C8CD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98.99</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3B1F4B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376F82F6">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493F8E61">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6E0DA6A9">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3-11</w:t>
      </w:r>
    </w:p>
    <w:p w14:paraId="090E793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40D52BF6">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228AC08B">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23DC0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26FEA1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76A2394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自贸试验区制度创新激励资金</w:t>
            </w:r>
            <w:r>
              <w:rPr>
                <w:rFonts w:hint="eastAsia" w:ascii="仿宋_GB2312" w:hAnsi="仿宋_GB2312" w:eastAsia="仿宋_GB2312" w:cs="仿宋_GB2312"/>
                <w:color w:val="000000"/>
                <w:sz w:val="20"/>
                <w:szCs w:val="20"/>
                <w:highlight w:val="none"/>
              </w:rPr>
              <w:t>　</w:t>
            </w:r>
          </w:p>
        </w:tc>
      </w:tr>
      <w:tr w14:paraId="77ED0D3F">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9A3B7B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3239C8E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241E2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4B121C8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14:paraId="4DD6A7D4">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BFA84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19A65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FFCA21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6FD6A6F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C6F0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7A3F2E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C26DA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78B392E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A576E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D0FD0C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555807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D4EBC3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7CC87D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1301EDB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7F57FE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5B9DE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F84B3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4.99</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E480A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84C7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99.8%</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04FFBB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9.98</w:t>
            </w:r>
          </w:p>
        </w:tc>
      </w:tr>
      <w:tr w14:paraId="60CDC4E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E7C648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34FC9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53AEB7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C700C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0C68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7B83B06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01A78A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9A638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85018C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A89F7E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8905BA2">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D558B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5DC2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727EA2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4.99</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4BE84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A011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EFE1D5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26B614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05F671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FC25C43">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2A4D98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959C17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3AAE2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61A44D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784A4F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B65229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A142F6E">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5E3345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8DFF0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009745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960CF8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04FC1E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1C18BB8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发放</w:t>
            </w:r>
            <w:r>
              <w:rPr>
                <w:rFonts w:hint="eastAsia" w:ascii="仿宋_GB2312" w:hAnsi="仿宋_GB2312" w:eastAsia="仿宋_GB2312" w:cs="仿宋_GB2312"/>
                <w:color w:val="000000"/>
                <w:sz w:val="20"/>
                <w:szCs w:val="20"/>
                <w:highlight w:val="none"/>
              </w:rPr>
              <w:t>2024年度自贸试验区岳阳片区“社会投资建设的简易既有建筑装饰装修工程一件事一次办”制度创新激励奖金</w:t>
            </w:r>
            <w:r>
              <w:rPr>
                <w:rFonts w:hint="eastAsia" w:ascii="仿宋_GB2312" w:hAnsi="仿宋_GB2312" w:eastAsia="仿宋_GB2312" w:cs="仿宋_GB2312"/>
                <w:color w:val="000000"/>
                <w:sz w:val="20"/>
                <w:szCs w:val="20"/>
                <w:highlight w:val="none"/>
                <w:lang w:eastAsia="zh-CN"/>
              </w:rPr>
              <w:t>。</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3191F73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均已完成。</w:t>
            </w:r>
          </w:p>
        </w:tc>
      </w:tr>
      <w:tr w14:paraId="03C4F2A1">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0F9CC1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6B31086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2BFC448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2303D86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FB0C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BBFF06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3FDCC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775785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35A00D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282F6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A1592A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5894F2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FC36F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7A1E3FF">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094401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C9F15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7DA17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95A507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F7DCBE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A4C02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1C38DC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制度创新数量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3880FB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1项</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56DEF9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1项</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C91CFB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F93A6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F8CD5E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9DE205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4DD686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58665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CFC04F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04542A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审批服务质量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9D6BB2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精简审批环节和材料，提高审批服务质量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E41C8E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精简审批环节和材料，提高审批服务质量</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E5B11D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36459D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849B5D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D04C5D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DB828F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AC7357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E57E22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ADC1B7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压缩审批对象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D25FC98">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≤2个工作日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554DC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≤2个工作日</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99951C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2E1B26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BB124C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4C75C2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5C808D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F3813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502C29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70176C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预算安排金额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05A513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52F2D0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0DC30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6EB840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5A0CE2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E01108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6B5406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6AD0EC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80749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198C8B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39EC00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6D5584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91FDCE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828EE6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AD8447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871813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79220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DA7DA2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5FD6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3F1C7B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007732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446556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B89A62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41899D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1A3D1B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02A5DB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D3818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AE6316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2D8AA2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3A8737C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51C921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F4C790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1F266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9D5278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时间费用双减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034074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节约企业人力、财力成本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2EDB66">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节约企业人力、财力成本</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A4A8F6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2C5ED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BCE42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5E6D2A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0A358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C440DD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5536B2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605E1F0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DF9B1B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实施政府购买“帮代办”服务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23A2FA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对需求的企业提高全程免费帮代办，由被动服务转变为主动服务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7A90E9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对需求的企业提高全程免费帮代办，由被动服务转变为主动服务</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1A399F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454887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B7B8D0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226DD8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5F091B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0DA1EB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2C1696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45D0934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339DAB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无生态效益指标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7C47F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A0C0D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8EF2E7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F046A2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66711C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658CC4D">
        <w:tblPrEx>
          <w:tblCellMar>
            <w:top w:w="0" w:type="dxa"/>
            <w:left w:w="108" w:type="dxa"/>
            <w:bottom w:w="0" w:type="dxa"/>
            <w:right w:w="108" w:type="dxa"/>
          </w:tblCellMar>
        </w:tblPrEx>
        <w:trPr>
          <w:trHeight w:val="336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1C690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C0747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CA8AC2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C1C77D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优化营商环境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82991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进一步降本增效，优化工程审批营商环境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D11076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进一步降本增效，优化工程审批营商环境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69997A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FE243A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75DC4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9C8B2C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18EC6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8F2307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942F7E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6DB66C3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A1292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45BD244">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政务服务，企业群众满意度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838428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lang w:val="en-US" w:eastAsia="zh-CN"/>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EE31932">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lang w:val="en-US" w:eastAsia="zh-CN"/>
              </w:rPr>
              <w:t>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8EA489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E32C58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51115E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BE56F6A">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70C8F3F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49425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9F9938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99.98</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DD5524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50DCDBE">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6F346893">
      <w:pPr>
        <w:keepNext w:val="0"/>
        <w:keepLines w:val="0"/>
        <w:pageBreakBefore w:val="0"/>
        <w:widowControl w:val="0"/>
        <w:tabs>
          <w:tab w:val="left" w:pos="6586"/>
        </w:tabs>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r>
        <w:rPr>
          <w:rFonts w:hint="eastAsia" w:eastAsia="仿宋_GB2312" w:cs="Times New Roman"/>
          <w:sz w:val="18"/>
          <w:szCs w:val="18"/>
          <w:highlight w:val="none"/>
          <w:lang w:eastAsia="zh-CN"/>
        </w:rPr>
        <w:tab/>
      </w:r>
    </w:p>
    <w:p w14:paraId="453D1223">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3-12</w:t>
      </w:r>
    </w:p>
    <w:p w14:paraId="5D071C1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1F36589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9"/>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5ADC9E9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C3CABC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7EE8F9D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11E6B74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企业军转干部资金</w:t>
            </w:r>
            <w:r>
              <w:rPr>
                <w:rFonts w:hint="eastAsia" w:ascii="仿宋_GB2312" w:hAnsi="仿宋_GB2312" w:eastAsia="仿宋_GB2312" w:cs="仿宋_GB2312"/>
                <w:color w:val="000000"/>
                <w:sz w:val="20"/>
                <w:szCs w:val="20"/>
                <w:highlight w:val="none"/>
              </w:rPr>
              <w:t>　</w:t>
            </w:r>
          </w:p>
        </w:tc>
      </w:tr>
      <w:tr w14:paraId="40EF92D2">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3E6F4C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5B70A66">
            <w:pPr>
              <w:keepNext w:val="0"/>
              <w:keepLines w:val="0"/>
              <w:pageBreakBefore w:val="0"/>
              <w:widowControl w:val="0"/>
              <w:tabs>
                <w:tab w:val="center" w:pos="2151"/>
              </w:tabs>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C088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29A6998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岳阳市住房和城乡建设局</w:t>
            </w:r>
          </w:p>
        </w:tc>
      </w:tr>
      <w:tr w14:paraId="7F7945DC">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6DCD68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E58177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7A4D0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6D3857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A3190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742446E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7852AD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3235A8A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BC47AE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27E746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847618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20E255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74DBB3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A85A63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CFDE24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CF0AF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241A5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A96334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1383D9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0DDF09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6AC8BB4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6E17F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146580C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6F796F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15A9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682D5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CEDED9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0A65946">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24B741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839E61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185E63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668265D">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9E3B9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3D8E1F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6E507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EA2635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AC2CD2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B64EA6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A3C941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200D0F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CF8CD41">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8E542A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9213AC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1769B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07F173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FD159F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987AB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4CA22B6">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2F72DE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7A7F56A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65E0F7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0462B6B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B3C55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52C4DDF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按照退役军人待遇政策，根据退役军人事务局核定标准，及时保障困难企业军转干部工资补差、住院救助、死亡救助、八一慰问金等待遇到位。</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56552BD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均按照专户资金到位时间及时支付。</w:t>
            </w:r>
          </w:p>
        </w:tc>
      </w:tr>
      <w:tr w14:paraId="01F58169">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C5A662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AF9BC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750AD4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99B231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F0598F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F4A45E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B3E96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FA59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57F4F7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5CDF9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FF6186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4471F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9153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AB5B066">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581F42B4">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A99E1D8">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6E4E4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7C60CC0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14AAAA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65A98C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85A0D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补助人数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DADE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退役军人事务局核定人数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674F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退役军人事务局核定人数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9224C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C7DCD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BCC432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A303A0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500F09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64D9CC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8DD5C0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3E260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补助发放率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ABE9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2A3EA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2AAF5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5C450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081B8F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18A0D3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3F31B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56D40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0F1CDD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063AA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补助发放时间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B93E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BDEC7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25755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33D76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92FCE7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8B701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227C0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4A65A4">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704DD4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5B069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74B1A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符合对应政策</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368C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符合对应政策</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275F0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ECF94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606E3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69C63E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2D6787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DB6E8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CAAC55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0373303">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DA1EBE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93AD49">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476D8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E495D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4F0DE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C4AC2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9E115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302EA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DB1BE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6997D0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820C3F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182E2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E9E0B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ECC7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C3C1B90">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D0F372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E605C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041887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A38CF7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CBF7C7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505E84CD">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F7B77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87C71A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A3042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企业军转干部经济收入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11B1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有效增加</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69CF7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有效增加</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9FD22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3A34C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3BF213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25D9B1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4F23D6A">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F447C0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8FC0E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532AE5F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8D0EF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补助对象生活改善情况</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DAD88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有所提升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E5B73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有所提升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CB047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96036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2515DC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8301B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6844A5E">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076A66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C3901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6F172EB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E7C5A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D7852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47683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DD89D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19714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1ECDB2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435185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4BC6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DFE92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B2AAB7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A4D02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军转干部待遇保障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BA8E6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持续保障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E1CB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持续保障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BD20F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A5895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F47D24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2C6C30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85DD51">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D4EFD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60CCB7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2CAB9B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F9981A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243B0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受益对象满意度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F0DB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C0B62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9EDEF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98DA5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C0F593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5E2EC2B">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179B88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A68954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8159D9F">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860B415">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3323E342">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4B030D04">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14:paraId="59296C1D">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18030">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73557"/>
    <w:multiLevelType w:val="singleLevel"/>
    <w:tmpl w:val="97D73557"/>
    <w:lvl w:ilvl="0" w:tentative="0">
      <w:start w:val="8"/>
      <w:numFmt w:val="chineseCounting"/>
      <w:suff w:val="nothing"/>
      <w:lvlText w:val="%1、"/>
      <w:lvlJc w:val="left"/>
      <w:rPr>
        <w:rFonts w:hint="eastAsia"/>
      </w:rPr>
    </w:lvl>
  </w:abstractNum>
  <w:abstractNum w:abstractNumId="1">
    <w:nsid w:val="EC36B640"/>
    <w:multiLevelType w:val="singleLevel"/>
    <w:tmpl w:val="EC36B640"/>
    <w:lvl w:ilvl="0" w:tentative="0">
      <w:start w:val="2"/>
      <w:numFmt w:val="chineseCounting"/>
      <w:suff w:val="nothing"/>
      <w:lvlText w:val="（%1）"/>
      <w:lvlJc w:val="left"/>
      <w:rPr>
        <w:rFonts w:hint="eastAsia"/>
      </w:rPr>
    </w:lvl>
  </w:abstractNum>
  <w:abstractNum w:abstractNumId="2">
    <w:nsid w:val="1E5FE486"/>
    <w:multiLevelType w:val="singleLevel"/>
    <w:tmpl w:val="1E5FE486"/>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56DC2"/>
    <w:rsid w:val="0052050A"/>
    <w:rsid w:val="00A84270"/>
    <w:rsid w:val="01923B88"/>
    <w:rsid w:val="01B2596D"/>
    <w:rsid w:val="02DB70FF"/>
    <w:rsid w:val="033F13B6"/>
    <w:rsid w:val="03D976E9"/>
    <w:rsid w:val="03F06E68"/>
    <w:rsid w:val="040231B6"/>
    <w:rsid w:val="04822F80"/>
    <w:rsid w:val="048C2C42"/>
    <w:rsid w:val="055C3295"/>
    <w:rsid w:val="06DD495B"/>
    <w:rsid w:val="07177DA3"/>
    <w:rsid w:val="081E4FBF"/>
    <w:rsid w:val="086A2B00"/>
    <w:rsid w:val="0A7D21E9"/>
    <w:rsid w:val="0BC71CAC"/>
    <w:rsid w:val="0D6B3426"/>
    <w:rsid w:val="0D9D61F2"/>
    <w:rsid w:val="0E563CB6"/>
    <w:rsid w:val="0E677DDF"/>
    <w:rsid w:val="0E8D45B9"/>
    <w:rsid w:val="0EC8016B"/>
    <w:rsid w:val="0EE3707D"/>
    <w:rsid w:val="0F0C3A0B"/>
    <w:rsid w:val="0F7B647F"/>
    <w:rsid w:val="0FCD7089"/>
    <w:rsid w:val="102B5910"/>
    <w:rsid w:val="107417C7"/>
    <w:rsid w:val="12901BBE"/>
    <w:rsid w:val="12C11AD6"/>
    <w:rsid w:val="15165C50"/>
    <w:rsid w:val="15F61BD0"/>
    <w:rsid w:val="160150C9"/>
    <w:rsid w:val="16111DA0"/>
    <w:rsid w:val="161545CE"/>
    <w:rsid w:val="171837CA"/>
    <w:rsid w:val="17B32E38"/>
    <w:rsid w:val="17ED246B"/>
    <w:rsid w:val="184325C1"/>
    <w:rsid w:val="192F2B88"/>
    <w:rsid w:val="199C6B71"/>
    <w:rsid w:val="1AD907FC"/>
    <w:rsid w:val="1B863BCC"/>
    <w:rsid w:val="1BFE0A0B"/>
    <w:rsid w:val="1C8565AA"/>
    <w:rsid w:val="1C990BBF"/>
    <w:rsid w:val="1E1C6A8D"/>
    <w:rsid w:val="1EDB4D42"/>
    <w:rsid w:val="20C37E14"/>
    <w:rsid w:val="223A57DC"/>
    <w:rsid w:val="22430523"/>
    <w:rsid w:val="227339ED"/>
    <w:rsid w:val="22C4501B"/>
    <w:rsid w:val="2322534B"/>
    <w:rsid w:val="240E2A9C"/>
    <w:rsid w:val="24CD7FEB"/>
    <w:rsid w:val="25005DBC"/>
    <w:rsid w:val="25DD1DA4"/>
    <w:rsid w:val="26054232"/>
    <w:rsid w:val="26700EFB"/>
    <w:rsid w:val="27A72764"/>
    <w:rsid w:val="27E67717"/>
    <w:rsid w:val="2872626B"/>
    <w:rsid w:val="29B52DCD"/>
    <w:rsid w:val="2C9C47BD"/>
    <w:rsid w:val="2CA36084"/>
    <w:rsid w:val="2CBF2328"/>
    <w:rsid w:val="2D431378"/>
    <w:rsid w:val="2D6B4583"/>
    <w:rsid w:val="2E296D67"/>
    <w:rsid w:val="2F14663F"/>
    <w:rsid w:val="2F865091"/>
    <w:rsid w:val="30C45241"/>
    <w:rsid w:val="3161237D"/>
    <w:rsid w:val="32430675"/>
    <w:rsid w:val="32721057"/>
    <w:rsid w:val="32B6006D"/>
    <w:rsid w:val="33D23E74"/>
    <w:rsid w:val="35353CC8"/>
    <w:rsid w:val="35E122D0"/>
    <w:rsid w:val="363464F0"/>
    <w:rsid w:val="36416F14"/>
    <w:rsid w:val="36CF1E4A"/>
    <w:rsid w:val="37462C88"/>
    <w:rsid w:val="374F7D8D"/>
    <w:rsid w:val="3784256E"/>
    <w:rsid w:val="38124248"/>
    <w:rsid w:val="38CE1D59"/>
    <w:rsid w:val="3A43163F"/>
    <w:rsid w:val="3B2E270D"/>
    <w:rsid w:val="3B3601EA"/>
    <w:rsid w:val="3B7864B1"/>
    <w:rsid w:val="3CF93465"/>
    <w:rsid w:val="3D0F45C0"/>
    <w:rsid w:val="3D15545E"/>
    <w:rsid w:val="3D4A6AFE"/>
    <w:rsid w:val="3E22084B"/>
    <w:rsid w:val="3E260F9C"/>
    <w:rsid w:val="3F5B26AA"/>
    <w:rsid w:val="4151443F"/>
    <w:rsid w:val="42004982"/>
    <w:rsid w:val="4220224E"/>
    <w:rsid w:val="423E51C1"/>
    <w:rsid w:val="4283700F"/>
    <w:rsid w:val="42C51B0A"/>
    <w:rsid w:val="44695F3C"/>
    <w:rsid w:val="44A24960"/>
    <w:rsid w:val="44F87390"/>
    <w:rsid w:val="46266F32"/>
    <w:rsid w:val="46902CE7"/>
    <w:rsid w:val="46962449"/>
    <w:rsid w:val="46ED4F50"/>
    <w:rsid w:val="4779346C"/>
    <w:rsid w:val="489E2DB0"/>
    <w:rsid w:val="492937E4"/>
    <w:rsid w:val="4B1B5FC2"/>
    <w:rsid w:val="4C142217"/>
    <w:rsid w:val="4C6A5A7E"/>
    <w:rsid w:val="4DB4341B"/>
    <w:rsid w:val="4DB470B0"/>
    <w:rsid w:val="4E4209DE"/>
    <w:rsid w:val="4E8714BD"/>
    <w:rsid w:val="50FE4F8A"/>
    <w:rsid w:val="52570A2B"/>
    <w:rsid w:val="53156DC2"/>
    <w:rsid w:val="539035C6"/>
    <w:rsid w:val="53DF6FA9"/>
    <w:rsid w:val="54056B52"/>
    <w:rsid w:val="54843414"/>
    <w:rsid w:val="54A97839"/>
    <w:rsid w:val="54D61F1B"/>
    <w:rsid w:val="56440F0C"/>
    <w:rsid w:val="57000AA2"/>
    <w:rsid w:val="585C5FD9"/>
    <w:rsid w:val="588A1870"/>
    <w:rsid w:val="5AE965BB"/>
    <w:rsid w:val="5B3A2662"/>
    <w:rsid w:val="5BAF0B18"/>
    <w:rsid w:val="5D347B07"/>
    <w:rsid w:val="5EB94F1B"/>
    <w:rsid w:val="6043316C"/>
    <w:rsid w:val="60466FA2"/>
    <w:rsid w:val="60F812EF"/>
    <w:rsid w:val="612E7F15"/>
    <w:rsid w:val="620A39BC"/>
    <w:rsid w:val="6322066E"/>
    <w:rsid w:val="63240847"/>
    <w:rsid w:val="64B10C7D"/>
    <w:rsid w:val="64BF0251"/>
    <w:rsid w:val="64C43A79"/>
    <w:rsid w:val="64DC1A72"/>
    <w:rsid w:val="65755901"/>
    <w:rsid w:val="65811173"/>
    <w:rsid w:val="66683788"/>
    <w:rsid w:val="678145EE"/>
    <w:rsid w:val="67A2258E"/>
    <w:rsid w:val="68050300"/>
    <w:rsid w:val="68BA6F2F"/>
    <w:rsid w:val="68C0345A"/>
    <w:rsid w:val="68DB046F"/>
    <w:rsid w:val="6A4907FD"/>
    <w:rsid w:val="6AC83620"/>
    <w:rsid w:val="6B2F2271"/>
    <w:rsid w:val="6C3E0983"/>
    <w:rsid w:val="6C5936D9"/>
    <w:rsid w:val="6CD437C0"/>
    <w:rsid w:val="6DC16CE0"/>
    <w:rsid w:val="6EAE35F1"/>
    <w:rsid w:val="6F926779"/>
    <w:rsid w:val="700346ED"/>
    <w:rsid w:val="70EA6D3D"/>
    <w:rsid w:val="71711F9C"/>
    <w:rsid w:val="71D92533"/>
    <w:rsid w:val="72A207C5"/>
    <w:rsid w:val="72AA0A8F"/>
    <w:rsid w:val="72F307BD"/>
    <w:rsid w:val="730B4790"/>
    <w:rsid w:val="741168EB"/>
    <w:rsid w:val="748A0562"/>
    <w:rsid w:val="75B71875"/>
    <w:rsid w:val="75B91798"/>
    <w:rsid w:val="75BA1AEE"/>
    <w:rsid w:val="77826C78"/>
    <w:rsid w:val="77EC2046"/>
    <w:rsid w:val="78A83C65"/>
    <w:rsid w:val="794A682F"/>
    <w:rsid w:val="79581B73"/>
    <w:rsid w:val="796020F6"/>
    <w:rsid w:val="7A23518F"/>
    <w:rsid w:val="7C277467"/>
    <w:rsid w:val="7C552519"/>
    <w:rsid w:val="7E261DEC"/>
    <w:rsid w:val="7F390BC2"/>
    <w:rsid w:val="7FF20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hint="eastAsia"/>
      <w:sz w:val="21"/>
      <w:szCs w:val="24"/>
    </w:rPr>
  </w:style>
  <w:style w:type="paragraph" w:styleId="3">
    <w:name w:val="toa heading"/>
    <w:basedOn w:val="1"/>
    <w:next w:val="1"/>
    <w:qFormat/>
    <w:uiPriority w:val="99"/>
    <w:pPr>
      <w:spacing w:before="120" w:after="200" w:line="276" w:lineRule="auto"/>
    </w:pPr>
    <w:rPr>
      <w:rFonts w:ascii="Arial" w:hAnsi="Arial"/>
      <w:sz w:val="24"/>
    </w:rPr>
  </w:style>
  <w:style w:type="paragraph" w:styleId="4">
    <w:name w:val="Body Text"/>
    <w:basedOn w:val="1"/>
    <w:next w:val="5"/>
    <w:semiHidden/>
    <w:qFormat/>
    <w:uiPriority w:val="0"/>
    <w:rPr>
      <w:rFonts w:ascii="仿宋" w:hAnsi="仿宋" w:eastAsia="仿宋" w:cs="仿宋"/>
      <w:sz w:val="31"/>
      <w:szCs w:val="31"/>
      <w:lang w:val="en-US" w:eastAsia="en-US" w:bidi="ar-SA"/>
    </w:rPr>
  </w:style>
  <w:style w:type="paragraph" w:customStyle="1" w:styleId="5">
    <w:name w:val="正文首行缩进1"/>
    <w:basedOn w:val="1"/>
    <w:qFormat/>
    <w:uiPriority w:val="0"/>
    <w:pPr>
      <w:spacing w:after="120"/>
      <w:ind w:firstLine="420" w:firstLineChars="100"/>
    </w:pPr>
    <w:rPr>
      <w:rFonts w:ascii="Times New Roman" w:hAnsi="Times New Roman"/>
    </w:rPr>
  </w:style>
  <w:style w:type="paragraph" w:styleId="6">
    <w:name w:val="toc 5"/>
    <w:basedOn w:val="1"/>
    <w:next w:val="1"/>
    <w:qFormat/>
    <w:uiPriority w:val="99"/>
    <w:pPr>
      <w:widowControl w:val="0"/>
      <w:ind w:left="1680" w:leftChars="800"/>
      <w:jc w:val="both"/>
    </w:pPr>
    <w:rPr>
      <w:rFonts w:ascii="Times New Roman" w:hAnsi="Times New Roman" w:eastAsia="宋体" w:cs="Times New Roman"/>
      <w:kern w:val="2"/>
      <w:sz w:val="21"/>
      <w:szCs w:val="24"/>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List Paragraph"/>
    <w:basedOn w:val="1"/>
    <w:qFormat/>
    <w:uiPriority w:val="99"/>
    <w:pPr>
      <w:ind w:firstLine="420" w:firstLineChars="200"/>
    </w:pPr>
    <w:rPr>
      <w:rFonts w:ascii="Calibri" w:hAnsi="Calibri"/>
      <w:szCs w:val="22"/>
    </w:rPr>
  </w:style>
  <w:style w:type="paragraph" w:customStyle="1" w:styleId="12">
    <w:name w:val="xl27"/>
    <w:basedOn w:val="1"/>
    <w:qFormat/>
    <w:uiPriority w:val="0"/>
    <w:pPr>
      <w:widowControl/>
      <w:pBdr>
        <w:top w:val="single" w:color="auto" w:sz="4" w:space="0"/>
        <w:left w:val="single" w:color="auto" w:sz="8" w:space="0"/>
        <w:bottom w:val="single" w:color="auto" w:sz="4" w:space="0"/>
        <w:right w:val="single" w:color="auto" w:sz="4" w:space="0"/>
      </w:pBdr>
      <w:spacing w:before="100" w:beforeLines="0" w:beforeAutospacing="1" w:after="100" w:afterLines="0" w:afterAutospacing="1"/>
      <w:jc w:val="center"/>
    </w:pPr>
    <w:rPr>
      <w:rFonts w:ascii="???-18030" w:hAnsi="???-18030" w:cs="???-18030"/>
      <w:kern w:val="0"/>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7505</Words>
  <Characters>8182</Characters>
  <Lines>0</Lines>
  <Paragraphs>0</Paragraphs>
  <TotalTime>115</TotalTime>
  <ScaleCrop>false</ScaleCrop>
  <LinksUpToDate>false</LinksUpToDate>
  <CharactersWithSpaces>8295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2026-03-12T02:53:00Z</dcterms:created>
  <dc:creator>Administrator</dc:creator>
  <cp:lastModifiedBy>Sufany</cp:lastModifiedBy>
  <dcterms:modified xsi:type="dcterms:W3CDTF">2026-07-08T06:39:28Z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9062CF73C8C34D4EB95AD815371F78E9</vt:lpwstr>
  </property>
  <property fmtid="{D5CDD505-2E9C-101B-9397-08002B2CF9AE}" pid="4" name="KSOTemplateDocerSaveRecord">
    <vt:lpwstr>eyJoZGlkIjoiM2Q0NzEwZTc1NWY1NDRiZTcyMmQ2OGI3ZDNmZjdjZDUiLCJ1c2VySWQiOiI1NDYxNDY5OTkifQ==</vt:lpwstr>
  </property>
</Properties>
</file>