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2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80" w:after="361" w:afterLines="80"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年国际通道建设资金绩效目标表</w:t>
      </w:r>
    </w:p>
    <w:tbl>
      <w:tblPr>
        <w:tblStyle w:val="3"/>
        <w:tblW w:w="101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9"/>
        <w:gridCol w:w="1226"/>
        <w:gridCol w:w="3091"/>
        <w:gridCol w:w="2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支持方向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8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　口岸国际通道建设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支持金额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37290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支持方向（项目）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实施期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7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绩效目标</w:t>
            </w:r>
          </w:p>
        </w:tc>
        <w:tc>
          <w:tcPr>
            <w:tcW w:w="8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打造全省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五大国际物流通道和货运集结中心，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通道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“稳规模、优结构”，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支持长沙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、张家界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航空口岸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国际航线稳定运营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中欧班列（长沙）、湘粤非铁海联运、怀化东盟班列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发展，加强中欧班列国家集结中心建设，支持岳阳城陵矶在航国际直达航线稳定开行。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指标值及单位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新开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或恢复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国际（地区）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货运航线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全省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三条铁路国际联运通道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力争保持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3000列规模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长沙至欧洲站到站运输时长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天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中欧班列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货值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湘粤非铁海联运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本省货源占比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怀化东盟班列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本省货源占比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持续打造对非贸易通道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湘粤非铁海联运稳定千列规模，继续打造对非国际客运航线品牌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国际客货运航线运营条数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直航航线运营条数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社会服务对象满意度指标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企业对铁海联运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开行满意度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社会公众对班列开行满意度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NDI4MDkxYjJmYjRiNGUzY2E5MTcxOWYwMDlkMGUifQ=="/>
  </w:docVars>
  <w:rsids>
    <w:rsidRoot w:val="BE77078A"/>
    <w:rsid w:val="2E496CA5"/>
    <w:rsid w:val="3BEF97ED"/>
    <w:rsid w:val="5F8F1AC6"/>
    <w:rsid w:val="69CA37F1"/>
    <w:rsid w:val="6F3BE875"/>
    <w:rsid w:val="7FFDA405"/>
    <w:rsid w:val="BE77078A"/>
    <w:rsid w:val="BF9A7915"/>
    <w:rsid w:val="EFB69FD8"/>
    <w:rsid w:val="FEF6A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2025-06-05T01:08:00Z</dcterms:created>
  <dc:creator>xjkp</dc:creator>
  <cp:lastModifiedBy>文印员2 null</cp:lastModifiedBy>
  <dcterms:modified xsi:type="dcterms:W3CDTF">2026-01-19T06:12:42Z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D11E30E1AAD523DB56AA3F6822CF0837</vt:lpwstr>
  </property>
</Properties>
</file>