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CFF1">
      <w:pPr>
        <w:pStyle w:val="14"/>
        <w:jc w:val="center"/>
        <w:rPr>
          <w:sz w:val="56"/>
          <w:szCs w:val="56"/>
        </w:rPr>
      </w:pPr>
    </w:p>
    <w:p w14:paraId="3BDF5AB8">
      <w:pPr>
        <w:pStyle w:val="14"/>
        <w:jc w:val="center"/>
        <w:rPr>
          <w:sz w:val="56"/>
          <w:szCs w:val="56"/>
        </w:rPr>
      </w:pPr>
    </w:p>
    <w:p w14:paraId="60CA4575">
      <w:pPr>
        <w:pStyle w:val="14"/>
        <w:jc w:val="center"/>
        <w:rPr>
          <w:sz w:val="84"/>
          <w:szCs w:val="84"/>
        </w:rPr>
      </w:pPr>
    </w:p>
    <w:p w14:paraId="215EB31D">
      <w:pPr>
        <w:pStyle w:val="14"/>
        <w:jc w:val="center"/>
        <w:rPr>
          <w:sz w:val="84"/>
          <w:szCs w:val="84"/>
        </w:rPr>
      </w:pPr>
    </w:p>
    <w:p w14:paraId="376C8602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6934EBE9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岳阳市公安局监所管理支队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 w14:paraId="3A699C16">
      <w:pPr>
        <w:pStyle w:val="14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 w14:paraId="72C8FB58">
      <w:pPr>
        <w:pStyle w:val="14"/>
        <w:jc w:val="center"/>
        <w:rPr>
          <w:sz w:val="56"/>
          <w:szCs w:val="56"/>
        </w:rPr>
      </w:pPr>
    </w:p>
    <w:p w14:paraId="25018D25">
      <w:pPr>
        <w:pStyle w:val="14"/>
        <w:jc w:val="center"/>
        <w:rPr>
          <w:sz w:val="56"/>
          <w:szCs w:val="56"/>
        </w:rPr>
      </w:pPr>
    </w:p>
    <w:p w14:paraId="5EE73A38">
      <w:pPr>
        <w:pStyle w:val="14"/>
        <w:jc w:val="center"/>
        <w:rPr>
          <w:sz w:val="56"/>
          <w:szCs w:val="56"/>
        </w:rPr>
      </w:pPr>
    </w:p>
    <w:p w14:paraId="297571C5">
      <w:pPr>
        <w:pStyle w:val="14"/>
        <w:jc w:val="center"/>
        <w:rPr>
          <w:sz w:val="32"/>
          <w:szCs w:val="32"/>
        </w:rPr>
      </w:pPr>
    </w:p>
    <w:p w14:paraId="08493D1E">
      <w:pPr>
        <w:pStyle w:val="14"/>
        <w:jc w:val="center"/>
        <w:rPr>
          <w:sz w:val="32"/>
          <w:szCs w:val="32"/>
        </w:rPr>
      </w:pPr>
    </w:p>
    <w:p w14:paraId="5BD6E8BD">
      <w:pPr>
        <w:pStyle w:val="14"/>
        <w:jc w:val="center"/>
        <w:rPr>
          <w:sz w:val="32"/>
          <w:szCs w:val="32"/>
        </w:rPr>
      </w:pPr>
    </w:p>
    <w:p w14:paraId="1062A3B4">
      <w:pPr>
        <w:pStyle w:val="14"/>
        <w:jc w:val="center"/>
        <w:rPr>
          <w:sz w:val="32"/>
          <w:szCs w:val="32"/>
        </w:rPr>
      </w:pPr>
    </w:p>
    <w:p w14:paraId="6311DFC7">
      <w:pPr>
        <w:pStyle w:val="14"/>
        <w:jc w:val="center"/>
        <w:rPr>
          <w:sz w:val="32"/>
          <w:szCs w:val="32"/>
        </w:rPr>
      </w:pPr>
    </w:p>
    <w:p w14:paraId="50228290">
      <w:pPr>
        <w:pStyle w:val="14"/>
        <w:spacing w:line="540" w:lineRule="exact"/>
        <w:jc w:val="center"/>
        <w:rPr>
          <w:sz w:val="56"/>
          <w:szCs w:val="56"/>
        </w:rPr>
      </w:pPr>
    </w:p>
    <w:p w14:paraId="459C483D">
      <w:pPr>
        <w:pStyle w:val="14"/>
        <w:spacing w:line="500" w:lineRule="exact"/>
        <w:jc w:val="both"/>
        <w:rPr>
          <w:b/>
          <w:sz w:val="36"/>
          <w:szCs w:val="28"/>
        </w:rPr>
      </w:pPr>
    </w:p>
    <w:p w14:paraId="24F3309B">
      <w:pPr>
        <w:pStyle w:val="14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6CBD0C22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岳阳市公安局监所管理支队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部门（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单位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 w14:paraId="060CB1DC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315E49DA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及决算单位构成</w:t>
      </w:r>
    </w:p>
    <w:p w14:paraId="3CE431DD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4B1DE222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28DAEA9B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4189E141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0621647E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28E0B171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0A1DA969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62E9A333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316661B6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23827588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69B4707F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30D2819C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2F99AFEC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69796A82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42F5763D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4551B6B2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0BC2CE30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11D85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 w14:paraId="5F6B5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情况</w:t>
      </w:r>
    </w:p>
    <w:p w14:paraId="71D91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 w14:paraId="371B6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1624E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6C86A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5E15A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 w14:paraId="5BD7D26C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绩效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管理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情况的说明</w:t>
      </w:r>
    </w:p>
    <w:p w14:paraId="51852483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7D866A9C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 w14:paraId="2E7F14A9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095DEAB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4C108EF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C117A9A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CEA51AC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FA393C5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A9273CF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E9E9372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A2A1B7F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DEEC249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5C6A94F8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EF69A9D"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岳阳市公安局监所管理支队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 w14:paraId="77A0C778">
      <w:pPr>
        <w:pStyle w:val="9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97AC3FB">
      <w:pPr>
        <w:pStyle w:val="5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3F2C40A">
      <w:pPr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28B0AE2">
      <w:pPr>
        <w:pStyle w:val="9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469560B">
      <w:pPr>
        <w:pStyle w:val="5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5E857AF">
      <w:pPr>
        <w:pStyle w:val="15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4A666ED7">
      <w:pPr>
        <w:ind w:firstLine="800" w:firstLineChars="25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（一）（一）</w:t>
      </w:r>
    </w:p>
    <w:p w14:paraId="51E95B61">
      <w:p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负责全市监管民警的队伍管理、思想政治教育和业务技能培训，提升监管队伍的专业素质和履职能力。 协调与法院、检察院、司法局、武警部队、医疗卫生部门等外部单位的工作关系，确保刑事诉讼活动的顺利进行和监所工作的正常运转。</w:t>
      </w:r>
    </w:p>
    <w:p w14:paraId="62666B0F">
      <w:pPr>
        <w:ind w:firstLine="800" w:firstLineChars="25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</w:t>
      </w:r>
    </w:p>
    <w:p w14:paraId="73B98E80">
      <w:p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看守所：依法羁押被刑事拘留、逮捕的犯罪嫌疑人、被告人的场所。是监管支队管理的核心场所。</w:t>
      </w:r>
    </w:p>
    <w:p w14:paraId="3EC94F77">
      <w:p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拘留所：执行行政拘留、司法拘留的场所。</w:t>
      </w:r>
    </w:p>
    <w:p w14:paraId="63787378">
      <w:p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强制隔离戒毒所：对吸毒成瘾人员执行强制隔离戒毒的场所。</w:t>
      </w:r>
    </w:p>
    <w:p w14:paraId="30307305">
      <w:pPr>
        <w:pStyle w:val="9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特殊病人治疗所：对患有较强传染性疾病的</w:t>
      </w:r>
      <w:r>
        <w:rPr>
          <w:rFonts w:hint="eastAsia" w:ascii="Times New Roman" w:hAnsi="Times New Roman" w:eastAsia="仿宋_GB2312" w:cs="仿宋_GB2312"/>
          <w:sz w:val="32"/>
          <w:szCs w:val="32"/>
        </w:rPr>
        <w:t>依法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需要</w:t>
      </w:r>
      <w:r>
        <w:rPr>
          <w:rFonts w:hint="eastAsia" w:ascii="Times New Roman" w:hAnsi="Times New Roman" w:eastAsia="仿宋_GB2312" w:cs="仿宋_GB2312"/>
          <w:sz w:val="32"/>
          <w:szCs w:val="32"/>
        </w:rPr>
        <w:t>羁押被刑事拘留、逮捕的犯罪嫌疑人、被告人的场所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 w14:paraId="2DC82B10"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 w14:paraId="3343DF41">
      <w:pPr>
        <w:widowControl/>
        <w:spacing w:line="600" w:lineRule="exact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岳阳市公安局监所管理支队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内设机构包括：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内务管理大队、监所侦查大队、市第一看守所、市第二看守所、市拘留所、市强制隔离戒毒所、市特殊病人治疗所。</w:t>
      </w:r>
    </w:p>
    <w:p w14:paraId="22103C9C">
      <w:pPr>
        <w:ind w:firstLine="640" w:firstLineChars="200"/>
        <w:jc w:val="left"/>
        <w:rPr>
          <w:rFonts w:ascii="仿宋_GB2312" w:eastAsia="仿宋_GB2312" w:hAnsiTheme="minorEastAsia"/>
          <w:sz w:val="28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本单位无独立核算的下属单位，2024年度部门决算汇总公开单位仅包括岳阳市公安局监所管理支队本级。</w:t>
      </w:r>
    </w:p>
    <w:p w14:paraId="177CA6B0"/>
    <w:p w14:paraId="3CE56614">
      <w:pPr>
        <w:pStyle w:val="9"/>
      </w:pPr>
    </w:p>
    <w:p w14:paraId="70B4D569">
      <w:pPr>
        <w:pStyle w:val="5"/>
      </w:pPr>
    </w:p>
    <w:p w14:paraId="5B1D6CBC"/>
    <w:p w14:paraId="7D6C31E4">
      <w:pPr>
        <w:pStyle w:val="9"/>
      </w:pPr>
    </w:p>
    <w:p w14:paraId="056E4ECA">
      <w:pPr>
        <w:pStyle w:val="5"/>
      </w:pPr>
    </w:p>
    <w:p w14:paraId="3288C9C5"/>
    <w:p w14:paraId="14507043">
      <w:pPr>
        <w:pStyle w:val="9"/>
      </w:pPr>
    </w:p>
    <w:p w14:paraId="465EA8BD">
      <w:pPr>
        <w:pStyle w:val="5"/>
      </w:pPr>
    </w:p>
    <w:p w14:paraId="49E51758"/>
    <w:p w14:paraId="3DC8C6CD">
      <w:pPr>
        <w:pStyle w:val="9"/>
      </w:pPr>
    </w:p>
    <w:p w14:paraId="36E702E5">
      <w:pPr>
        <w:pStyle w:val="5"/>
      </w:pPr>
    </w:p>
    <w:p w14:paraId="0416550A"/>
    <w:p w14:paraId="28B49BCE">
      <w:pPr>
        <w:pStyle w:val="9"/>
      </w:pPr>
    </w:p>
    <w:p w14:paraId="43291855">
      <w:pPr>
        <w:pStyle w:val="5"/>
      </w:pPr>
    </w:p>
    <w:p w14:paraId="7CD92489"/>
    <w:p w14:paraId="5267F12B">
      <w:pPr>
        <w:pStyle w:val="9"/>
      </w:pPr>
    </w:p>
    <w:p w14:paraId="28828498">
      <w:pPr>
        <w:pStyle w:val="5"/>
      </w:pPr>
    </w:p>
    <w:p w14:paraId="04E62672"/>
    <w:p w14:paraId="1D6D7A8B">
      <w:pPr>
        <w:pStyle w:val="9"/>
      </w:pPr>
    </w:p>
    <w:p w14:paraId="2E47952B">
      <w:pPr>
        <w:pStyle w:val="5"/>
      </w:pPr>
    </w:p>
    <w:p w14:paraId="18A19BE5"/>
    <w:p w14:paraId="7CCBF86D">
      <w:pPr>
        <w:pStyle w:val="9"/>
      </w:pPr>
    </w:p>
    <w:p w14:paraId="1B682574">
      <w:pPr>
        <w:pStyle w:val="14"/>
        <w:jc w:val="both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61BBFC8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5FB02ED5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860F185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50A5962C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 w14:paraId="325AF5B5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0568D1B8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5C65B646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2EA5E89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3BFFD84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4565BABE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EEAB3EF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03C04A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A44A82E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6211665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804FBA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7D53C949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F77A5A6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 w14:paraId="17862F93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6EEC30AB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17367C1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514C0722">
      <w:pPr>
        <w:pStyle w:val="14"/>
        <w:jc w:val="both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111D7AB8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2411C08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4952774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3684.02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3684.02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新增独立核算单位。</w:t>
      </w:r>
    </w:p>
    <w:p w14:paraId="07DA9E3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4BD8770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</w:t>
      </w:r>
      <w:r>
        <w:rPr>
          <w:rFonts w:hint="eastAsia" w:ascii="仿宋_GB2312" w:eastAsia="仿宋_GB2312" w:cs="仿宋_GB2312"/>
          <w:sz w:val="32"/>
          <w:szCs w:val="32"/>
          <w:lang w:val="en-US" w:eastAsia="zh-CN" w:bidi="ar"/>
        </w:rPr>
        <w:t>3684.02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3678.50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99.85%</w:t>
      </w:r>
      <w:r>
        <w:rPr>
          <w:rFonts w:hint="eastAsia" w:ascii="仿宋_GB2312" w:hAnsi="仿宋_GB2312" w:eastAsia="仿宋_GB2312" w:cs="仿宋_GB2312"/>
          <w:sz w:val="32"/>
          <w:szCs w:val="32"/>
        </w:rPr>
        <w:t>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2D1A2B4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5F6E418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2572.62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69.94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1105.92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30.06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6985752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2309342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" w:hAnsi="楷体" w:eastAsia="楷体" w:cs="楷体"/>
          <w:i/>
          <w:i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万元，与上年相比，增加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新增独立核算单位。</w:t>
      </w:r>
    </w:p>
    <w:p w14:paraId="4BB30A6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6023283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 w14:paraId="5AD3447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新增独立核算单位。</w:t>
      </w:r>
    </w:p>
    <w:p w14:paraId="66C54C8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（二）一般公共预算财政拨款支出决算结构情况</w:t>
      </w:r>
    </w:p>
    <w:p w14:paraId="1BE9472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万元，主要用于以下方面：公共安全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类）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3189.62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86.71</w:t>
      </w:r>
      <w:r>
        <w:rPr>
          <w:rFonts w:hint="eastAsia" w:ascii="仿宋_GB2312" w:hAnsi="仿宋_GB2312" w:eastAsia="仿宋_GB2312" w:cs="仿宋_GB2312"/>
          <w:sz w:val="32"/>
          <w:szCs w:val="32"/>
        </w:rPr>
        <w:t>%；社会保障和就业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类）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214.66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5.84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，卫生健康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类）支出123.59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3.36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，住房保障（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支出150.63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4.09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CDBADF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 w14:paraId="5B07DAE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年度财政拨款支出年初预算数为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3402.82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108.1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 w14:paraId="237A4D6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1、公共安全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公安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行政运行。</w:t>
      </w:r>
    </w:p>
    <w:p w14:paraId="04098D8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公共安全支出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（类）公安（款）行政运行（项）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1828.34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1796.11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98.24%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，决算数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小于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年初预算数的主要原因是人员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调出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 w14:paraId="1E12ED7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、公共安全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公安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一般行政管理事务。</w:t>
      </w:r>
    </w:p>
    <w:p w14:paraId="192C8F4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eastAsia="zh-CN"/>
        </w:rPr>
        <w:t>公共安全支出（类）公安（款）一般行政管理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事务（项）。年初预算为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1037.96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675.56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65.09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%，决算数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小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于预算数的主要原因是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人员调出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。</w:t>
      </w:r>
    </w:p>
    <w:p w14:paraId="14A49E1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公共安全支出（类）公安（款）其他公安支出（项）。年初预算为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万元，支出决算为618.99万元，决算数大于预算数的主要原因是年中追加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专项经费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及其他资金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通过该项目下达。</w:t>
      </w:r>
    </w:p>
    <w:p w14:paraId="21EEEE5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公共安全支出（类）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其他公共安全支出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（款）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其他公共安全支出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（项）。年初预算为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98.96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万元，决算数大于预算数的主要原因是年中追加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的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专项经费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及其他资金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通过该项目下达。</w:t>
      </w:r>
    </w:p>
    <w:p w14:paraId="35B4C69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社会保障和就业支出（类）行政事业单位养老支出（款）机关事业单位基本养老保险缴费支出（项）。年初预算为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208.06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200.92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96.47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小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于年初预算数的主要原因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是人员异动。</w:t>
      </w:r>
    </w:p>
    <w:p w14:paraId="0E3D90F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社会保障和就业支出（类）残疾人事业（款）其他残疾人事业支出（项）。年初预算为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13.74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13.74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万元，完成年初预算的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 w14:paraId="075F41A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7、卫生健康支出（类）行政事业单位医疗（款）行政单位医疗（项）年初预算164.09万元，支出决算为123.59万元。完成年初预算的75.32%，决算数小于年初预算数的主要原因是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人员异动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。</w:t>
      </w:r>
    </w:p>
    <w:p w14:paraId="78AD7C0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8、住房保障支出（类）住房改革支出（款）住房公积金（项）。年初预算150.63万元，支出决算数为150.63万元。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完成年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初预算的100%。</w:t>
      </w:r>
    </w:p>
    <w:p w14:paraId="373E8BA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2830711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2572.58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 w14:paraId="2727138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2268.53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88.18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%,主要包括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基本工资、津贴补贴、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奖金、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伙食补助费、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机关事业单位基本养老保险缴费、职工基本医疗保险缴费、其他社会保障缴费、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住房公积金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BAAD59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304.05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11.82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%，主要包括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办公费、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印刷费、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邮电费、差旅费、维修（护）费、培训费、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被装购置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费、劳务费、其他交通费用、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工会经费、办公设备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购置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专用设备购置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38B276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 w14:paraId="1259255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万元；年初结转和结余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万元；年末结转和结余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28BDC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 w14:paraId="02E531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2024年度国有资本经营预算财政拨款收入0万元；年初结转和结余0万；支出0万元，</w:t>
      </w:r>
      <w:r>
        <w:rPr>
          <w:rFonts w:hint="eastAsia" w:ascii="仿宋_GB2312" w:hAnsi="仿宋_GB2312" w:eastAsia="仿宋_GB2312" w:cs="仿宋_GB2312"/>
          <w:i w:val="0"/>
          <w:iCs/>
          <w:color w:val="000000" w:themeColor="text1"/>
          <w:kern w:val="0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其中：基本支出0万元，项目支出0万元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；年末结转和结余0万元。</w:t>
      </w:r>
    </w:p>
    <w:p w14:paraId="5876C25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15101EFF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“三公”</w:t>
      </w:r>
      <w:r>
        <w:rPr>
          <w:rFonts w:ascii="Times New Roman" w:hAnsi="Times New Roman" w:eastAsia="楷体_GB2312" w:cs="Times New Roman"/>
          <w:b/>
          <w:sz w:val="32"/>
          <w:szCs w:val="32"/>
        </w:rPr>
        <w:t>经费财政拨款支出决算总体情况说明</w:t>
      </w:r>
    </w:p>
    <w:p w14:paraId="47705145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2024年度“三公”经费财政拨款支出预算为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30.9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23.61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76.41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%。决算数小于预算数的主要原因是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我单位严格按预算执行决算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决算数小于上年数的主要原因是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新增独立核算单位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65425370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（二）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“三公”</w:t>
      </w:r>
      <w:r>
        <w:rPr>
          <w:rFonts w:ascii="Times New Roman" w:hAnsi="Times New Roman" w:eastAsia="楷体_GB2312" w:cs="Times New Roman"/>
          <w:b/>
          <w:sz w:val="32"/>
          <w:szCs w:val="32"/>
        </w:rPr>
        <w:t>经费财政拨款支出决算具体情况说明</w:t>
      </w:r>
    </w:p>
    <w:p w14:paraId="61F7A1C6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/>
          <w:bCs/>
          <w:i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1.因公出国（境）费支出预算为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决算数等于预算数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，主要原因是我单位严格按预算执行决算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与上年一致，无增减变动，主要原因是未安排因公出国（境）活动。</w:t>
      </w:r>
      <w:r>
        <w:rPr>
          <w:rFonts w:ascii="Times New Roman" w:hAnsi="Times New Roman" w:eastAsia="仿宋_GB2312" w:cs="Times New Roman"/>
          <w:sz w:val="32"/>
          <w:szCs w:val="32"/>
        </w:rPr>
        <w:t>2024年度安排因公出国（境）团组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个，累计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人次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F573AF0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2.公务用车购置费及运行维护费支出预算为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23.1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76.41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23.1</w:t>
      </w:r>
      <w:r>
        <w:rPr>
          <w:rFonts w:ascii="Times New Roman" w:hAnsi="Times New Roman" w:eastAsia="仿宋_GB2312" w:cs="Times New Roman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 w:cs="Times New Roman"/>
          <w:sz w:val="32"/>
          <w:szCs w:val="32"/>
        </w:rPr>
        <w:t>%。其中：</w:t>
      </w:r>
    </w:p>
    <w:p w14:paraId="31E51BE0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公务用车购置费支出预算为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决算数等于预算数，主要原因是我单位严格按预算执行决算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与上年一致，无增减变动，主要原因是两年均未购置公务用车。本单位</w:t>
      </w:r>
      <w:r>
        <w:rPr>
          <w:rFonts w:ascii="Times New Roman" w:hAnsi="Times New Roman" w:eastAsia="仿宋_GB2312" w:cs="Times New Roman"/>
          <w:sz w:val="32"/>
          <w:szCs w:val="32"/>
        </w:rPr>
        <w:t>更新公务用车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DE6E3AF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公务用车运行维护费支出预算为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23.61</w:t>
      </w:r>
      <w:r>
        <w:rPr>
          <w:rFonts w:ascii="Times New Roman" w:hAnsi="Times New Roman" w:eastAsia="仿宋_GB2312" w:cs="Times New Roman"/>
          <w:sz w:val="32"/>
          <w:szCs w:val="32"/>
        </w:rPr>
        <w:t>万元，</w:t>
      </w:r>
    </w:p>
    <w:p w14:paraId="34306980">
      <w:pPr>
        <w:pStyle w:val="14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楷体" w:cs="Times New Roman"/>
          <w:b/>
          <w:bCs/>
          <w:i/>
          <w:color w:val="FF00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主要是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公车油料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、车辆维修保养、车辆过路过桥费和车辆保险费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ascii="Times New Roman" w:hAnsi="Times New Roman" w:eastAsia="仿宋_GB2312" w:cs="Times New Roman"/>
          <w:sz w:val="32"/>
          <w:szCs w:val="32"/>
        </w:rPr>
        <w:t>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76.41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23.61</w:t>
      </w:r>
      <w:r>
        <w:rPr>
          <w:rFonts w:ascii="Times New Roman" w:hAnsi="Times New Roman" w:eastAsia="仿宋_GB2312" w:cs="Times New Roman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 w:cs="Times New Roman"/>
          <w:sz w:val="32"/>
          <w:szCs w:val="32"/>
        </w:rPr>
        <w:t>%。决算数小于预算数的主要原因是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按相关政策厉行节约</w:t>
      </w:r>
      <w:r>
        <w:rPr>
          <w:rFonts w:ascii="Times New Roman" w:hAnsi="Times New Roman" w:eastAsia="仿宋_GB2312" w:cs="Times New Roman"/>
          <w:sz w:val="32"/>
          <w:szCs w:val="32"/>
        </w:rPr>
        <w:t>。决算数大于上年数的主要原因是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新增独立核算单位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截止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到</w:t>
      </w:r>
      <w:r>
        <w:rPr>
          <w:rFonts w:ascii="Times New Roman" w:hAnsi="Times New Roman" w:eastAsia="仿宋_GB2312" w:cs="Times New Roman"/>
          <w:sz w:val="32"/>
          <w:szCs w:val="32"/>
        </w:rPr>
        <w:t>2024年12月31日，我单位开支财政拨款的公务用车保有量为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 w:cs="Times New Roman"/>
          <w:sz w:val="32"/>
          <w:szCs w:val="32"/>
        </w:rPr>
        <w:t>辆。</w:t>
      </w:r>
    </w:p>
    <w:p w14:paraId="43378326">
      <w:pPr>
        <w:numPr>
          <w:ilvl w:val="0"/>
          <w:numId w:val="2"/>
        </w:numPr>
        <w:ind w:firstLine="640" w:firstLineChars="200"/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公务接待费支出预算为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0.9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%；与上年相比增加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%。决算数小于预算数的主要原因是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严格执行中央八项规定</w:t>
      </w:r>
      <w:r>
        <w:rPr>
          <w:rFonts w:ascii="Times New Roman" w:hAnsi="Times New Roman" w:eastAsia="仿宋_GB2312" w:cs="Times New Roman"/>
          <w:sz w:val="32"/>
          <w:szCs w:val="32"/>
        </w:rPr>
        <w:t>。决算数大于上年数的主要原因是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新增独立核算单位</w:t>
      </w:r>
      <w:r>
        <w:rPr>
          <w:rFonts w:ascii="Times New Roman" w:hAnsi="Times New Roman" w:eastAsia="仿宋_GB2312" w:cs="Times New Roman"/>
          <w:sz w:val="32"/>
          <w:szCs w:val="32"/>
        </w:rPr>
        <w:t>。2024年度共接待来访团组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个、来宾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人次。</w:t>
      </w:r>
    </w:p>
    <w:p w14:paraId="3D06ACE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 w14:paraId="38BA3ACD">
      <w:pPr>
        <w:pStyle w:val="14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年度机关运行经费支出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304.05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比上年决算数增加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304.05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%。主要原因是：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新增独立核算单位</w:t>
      </w:r>
      <w:r>
        <w:rPr>
          <w:rFonts w:hint="eastAsia" w:ascii="楷体" w:hAnsi="楷体" w:eastAsia="楷体" w:cs="楷体"/>
          <w:sz w:val="32"/>
          <w:szCs w:val="32"/>
        </w:rPr>
        <w:t>。</w:t>
      </w:r>
    </w:p>
    <w:p w14:paraId="39684EF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 w14:paraId="5E588319">
      <w:pPr>
        <w:pStyle w:val="14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2024年度，本单位无会议费的预算和支出决算数；本单位无举办节庆、晚会、论坛、赛事等活动的预算和支出决算数。</w:t>
      </w:r>
    </w:p>
    <w:p w14:paraId="6BF19328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培训费年初预算1万元，支出决算为4.08万元，完成年初预算的408%。用于开展业务培训，人数30人，内容为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新警培训、公安警务技能培训，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监管民警监管业务培训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252D0BE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347DAC8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759.61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759.61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759.61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759.61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授予中小企业合同金额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%。货物采购授予中小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企业合同金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额占货物支出金额的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%，工程采购授予中小企业合同金额占工程支出金额的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%，服务采购授予中小企业合同金额占服务支出金额的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246A0DF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 w14:paraId="0044E38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部门（单位）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辆；单位价值100万元以上设备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台（套）。</w:t>
      </w:r>
    </w:p>
    <w:p w14:paraId="0A8224A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highlight w:val="none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绩效</w:t>
      </w:r>
      <w:r>
        <w:rPr>
          <w:rFonts w:hint="eastAsia" w:hAnsi="黑体" w:cs="黑体"/>
          <w:b w:val="0"/>
          <w:bCs/>
          <w:color w:val="auto"/>
          <w:sz w:val="32"/>
          <w:szCs w:val="32"/>
          <w:highlight w:val="none"/>
          <w:lang w:eastAsia="zh-CN"/>
        </w:rPr>
        <w:t>管理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情况的说明</w:t>
      </w:r>
    </w:p>
    <w:p w14:paraId="0EB60D67">
      <w:pPr>
        <w:overflowPunct w:val="0"/>
        <w:spacing w:line="600" w:lineRule="exact"/>
        <w:ind w:firstLine="640" w:firstLineChars="2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（一）绩效评价工作开展情况</w:t>
      </w:r>
    </w:p>
    <w:p w14:paraId="6F9D9A5C"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绩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效自评开展情况。</w:t>
      </w:r>
    </w:p>
    <w:p w14:paraId="2559DDC6"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组织对2024年度本部门（单位）整体支出开展绩效自评，涉及项目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个，共涉及资金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1138.6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万元。其中，一般公共预算项目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1138.6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万元，占一般公共预算支出总额的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30.95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%；政府性基金预算项目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万元，占政府性基金预算支出总额的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%；国有资本经营预算项目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万元，占国有资本经营预算支出总额的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%；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社会保险基金预算项目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万元，占社会保险基金预算支出总额的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%。</w:t>
      </w:r>
    </w:p>
    <w:p w14:paraId="6971C9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2024年我支队认真履职，落实监管场所安全保障职责，确保监管场所安全稳定正常运行。</w:t>
      </w:r>
    </w:p>
    <w:p w14:paraId="5304D52A">
      <w:pPr>
        <w:pStyle w:val="15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 xml:space="preserve"> 监所安全“零事故”：全年未发生责任性在押人员脱逃、非正常死亡、重伤、暴狱、骚乱、等重大安全责任事故。严格落实各项安全管理制度，常态化开展安全风险评估与隐患排查整治，重点部位（监室门禁、AB门、围墙周界、监控系统等）运行正常率保持在100%。</w:t>
      </w:r>
    </w:p>
    <w:p w14:paraId="38579EF3">
      <w:pPr>
        <w:pStyle w:val="15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执法流程严格规范：收押、提讯、提解、会见、出所等关键执法环节程序合法、手续完备、记录清晰。</w:t>
      </w:r>
    </w:p>
    <w:p w14:paraId="5757A9CD">
      <w:pPr>
        <w:pStyle w:val="15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权益保障落实有力：严格落实在押人员伙食、医疗、卫生等基本生活保障标准。驻所医疗机构运行规范，开展日常巡诊，及时救治急危重症病患，全年未发生在押人员因病死亡事故。</w:t>
      </w:r>
    </w:p>
    <w:p w14:paraId="3A882C31">
      <w:pPr>
        <w:pStyle w:val="15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保障刑事诉讼顺畅：积极配合办案单位开展提讯、辨认、开庭等工作，确保刑事诉讼活动高效进行。积极开展对社会危险性评估、重点人员管控等工作，为维护社会大局稳定提供支撑。</w:t>
      </w:r>
    </w:p>
    <w:p w14:paraId="7ACB9186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部门评价开展情况。</w:t>
      </w:r>
    </w:p>
    <w:p w14:paraId="0481C757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Chars="0" w:firstLine="640" w:firstLineChars="200"/>
        <w:jc w:val="left"/>
        <w:textAlignment w:val="auto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组织对所属单位2024年度“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给养费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监管场所业务经费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个项目开展了部门评价，涉及一般公共预算支出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1138.6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万元，政府性基金预算支出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万元，国有资本经营预算支出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万元，社会保险基金预算支出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</w:t>
      </w:r>
    </w:p>
    <w:p w14:paraId="0BBFDE1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Chars="200" w:firstLine="320" w:firstLineChars="100"/>
        <w:jc w:val="left"/>
        <w:textAlignment w:val="auto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事前绩效评估开展情况。</w:t>
      </w:r>
    </w:p>
    <w:p w14:paraId="31C02393">
      <w:pPr>
        <w:overflowPunct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本单位及所属单位本年度未新增重大政策和重大项目，所以无事前绩效评估开展情况。</w:t>
      </w:r>
    </w:p>
    <w:p w14:paraId="6FC8205B">
      <w:pPr>
        <w:overflowPunct w:val="0"/>
        <w:spacing w:line="600" w:lineRule="exact"/>
        <w:ind w:firstLine="640" w:firstLineChars="2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（二）绩效评价结果</w:t>
      </w:r>
    </w:p>
    <w:p w14:paraId="162AC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绩效自评结果。</w:t>
      </w:r>
    </w:p>
    <w:p w14:paraId="3F323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2024年度本部门（单位）整体支出</w:t>
      </w:r>
      <w:r>
        <w:rPr>
          <w:rFonts w:ascii="Times New Roman" w:hAnsi="Times New Roman" w:eastAsia="仿宋_GB2312" w:cs="Times New Roman"/>
          <w:sz w:val="32"/>
          <w:szCs w:val="32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3684.02</w:t>
      </w:r>
      <w:r>
        <w:rPr>
          <w:rFonts w:ascii="Times New Roman" w:hAnsi="Times New Roman" w:eastAsia="仿宋_GB2312" w:cs="Times New Roman"/>
          <w:sz w:val="32"/>
          <w:szCs w:val="32"/>
        </w:rPr>
        <w:t>万元，执行数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3678.54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99.85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，绩效自评得分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95</w:t>
      </w:r>
      <w:r>
        <w:rPr>
          <w:rFonts w:ascii="Times New Roman" w:hAnsi="Times New Roman" w:eastAsia="仿宋_GB2312" w:cs="Times New Roman"/>
          <w:sz w:val="32"/>
          <w:szCs w:val="32"/>
        </w:rPr>
        <w:t>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评价等级为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优</w:t>
      </w:r>
      <w:r>
        <w:rPr>
          <w:rFonts w:ascii="Times New Roman" w:hAnsi="Times New Roman" w:eastAsia="仿宋_GB2312" w:cs="Times New Roman"/>
          <w:sz w:val="32"/>
          <w:szCs w:val="32"/>
        </w:rPr>
        <w:t>”。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。绩效目标完成情况：一是全力维护大局稳定，维护社会长治久安；二是</w:t>
      </w:r>
      <w:r>
        <w:rPr>
          <w:rFonts w:hint="eastAsia" w:ascii="Times New Roman" w:hAnsi="Times New Roman" w:eastAsia="仿宋_GB2312" w:cs="仿宋_GB2312"/>
          <w:sz w:val="32"/>
          <w:szCs w:val="32"/>
        </w:rPr>
        <w:t>确保刑事诉讼活动的顺利进行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；三是</w:t>
      </w:r>
      <w:r>
        <w:rPr>
          <w:rFonts w:hint="eastAsia" w:ascii="Times New Roman" w:hAnsi="Times New Roman" w:eastAsia="仿宋_GB2312" w:cs="仿宋_GB2312"/>
          <w:sz w:val="32"/>
          <w:szCs w:val="32"/>
        </w:rPr>
        <w:t>确保监所工作的正常运转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3D5FBC3E">
      <w:pPr>
        <w:numPr>
          <w:ilvl w:val="0"/>
          <w:numId w:val="0"/>
        </w:numPr>
        <w:overflowPunct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部门评价结果。</w:t>
      </w:r>
    </w:p>
    <w:p w14:paraId="149D58A5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其他资金项目全年预算数5.52万元，执行数0.04万元，完成预算的0%，部门评价得分95分，评价等级为“优”。</w:t>
      </w:r>
    </w:p>
    <w:p w14:paraId="03039290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办案费项目全年预算数365万元，执行数331.4万元，完成预算的90%，部门评价得分99分，评价等级为“优”。</w:t>
      </w:r>
    </w:p>
    <w:p w14:paraId="0ECE11A8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给养费项目全年预算数502.98万元，执行数432.04万元，完成预算的0%，部门评价得分95分，评价等级为“优”。</w:t>
      </w:r>
    </w:p>
    <w:p w14:paraId="15CB56E9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监管场所业务经费项目全年预算数93.36万元，执行数93.36万元，完成预算的100%，部门评价得分100分，评价等级为“优”。</w:t>
      </w:r>
    </w:p>
    <w:p w14:paraId="22B5FD97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人民警察值勤岗位津贴及加班补助项目全年预算数172.8万元，执行数172.8万元，完成预算的100%，部门评价得分99.5分，评价等级为“优”。</w:t>
      </w:r>
    </w:p>
    <w:p w14:paraId="7B377165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特殊病人收治经费项目全年预算数100万元，执行数98.96万元，完成预算的98.96%，部门评价得分99.8分，评价等级为“优”。</w:t>
      </w:r>
    </w:p>
    <w:p w14:paraId="6ED28CC1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医护人员特殊岗位津贴项目全年预算数10万元，执行数10万元，完成预算的100%，部门评价得分100分，评价等级为“优”。</w:t>
      </w:r>
    </w:p>
    <w:p w14:paraId="7DE99029">
      <w:pPr>
        <w:pStyle w:val="1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  <w:lang w:val="en-US" w:eastAsia="zh-CN"/>
        </w:rPr>
        <w:t>事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前绩效评估结果</w:t>
      </w:r>
    </w:p>
    <w:p w14:paraId="6A107A6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color w:val="FF0000"/>
          <w:sz w:val="32"/>
          <w:szCs w:val="32"/>
        </w:rPr>
      </w:pPr>
      <w:r>
        <w:rPr>
          <w:rFonts w:hint="eastAsia" w:ascii="Times New Roman" w:hAnsi="Times New Roman" w:eastAsia="FangSong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本单位及所属单位本年度未开展事前绩效评估，所以无事前绩效评估结果。</w:t>
      </w:r>
    </w:p>
    <w:p w14:paraId="2C89E516">
      <w:pPr>
        <w:numPr>
          <w:ilvl w:val="0"/>
          <w:numId w:val="5"/>
        </w:numPr>
        <w:autoSpaceDE w:val="0"/>
        <w:autoSpaceDN w:val="0"/>
        <w:adjustRightInd w:val="0"/>
        <w:ind w:firstLine="640" w:firstLineChars="200"/>
        <w:jc w:val="left"/>
        <w:rPr>
          <w:rFonts w:ascii="Times New Roman" w:hAnsi="Times New Roman" w:eastAsia="楷体_GB2312" w:cs="Times New Roman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ascii="Times New Roman" w:hAnsi="Times New Roman" w:eastAsia="楷体_GB2312" w:cs="Times New Roman"/>
          <w:b/>
          <w:bCs/>
          <w:color w:val="auto"/>
          <w:kern w:val="2"/>
          <w:sz w:val="32"/>
          <w:szCs w:val="32"/>
          <w:highlight w:val="none"/>
        </w:rPr>
        <w:t>评价结果应用情况</w:t>
      </w:r>
    </w:p>
    <w:p w14:paraId="62AC46C2"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eastAsia="zh-CN"/>
        </w:rPr>
        <w:t>2024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</w:rPr>
        <w:t>市公安局监管支队始终坚持以确保监所安全为第一要务，以提升规范执法水平为核心目标，以维护在押人员合法权益为基本遵循，紧紧围绕年度重点工作部署，扎实推进各项工作任务落实。全体民警、辅警恪尽职守、攻坚克难，部门整体绩效表现良好，有力保障了全市公安监管工作的安全、规范、有序运行。</w:t>
      </w:r>
    </w:p>
    <w:p w14:paraId="45C4011F">
      <w:pPr>
        <w:pStyle w:val="9"/>
      </w:pPr>
    </w:p>
    <w:p w14:paraId="47586AB8">
      <w:pPr>
        <w:autoSpaceDE w:val="0"/>
        <w:autoSpaceDN w:val="0"/>
        <w:adjustRightInd w:val="0"/>
        <w:ind w:firstLine="640" w:firstLineChars="200"/>
        <w:jc w:val="left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 w14:paraId="147E06D0">
      <w:pPr>
        <w:pStyle w:val="14"/>
        <w:jc w:val="both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p w14:paraId="3D83FDA1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FB6F211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A01B6B0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75C1000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591CBF2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A525AF9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A5A782C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2DDD6447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41992F86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571298D0">
      <w:pPr>
        <w:pStyle w:val="9"/>
      </w:pPr>
    </w:p>
    <w:p w14:paraId="5331F884">
      <w:pPr>
        <w:pStyle w:val="5"/>
      </w:pPr>
    </w:p>
    <w:p w14:paraId="2CCAD852"/>
    <w:p w14:paraId="440E89DF">
      <w:pPr>
        <w:pStyle w:val="9"/>
      </w:pPr>
    </w:p>
    <w:p w14:paraId="645B9B76">
      <w:pPr>
        <w:pStyle w:val="5"/>
      </w:pPr>
    </w:p>
    <w:p w14:paraId="539F25AC"/>
    <w:p w14:paraId="47AFAB8F">
      <w:pPr>
        <w:pStyle w:val="9"/>
      </w:pPr>
    </w:p>
    <w:p w14:paraId="479D6353">
      <w:pPr>
        <w:pStyle w:val="5"/>
      </w:pPr>
    </w:p>
    <w:p w14:paraId="648103ED"/>
    <w:p w14:paraId="08A5EA8F">
      <w:pPr>
        <w:pStyle w:val="9"/>
      </w:pPr>
    </w:p>
    <w:p w14:paraId="3FD0BAB6">
      <w:pPr>
        <w:pStyle w:val="5"/>
      </w:pPr>
    </w:p>
    <w:p w14:paraId="1CAE18D7"/>
    <w:p w14:paraId="5994BDDC">
      <w:pPr>
        <w:pStyle w:val="9"/>
      </w:pPr>
    </w:p>
    <w:p w14:paraId="51F60F8D">
      <w:pPr>
        <w:pStyle w:val="5"/>
      </w:pPr>
    </w:p>
    <w:p w14:paraId="715B8195"/>
    <w:p w14:paraId="3F608935">
      <w:pPr>
        <w:pStyle w:val="9"/>
      </w:pPr>
    </w:p>
    <w:p w14:paraId="274FE3C9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1741E604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02E59030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61CE71B9">
      <w:pPr>
        <w:pStyle w:val="9"/>
        <w:rPr>
          <w:rFonts w:hint="eastAsia"/>
        </w:rPr>
      </w:pPr>
    </w:p>
    <w:p w14:paraId="793F6BC2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754BC716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575346AC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印刷费、邮电费、差旅费、会议费、日常维修费、专用材料及一般设备购置费、办公用房水电费、办公用房取暖费、办公用房物业管理费、公务用车运行维护费以及其他费用。</w:t>
      </w:r>
    </w:p>
    <w:p w14:paraId="30E2682B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……</w:t>
      </w:r>
    </w:p>
    <w:p w14:paraId="4A4E5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</w:p>
    <w:p w14:paraId="2AE81CE8">
      <w:pPr>
        <w:pStyle w:val="14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D47518A">
      <w:pPr>
        <w:pStyle w:val="5"/>
      </w:pPr>
    </w:p>
    <w:p w14:paraId="580CF8E4"/>
    <w:p w14:paraId="0C17744C">
      <w:pPr>
        <w:pStyle w:val="9"/>
      </w:pPr>
    </w:p>
    <w:p w14:paraId="7B8BABF4">
      <w:pPr>
        <w:pStyle w:val="5"/>
      </w:pPr>
    </w:p>
    <w:p w14:paraId="1942C0DC"/>
    <w:p w14:paraId="6E2D1EEF">
      <w:pPr>
        <w:pStyle w:val="9"/>
      </w:pPr>
    </w:p>
    <w:p w14:paraId="5F6ABC3B">
      <w:pPr>
        <w:pStyle w:val="5"/>
      </w:pPr>
    </w:p>
    <w:p w14:paraId="51BE6437"/>
    <w:p w14:paraId="05344CBA">
      <w:pPr>
        <w:pStyle w:val="9"/>
      </w:pPr>
    </w:p>
    <w:p w14:paraId="5C9170AD">
      <w:pPr>
        <w:pStyle w:val="5"/>
      </w:pPr>
    </w:p>
    <w:p w14:paraId="29D3A91E"/>
    <w:p w14:paraId="0D2A994E">
      <w:pPr>
        <w:pStyle w:val="9"/>
      </w:pPr>
    </w:p>
    <w:p w14:paraId="59CBCCA7">
      <w:pPr>
        <w:pStyle w:val="5"/>
      </w:pPr>
    </w:p>
    <w:p w14:paraId="67806EBD"/>
    <w:p w14:paraId="7C18BB03">
      <w:pPr>
        <w:pStyle w:val="9"/>
      </w:pPr>
    </w:p>
    <w:p w14:paraId="29230CAD">
      <w:pPr>
        <w:pStyle w:val="5"/>
      </w:pPr>
    </w:p>
    <w:p w14:paraId="724E0A54"/>
    <w:p w14:paraId="496F732E">
      <w:pPr>
        <w:pStyle w:val="9"/>
      </w:pPr>
    </w:p>
    <w:p w14:paraId="354ECFD8">
      <w:pPr>
        <w:pStyle w:val="5"/>
      </w:pPr>
    </w:p>
    <w:p w14:paraId="51C67B38"/>
    <w:p w14:paraId="4D131F3E"/>
    <w:p w14:paraId="7CFBCE3C">
      <w:pPr>
        <w:pStyle w:val="9"/>
      </w:pPr>
    </w:p>
    <w:p w14:paraId="5C3DE094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C1858E3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 w14:paraId="592BF6CA">
      <w:pPr>
        <w:pStyle w:val="14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 w14:paraId="490142D3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 w14:paraId="3243C04E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 w14:paraId="4EAC9354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年部门决算公开表格</w:t>
      </w:r>
    </w:p>
    <w:p w14:paraId="27E2EE8B"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 w14:paraId="045AD96C"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8BA026"/>
    <w:multiLevelType w:val="singleLevel"/>
    <w:tmpl w:val="898BA026"/>
    <w:lvl w:ilvl="0" w:tentative="0">
      <w:start w:val="1"/>
      <w:numFmt w:val="decimal"/>
      <w:suff w:val="space"/>
      <w:lvlText w:val="%1."/>
      <w:lvlJc w:val="left"/>
      <w:rPr>
        <w:rFonts w:hint="default" w:ascii="仿宋_GB2312" w:hAnsi="仿宋_GB2312" w:eastAsia="仿宋_GB2312" w:cs="仿宋_GB2312"/>
        <w:sz w:val="32"/>
        <w:szCs w:val="32"/>
      </w:rPr>
    </w:lvl>
  </w:abstractNum>
  <w:abstractNum w:abstractNumId="1">
    <w:nsid w:val="8EDECFD4"/>
    <w:multiLevelType w:val="singleLevel"/>
    <w:tmpl w:val="8EDECFD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3CBC331"/>
    <w:multiLevelType w:val="singleLevel"/>
    <w:tmpl w:val="E3CBC33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A512B1F"/>
    <w:multiLevelType w:val="singleLevel"/>
    <w:tmpl w:val="1A512B1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B4D8E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59958AD"/>
    <w:rsid w:val="05AB73D8"/>
    <w:rsid w:val="06C857E7"/>
    <w:rsid w:val="08C24A73"/>
    <w:rsid w:val="11944E2C"/>
    <w:rsid w:val="12583BA5"/>
    <w:rsid w:val="13BA5B9C"/>
    <w:rsid w:val="16FA0F9F"/>
    <w:rsid w:val="1D97DEFF"/>
    <w:rsid w:val="1DFF72E5"/>
    <w:rsid w:val="1EFC6F07"/>
    <w:rsid w:val="1F0527A6"/>
    <w:rsid w:val="22993768"/>
    <w:rsid w:val="22AC03C2"/>
    <w:rsid w:val="26CE20CA"/>
    <w:rsid w:val="283B15FE"/>
    <w:rsid w:val="2CFF4839"/>
    <w:rsid w:val="2E6F19C8"/>
    <w:rsid w:val="2FDF85B8"/>
    <w:rsid w:val="2FFFEE04"/>
    <w:rsid w:val="31C95635"/>
    <w:rsid w:val="34DF85B0"/>
    <w:rsid w:val="3B8F36BC"/>
    <w:rsid w:val="405F4299"/>
    <w:rsid w:val="424E37D0"/>
    <w:rsid w:val="43EB5BA5"/>
    <w:rsid w:val="45AC0F39"/>
    <w:rsid w:val="46DA1F17"/>
    <w:rsid w:val="47E0311C"/>
    <w:rsid w:val="491FF225"/>
    <w:rsid w:val="4A007AA5"/>
    <w:rsid w:val="4B09298A"/>
    <w:rsid w:val="4EC310A1"/>
    <w:rsid w:val="4F0E67C1"/>
    <w:rsid w:val="4F1B70E1"/>
    <w:rsid w:val="4F8B7E11"/>
    <w:rsid w:val="4FFD214C"/>
    <w:rsid w:val="5352765A"/>
    <w:rsid w:val="54A715BC"/>
    <w:rsid w:val="5777D4F5"/>
    <w:rsid w:val="57F22B6F"/>
    <w:rsid w:val="58953AAF"/>
    <w:rsid w:val="59DD8326"/>
    <w:rsid w:val="5C4329A6"/>
    <w:rsid w:val="5DEF592A"/>
    <w:rsid w:val="5FC6BB1E"/>
    <w:rsid w:val="5FF720F1"/>
    <w:rsid w:val="622964C1"/>
    <w:rsid w:val="67FF5C0B"/>
    <w:rsid w:val="6BAA4A2F"/>
    <w:rsid w:val="6DDEC5C0"/>
    <w:rsid w:val="6EFC0924"/>
    <w:rsid w:val="6FB74722"/>
    <w:rsid w:val="6FEF8B7E"/>
    <w:rsid w:val="6FF62C2D"/>
    <w:rsid w:val="717FE77F"/>
    <w:rsid w:val="71A6591B"/>
    <w:rsid w:val="737D59BA"/>
    <w:rsid w:val="737F32B1"/>
    <w:rsid w:val="73BD3FCA"/>
    <w:rsid w:val="742177D8"/>
    <w:rsid w:val="75CB5965"/>
    <w:rsid w:val="776BDA01"/>
    <w:rsid w:val="77C37683"/>
    <w:rsid w:val="79FF515B"/>
    <w:rsid w:val="7DFBFF20"/>
    <w:rsid w:val="7E17093E"/>
    <w:rsid w:val="7E9E1962"/>
    <w:rsid w:val="7E9F11B4"/>
    <w:rsid w:val="7F37EC1E"/>
    <w:rsid w:val="7F7C0DDA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B6BE5A03"/>
    <w:rsid w:val="B8C93228"/>
    <w:rsid w:val="C3B4DA5A"/>
    <w:rsid w:val="C4FF458C"/>
    <w:rsid w:val="C7BBD038"/>
    <w:rsid w:val="CBFF70E0"/>
    <w:rsid w:val="CFF50B82"/>
    <w:rsid w:val="CFFFAD89"/>
    <w:rsid w:val="DFFE359E"/>
    <w:rsid w:val="DFFE4FFD"/>
    <w:rsid w:val="DFFF5403"/>
    <w:rsid w:val="EBC3E00A"/>
    <w:rsid w:val="EDFBE100"/>
    <w:rsid w:val="EEABED75"/>
    <w:rsid w:val="EF7E8003"/>
    <w:rsid w:val="F56FDF51"/>
    <w:rsid w:val="F5F3EE78"/>
    <w:rsid w:val="F6B69F17"/>
    <w:rsid w:val="F6E5BB3A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94102"/>
    <w:rsid w:val="FFFF1C8B"/>
    <w:rsid w:val="FF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next w:val="1"/>
    <w:qFormat/>
    <w:uiPriority w:val="0"/>
    <w:pPr>
      <w:widowControl w:val="0"/>
      <w:spacing w:after="120" w:afterLines="0" w:afterAutospacing="0"/>
      <w:jc w:val="both"/>
    </w:pPr>
    <w:rPr>
      <w:rFonts w:ascii="Times New Roman" w:hAnsi="Times New Roman" w:eastAsia="仿宋" w:cs="Times New Roman"/>
      <w:kern w:val="2"/>
      <w:sz w:val="32"/>
      <w:lang w:val="en-US" w:eastAsia="zh-CN"/>
    </w:rPr>
  </w:style>
  <w:style w:type="paragraph" w:styleId="3">
    <w:name w:val="toa heading"/>
    <w:basedOn w:val="1"/>
    <w:next w:val="1"/>
    <w:unhideWhenUsed/>
    <w:qFormat/>
    <w:uiPriority w:val="99"/>
    <w:pPr>
      <w:spacing w:before="120" w:after="200" w:line="276" w:lineRule="auto"/>
    </w:pPr>
  </w:style>
  <w:style w:type="paragraph" w:styleId="4">
    <w:name w:val="Body Text Indent"/>
    <w:basedOn w:val="1"/>
    <w:next w:val="5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Body Text First Indent 2"/>
    <w:basedOn w:val="4"/>
    <w:next w:val="1"/>
    <w:unhideWhenUsed/>
    <w:qFormat/>
    <w:uiPriority w:val="99"/>
    <w:pPr>
      <w:ind w:firstLine="420" w:firstLineChars="2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next w:val="5"/>
    <w:semiHidden/>
    <w:qFormat/>
    <w:uiPriority w:val="0"/>
    <w:pPr>
      <w:snapToGrid w:val="0"/>
      <w:jc w:val="left"/>
    </w:pPr>
    <w:rPr>
      <w:sz w:val="18"/>
      <w:szCs w:val="18"/>
    </w:r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5696</Words>
  <Characters>6298</Characters>
  <Lines>63</Lines>
  <Paragraphs>18</Paragraphs>
  <TotalTime>5</TotalTime>
  <ScaleCrop>false</ScaleCrop>
  <LinksUpToDate>false</LinksUpToDate>
  <CharactersWithSpaces>6320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2020-07-10T18:32:00Z</dcterms:created>
  <dc:creator>李航 null</dc:creator>
  <cp:lastModifiedBy>lynn</cp:lastModifiedBy>
  <cp:lastPrinted>2024-08-11T02:20:00Z</cp:lastPrinted>
  <dcterms:modified xsi:type="dcterms:W3CDTF">2025-09-26T02:18:12Z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F1DA18781D0F425DAF63277FFBCB3E41_13</vt:lpwstr>
  </property>
  <property fmtid="{D5CDD505-2E9C-101B-9397-08002B2CF9AE}" pid="4" name="KSOTemplateDocerSaveRecord">
    <vt:lpwstr>eyJoZGlkIjoiMDY3NzFlMzZmOWI4OTk1MmJiY2M4ZDYxMTM1ZmVlYWYiLCJ1c2VySWQiOiIzNDM2MDI0MDAifQ==</vt:lpwstr>
  </property>
</Properties>
</file>