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DCFF1">
      <w:pPr>
        <w:pStyle w:val="13"/>
        <w:jc w:val="center"/>
        <w:rPr>
          <w:sz w:val="56"/>
          <w:szCs w:val="56"/>
        </w:rPr>
      </w:pPr>
    </w:p>
    <w:p w14:paraId="3BDF5AB8">
      <w:pPr>
        <w:pStyle w:val="13"/>
        <w:jc w:val="center"/>
        <w:rPr>
          <w:sz w:val="56"/>
          <w:szCs w:val="56"/>
        </w:rPr>
      </w:pPr>
    </w:p>
    <w:p w14:paraId="60CA4575">
      <w:pPr>
        <w:pStyle w:val="13"/>
        <w:jc w:val="center"/>
        <w:rPr>
          <w:sz w:val="84"/>
          <w:szCs w:val="84"/>
        </w:rPr>
      </w:pPr>
    </w:p>
    <w:p w14:paraId="215EB31D">
      <w:pPr>
        <w:pStyle w:val="13"/>
        <w:jc w:val="center"/>
        <w:rPr>
          <w:sz w:val="84"/>
          <w:szCs w:val="84"/>
        </w:rPr>
      </w:pPr>
    </w:p>
    <w:p w14:paraId="376C8602">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6934EBE9">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岳阳市统计局</w:t>
      </w:r>
      <w:r>
        <w:rPr>
          <w:rFonts w:hint="eastAsia" w:ascii="方正小标宋_GBK" w:hAnsi="方正小标宋_GBK" w:eastAsia="方正小标宋_GBK" w:cs="方正小标宋_GBK"/>
          <w:sz w:val="84"/>
          <w:szCs w:val="84"/>
        </w:rPr>
        <w:t>部门决算</w:t>
      </w:r>
    </w:p>
    <w:p w14:paraId="3A699C16">
      <w:pPr>
        <w:pStyle w:val="13"/>
        <w:jc w:val="center"/>
        <w:rPr>
          <w:rFonts w:hint="eastAsia" w:ascii="方正小标宋_GBK" w:hAnsi="方正小标宋_GBK" w:eastAsia="方正小标宋_GBK" w:cs="方正小标宋_GBK"/>
          <w:sz w:val="56"/>
          <w:szCs w:val="56"/>
        </w:rPr>
      </w:pPr>
    </w:p>
    <w:p w14:paraId="72C8FB58">
      <w:pPr>
        <w:pStyle w:val="13"/>
        <w:jc w:val="center"/>
        <w:rPr>
          <w:sz w:val="56"/>
          <w:szCs w:val="56"/>
        </w:rPr>
      </w:pPr>
    </w:p>
    <w:p w14:paraId="25018D25">
      <w:pPr>
        <w:pStyle w:val="13"/>
        <w:jc w:val="center"/>
        <w:rPr>
          <w:sz w:val="56"/>
          <w:szCs w:val="56"/>
        </w:rPr>
      </w:pPr>
    </w:p>
    <w:p w14:paraId="5EE73A38">
      <w:pPr>
        <w:pStyle w:val="13"/>
        <w:jc w:val="center"/>
        <w:rPr>
          <w:sz w:val="56"/>
          <w:szCs w:val="56"/>
        </w:rPr>
      </w:pPr>
    </w:p>
    <w:p w14:paraId="297571C5">
      <w:pPr>
        <w:pStyle w:val="13"/>
        <w:jc w:val="center"/>
        <w:rPr>
          <w:sz w:val="32"/>
          <w:szCs w:val="32"/>
        </w:rPr>
      </w:pPr>
    </w:p>
    <w:p w14:paraId="08493D1E">
      <w:pPr>
        <w:pStyle w:val="13"/>
        <w:jc w:val="center"/>
        <w:rPr>
          <w:sz w:val="32"/>
          <w:szCs w:val="32"/>
        </w:rPr>
      </w:pPr>
    </w:p>
    <w:p w14:paraId="5BD6E8BD">
      <w:pPr>
        <w:pStyle w:val="13"/>
        <w:jc w:val="center"/>
        <w:rPr>
          <w:sz w:val="32"/>
          <w:szCs w:val="32"/>
        </w:rPr>
      </w:pPr>
    </w:p>
    <w:p w14:paraId="1062A3B4">
      <w:pPr>
        <w:pStyle w:val="13"/>
        <w:jc w:val="center"/>
        <w:rPr>
          <w:sz w:val="32"/>
          <w:szCs w:val="32"/>
        </w:rPr>
      </w:pPr>
    </w:p>
    <w:p w14:paraId="6311DFC7">
      <w:pPr>
        <w:pStyle w:val="13"/>
        <w:jc w:val="center"/>
        <w:rPr>
          <w:sz w:val="32"/>
          <w:szCs w:val="32"/>
        </w:rPr>
      </w:pPr>
    </w:p>
    <w:p w14:paraId="50228290">
      <w:pPr>
        <w:pStyle w:val="13"/>
        <w:spacing w:line="540" w:lineRule="exact"/>
        <w:jc w:val="center"/>
        <w:rPr>
          <w:sz w:val="56"/>
          <w:szCs w:val="56"/>
        </w:rPr>
      </w:pPr>
    </w:p>
    <w:p w14:paraId="459C483D">
      <w:pPr>
        <w:pStyle w:val="13"/>
        <w:spacing w:line="500" w:lineRule="exact"/>
        <w:jc w:val="both"/>
        <w:rPr>
          <w:b/>
          <w:sz w:val="36"/>
          <w:szCs w:val="28"/>
        </w:rPr>
      </w:pPr>
    </w:p>
    <w:p w14:paraId="24F3309B">
      <w:pPr>
        <w:pStyle w:val="13"/>
        <w:spacing w:line="500" w:lineRule="exact"/>
        <w:jc w:val="center"/>
        <w:rPr>
          <w:b/>
          <w:sz w:val="36"/>
          <w:szCs w:val="28"/>
        </w:rPr>
      </w:pPr>
      <w:r>
        <w:rPr>
          <w:rFonts w:hint="eastAsia"/>
          <w:b/>
          <w:sz w:val="36"/>
          <w:szCs w:val="28"/>
        </w:rPr>
        <w:t>目录</w:t>
      </w:r>
    </w:p>
    <w:p w14:paraId="6CBD0C22">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岳阳市统计局</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14:paraId="060CB1D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315E49DA">
      <w:pPr>
        <w:pStyle w:val="13"/>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14:paraId="3CE431DD">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4B1DE22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28DAEA9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4189E14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621647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8E0B17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A1DA96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2E9A33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16661B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382758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9B4707F">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0D2819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F99AFEC">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9796A8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42F5763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4551B6B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BC2CE3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1D85543">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5F6B554B">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highlight w:val="yellow"/>
        </w:rPr>
      </w:pPr>
      <w:r>
        <w:rPr>
          <w:rFonts w:hint="eastAsia" w:ascii="仿宋_GB2312" w:hAnsi="仿宋_GB2312" w:eastAsia="仿宋_GB2312" w:cs="仿宋_GB2312"/>
          <w:color w:val="000000"/>
          <w:kern w:val="0"/>
          <w:sz w:val="28"/>
          <w:szCs w:val="28"/>
          <w:highlight w:val="none"/>
        </w:rPr>
        <w:t>八、</w:t>
      </w:r>
      <w:r>
        <w:rPr>
          <w:rFonts w:hint="eastAsia" w:ascii="仿宋_GB2312" w:hAnsi="仿宋_GB2312" w:eastAsia="仿宋_GB2312" w:cs="仿宋_GB2312"/>
          <w:sz w:val="28"/>
          <w:szCs w:val="28"/>
          <w:highlight w:val="none"/>
        </w:rPr>
        <w:t>国有资本经营预算财政拨款支出决算</w:t>
      </w:r>
      <w:r>
        <w:rPr>
          <w:rFonts w:hint="eastAsia" w:ascii="仿宋_GB2312" w:hAnsi="仿宋_GB2312" w:eastAsia="仿宋_GB2312" w:cs="仿宋_GB2312"/>
          <w:sz w:val="28"/>
          <w:szCs w:val="28"/>
          <w:highlight w:val="none"/>
          <w:lang w:eastAsia="zh-CN"/>
        </w:rPr>
        <w:t>情况</w:t>
      </w:r>
    </w:p>
    <w:p w14:paraId="71D9102A">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371B64F5">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1624E73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6C86A3E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5E15A64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5BD7D26C">
      <w:pPr>
        <w:pStyle w:val="13"/>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SA"/>
        </w:rPr>
        <w:t>十四、</w:t>
      </w:r>
      <w:r>
        <w:rPr>
          <w:rFonts w:hint="eastAsia" w:ascii="仿宋_GB2312" w:hAnsi="仿宋_GB2312" w:eastAsia="仿宋_GB2312" w:cs="仿宋_GB2312"/>
          <w:sz w:val="28"/>
          <w:szCs w:val="28"/>
          <w:highlight w:val="none"/>
        </w:rPr>
        <w:t>关于</w:t>
      </w:r>
      <w:r>
        <w:rPr>
          <w:rFonts w:hint="default" w:ascii="Times New Roman" w:hAnsi="Times New Roman" w:eastAsia="仿宋_GB2312" w:cs="Times New Roman"/>
          <w:sz w:val="28"/>
          <w:szCs w:val="28"/>
          <w:highlight w:val="none"/>
        </w:rPr>
        <w:t>202</w:t>
      </w:r>
      <w:r>
        <w:rPr>
          <w:rFonts w:hint="eastAsia" w:ascii="Times New Roman" w:hAnsi="Times New Roman" w:eastAsia="仿宋_GB2312" w:cs="Times New Roman"/>
          <w:sz w:val="28"/>
          <w:szCs w:val="28"/>
          <w:highlight w:val="none"/>
          <w:lang w:val="en-US" w:eastAsia="zh-CN"/>
        </w:rPr>
        <w:t>4</w:t>
      </w:r>
      <w:r>
        <w:rPr>
          <w:rFonts w:hint="eastAsia" w:ascii="仿宋_GB2312" w:hAnsi="仿宋_GB2312" w:eastAsia="仿宋_GB2312" w:cs="仿宋_GB2312"/>
          <w:sz w:val="28"/>
          <w:szCs w:val="28"/>
          <w:highlight w:val="none"/>
        </w:rPr>
        <w:t>年度</w:t>
      </w:r>
      <w:r>
        <w:rPr>
          <w:rFonts w:hint="eastAsia" w:ascii="仿宋_GB2312" w:hAnsi="仿宋_GB2312" w:eastAsia="仿宋_GB2312" w:cs="仿宋_GB2312"/>
          <w:sz w:val="28"/>
          <w:szCs w:val="28"/>
          <w:highlight w:val="none"/>
          <w:lang w:eastAsia="zh-CN"/>
        </w:rPr>
        <w:t>预算</w:t>
      </w:r>
      <w:r>
        <w:rPr>
          <w:rFonts w:hint="eastAsia" w:ascii="仿宋_GB2312" w:hAnsi="仿宋_GB2312" w:eastAsia="仿宋_GB2312" w:cs="仿宋_GB2312"/>
          <w:sz w:val="28"/>
          <w:szCs w:val="28"/>
          <w:highlight w:val="none"/>
        </w:rPr>
        <w:t>绩效</w:t>
      </w:r>
      <w:r>
        <w:rPr>
          <w:rFonts w:hint="eastAsia" w:ascii="仿宋_GB2312" w:hAnsi="仿宋_GB2312" w:eastAsia="仿宋_GB2312" w:cs="仿宋_GB2312"/>
          <w:sz w:val="28"/>
          <w:szCs w:val="28"/>
          <w:highlight w:val="none"/>
          <w:lang w:eastAsia="zh-CN"/>
        </w:rPr>
        <w:t>管理</w:t>
      </w:r>
      <w:r>
        <w:rPr>
          <w:rFonts w:hint="eastAsia" w:ascii="仿宋_GB2312" w:hAnsi="仿宋_GB2312" w:eastAsia="仿宋_GB2312" w:cs="仿宋_GB2312"/>
          <w:sz w:val="28"/>
          <w:szCs w:val="28"/>
          <w:highlight w:val="none"/>
        </w:rPr>
        <w:t>情况的说明</w:t>
      </w:r>
    </w:p>
    <w:p w14:paraId="51852483">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7D866A9C">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2E7F14A9">
      <w:pPr>
        <w:pStyle w:val="13"/>
        <w:jc w:val="center"/>
        <w:rPr>
          <w:rFonts w:hint="eastAsia" w:ascii="方正小标宋_GBK" w:hAnsi="方正小标宋_GBK" w:eastAsia="方正小标宋_GBK" w:cs="方正小标宋_GBK"/>
          <w:sz w:val="84"/>
          <w:szCs w:val="84"/>
        </w:rPr>
      </w:pPr>
    </w:p>
    <w:p w14:paraId="1095DEAB">
      <w:pPr>
        <w:pStyle w:val="13"/>
        <w:jc w:val="center"/>
        <w:rPr>
          <w:rFonts w:hint="eastAsia" w:ascii="方正小标宋_GBK" w:hAnsi="方正小标宋_GBK" w:eastAsia="方正小标宋_GBK" w:cs="方正小标宋_GBK"/>
          <w:sz w:val="84"/>
          <w:szCs w:val="84"/>
        </w:rPr>
      </w:pPr>
    </w:p>
    <w:p w14:paraId="0DEEC249">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5C6A94F8">
      <w:pPr>
        <w:pStyle w:val="13"/>
        <w:jc w:val="center"/>
        <w:rPr>
          <w:rFonts w:hint="eastAsia" w:ascii="方正小标宋_GBK" w:hAnsi="方正小标宋_GBK" w:eastAsia="方正小标宋_GBK" w:cs="方正小标宋_GBK"/>
          <w:sz w:val="84"/>
          <w:szCs w:val="84"/>
        </w:rPr>
      </w:pPr>
    </w:p>
    <w:p w14:paraId="5EF69A9D">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岳阳市统计局部门</w:t>
      </w:r>
      <w:r>
        <w:rPr>
          <w:rFonts w:hint="eastAsia" w:ascii="方正小标宋_GBK" w:hAnsi="方正小标宋_GBK" w:eastAsia="方正小标宋_GBK" w:cs="方正小标宋_GBK"/>
          <w:sz w:val="84"/>
          <w:szCs w:val="84"/>
        </w:rPr>
        <w:t>概况</w:t>
      </w:r>
    </w:p>
    <w:p w14:paraId="77A0C778">
      <w:pPr>
        <w:pStyle w:val="8"/>
        <w:rPr>
          <w:rFonts w:hint="eastAsia" w:ascii="方正小标宋_GBK" w:hAnsi="方正小标宋_GBK" w:eastAsia="方正小标宋_GBK" w:cs="方正小标宋_GBK"/>
          <w:sz w:val="84"/>
          <w:szCs w:val="84"/>
        </w:rPr>
      </w:pPr>
    </w:p>
    <w:p w14:paraId="397AC3FB">
      <w:pPr>
        <w:pStyle w:val="5"/>
        <w:rPr>
          <w:rFonts w:hint="eastAsia" w:ascii="方正小标宋_GBK" w:hAnsi="方正小标宋_GBK" w:eastAsia="方正小标宋_GBK" w:cs="方正小标宋_GBK"/>
          <w:sz w:val="84"/>
          <w:szCs w:val="84"/>
        </w:rPr>
      </w:pPr>
    </w:p>
    <w:p w14:paraId="13F2C40A">
      <w:pPr>
        <w:rPr>
          <w:rFonts w:hint="eastAsia" w:ascii="方正小标宋_GBK" w:hAnsi="方正小标宋_GBK" w:eastAsia="方正小标宋_GBK" w:cs="方正小标宋_GBK"/>
          <w:sz w:val="84"/>
          <w:szCs w:val="84"/>
        </w:rPr>
      </w:pPr>
    </w:p>
    <w:p w14:paraId="128B0AE2">
      <w:pPr>
        <w:pStyle w:val="8"/>
        <w:rPr>
          <w:rFonts w:hint="eastAsia" w:ascii="方正小标宋_GBK" w:hAnsi="方正小标宋_GBK" w:eastAsia="方正小标宋_GBK" w:cs="方正小标宋_GBK"/>
          <w:sz w:val="84"/>
          <w:szCs w:val="84"/>
        </w:rPr>
      </w:pPr>
    </w:p>
    <w:p w14:paraId="1469560B">
      <w:pPr>
        <w:pStyle w:val="5"/>
        <w:rPr>
          <w:rFonts w:hint="eastAsia" w:ascii="方正小标宋_GBK" w:hAnsi="方正小标宋_GBK" w:eastAsia="方正小标宋_GBK" w:cs="方正小标宋_GBK"/>
          <w:sz w:val="84"/>
          <w:szCs w:val="84"/>
        </w:rPr>
      </w:pPr>
    </w:p>
    <w:p w14:paraId="55E857AF">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122D56FD">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（一）贯彻执行国家、省统计工作的方针、政策和统计法律、法规，完成国家、省统计调查任务;检查监督统计法规的实施情况，查处各类统计违法行为。</w:t>
      </w:r>
    </w:p>
    <w:p w14:paraId="7A446A5A">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（二）制定并组织实施全市统计改革和统计现代化建设规划及统计调查计划;建立健全全市国民经济核算体系和统计指标体系。</w:t>
      </w:r>
    </w:p>
    <w:p w14:paraId="3A57BCA5">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三）指导和协调全市统计业务工作，组织开展全市有关专项调查；审核市直各有关部门的统计调查计划及其调查方案；根据国务院及省人民政府的统一部署，组织实施全市人口普查、经济普查、农业普查等重大国情国力普查，汇总、整理和提供有关市情市力方面的基础统计数据。</w:t>
      </w:r>
    </w:p>
    <w:p w14:paraId="6A6A910C">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四）为市委、市人民政府制订政策、编制国民经济和社会发展规划提供统计资料，并对全市国民经济、科技进步和社会发展等情况进行统计分析、统计预测、统计检查和监督，向市委、市人民政府及其有关部门提供统计信息和咨询建议。</w:t>
      </w:r>
    </w:p>
    <w:p w14:paraId="72107FC5">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（五）统一核定、管理、公布全市经济、社会、科技的基本统计资料，定期发布全市国民经济和社会发展情况统计公报以及有关普查和专项调查公报;发布社会经济统计信息。</w:t>
      </w:r>
    </w:p>
    <w:p w14:paraId="7FFDEE20">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（六）建立健全和管理全市统计信息自动化系统和统计数据库体系;指导各基层单位加强统计基础建设。</w:t>
      </w:r>
    </w:p>
    <w:p w14:paraId="6EF9694C">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（七）协助有关部门承办全市统计技术资格考试和职称评审有关工作;组织指导全市统计科研、统计教育、统计宣传工作。</w:t>
      </w:r>
    </w:p>
    <w:p w14:paraId="39310939">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（八）负责统一管理全市民情民意调查工作；做好调查方案的设计工作，组织好每一项调查任务的完成，并写出调查分析报告。</w:t>
      </w:r>
    </w:p>
    <w:p w14:paraId="52CA68E4">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bCs/>
          <w:kern w:val="0"/>
          <w:sz w:val="32"/>
          <w:szCs w:val="32"/>
        </w:rPr>
        <w:t>（九）承办市委、市人民政府和上级主管部门交办的其他事项。</w:t>
      </w:r>
    </w:p>
    <w:p w14:paraId="0DB155CB">
      <w:pPr>
        <w:widowControl/>
        <w:spacing w:line="600" w:lineRule="exact"/>
        <w:rPr>
          <w:rFonts w:hint="eastAsia" w:ascii="黑体" w:hAnsi="黑体" w:eastAsia="黑体" w:cs="黑体"/>
          <w:b w:val="0"/>
          <w:bCs/>
          <w:kern w:val="0"/>
          <w:sz w:val="32"/>
          <w:szCs w:val="32"/>
        </w:rPr>
      </w:pPr>
    </w:p>
    <w:p w14:paraId="2DC82B10">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7AF1DC45">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（一）内设机构设置。岳阳市统计局</w:t>
      </w:r>
      <w:r>
        <w:rPr>
          <w:rFonts w:hint="eastAsia" w:ascii="Times New Roman" w:hAnsi="Times New Roman" w:eastAsia="仿宋_GB2312" w:cs="仿宋_GB2312"/>
          <w:bCs/>
          <w:kern w:val="0"/>
          <w:sz w:val="32"/>
          <w:szCs w:val="32"/>
          <w:lang w:eastAsia="zh-CN"/>
        </w:rPr>
        <w:t>单位</w:t>
      </w:r>
      <w:r>
        <w:rPr>
          <w:rFonts w:hint="eastAsia" w:ascii="Times New Roman" w:hAnsi="Times New Roman" w:eastAsia="仿宋_GB2312" w:cs="仿宋_GB2312"/>
          <w:bCs/>
          <w:kern w:val="0"/>
          <w:sz w:val="32"/>
          <w:szCs w:val="32"/>
        </w:rPr>
        <w:t>内设机构包括：办公室、统计执法监督科（岳阳市统计执法监督局）、综合统计与经济研究室、国民经济核算科、工业统计科、能源统计科、投资贸易外经统计科、人口和就业统计科（社会和科技统计科）、服务业统计调查科、普查科、人事科；下设二级机构包括：市统计信息处理中心、市农村抽样调查队、市统计局民意调查中心。</w:t>
      </w:r>
    </w:p>
    <w:p w14:paraId="2B012817">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（二）决算单位构成。本单位无独立核算的下属单位，202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年度部门决算汇总公开单位仅包括</w:t>
      </w:r>
      <w:r>
        <w:rPr>
          <w:rFonts w:hint="eastAsia" w:ascii="Times New Roman" w:hAnsi="Times New Roman" w:eastAsia="仿宋_GB2312" w:cs="仿宋_GB2312"/>
          <w:bCs/>
          <w:kern w:val="0"/>
          <w:sz w:val="32"/>
          <w:szCs w:val="32"/>
          <w:lang w:eastAsia="zh-CN"/>
        </w:rPr>
        <w:t>岳阳市统计局</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14:paraId="38152785"/>
    <w:p w14:paraId="3CE56614">
      <w:pPr>
        <w:pStyle w:val="8"/>
      </w:pPr>
    </w:p>
    <w:p w14:paraId="70B4D569">
      <w:pPr>
        <w:pStyle w:val="5"/>
      </w:pPr>
    </w:p>
    <w:p w14:paraId="5B1D6CBC"/>
    <w:p w14:paraId="7D6C31E4">
      <w:pPr>
        <w:pStyle w:val="8"/>
      </w:pPr>
    </w:p>
    <w:p w14:paraId="056E4ECA">
      <w:pPr>
        <w:pStyle w:val="5"/>
      </w:pPr>
    </w:p>
    <w:p w14:paraId="3288C9C5"/>
    <w:p w14:paraId="14507043">
      <w:pPr>
        <w:pStyle w:val="8"/>
      </w:pPr>
    </w:p>
    <w:p w14:paraId="465EA8BD">
      <w:pPr>
        <w:pStyle w:val="5"/>
      </w:pPr>
    </w:p>
    <w:p w14:paraId="49E51758"/>
    <w:p w14:paraId="3DC8C6CD">
      <w:pPr>
        <w:pStyle w:val="8"/>
      </w:pPr>
    </w:p>
    <w:p w14:paraId="36E702E5">
      <w:pPr>
        <w:pStyle w:val="5"/>
      </w:pPr>
    </w:p>
    <w:p w14:paraId="0416550A"/>
    <w:p w14:paraId="28B49BCE">
      <w:pPr>
        <w:pStyle w:val="8"/>
      </w:pPr>
    </w:p>
    <w:p w14:paraId="43291855">
      <w:pPr>
        <w:pStyle w:val="5"/>
      </w:pPr>
    </w:p>
    <w:p w14:paraId="7CD92489"/>
    <w:p w14:paraId="5267F12B">
      <w:pPr>
        <w:pStyle w:val="8"/>
      </w:pPr>
    </w:p>
    <w:p w14:paraId="28828498">
      <w:pPr>
        <w:pStyle w:val="5"/>
      </w:pPr>
    </w:p>
    <w:p w14:paraId="04E62672"/>
    <w:p w14:paraId="1D6D7A8B">
      <w:pPr>
        <w:pStyle w:val="8"/>
      </w:pPr>
    </w:p>
    <w:p w14:paraId="2E47952B">
      <w:pPr>
        <w:pStyle w:val="5"/>
      </w:pPr>
    </w:p>
    <w:p w14:paraId="18A19BE5"/>
    <w:p w14:paraId="7CCBF86D">
      <w:pPr>
        <w:pStyle w:val="8"/>
      </w:pPr>
    </w:p>
    <w:p w14:paraId="0017F5EC">
      <w:pPr>
        <w:pStyle w:val="5"/>
      </w:pPr>
    </w:p>
    <w:p w14:paraId="76181D4E"/>
    <w:p w14:paraId="1A174866">
      <w:pPr>
        <w:pStyle w:val="13"/>
        <w:jc w:val="center"/>
        <w:rPr>
          <w:rFonts w:hint="eastAsia" w:ascii="方正小标宋_GBK" w:hAnsi="方正小标宋_GBK" w:eastAsia="方正小标宋_GBK" w:cs="方正小标宋_GBK"/>
          <w:sz w:val="84"/>
          <w:szCs w:val="84"/>
        </w:rPr>
      </w:pPr>
    </w:p>
    <w:p w14:paraId="2B49F2B7">
      <w:pPr>
        <w:pStyle w:val="13"/>
        <w:jc w:val="center"/>
        <w:rPr>
          <w:rFonts w:hint="eastAsia" w:ascii="方正小标宋_GBK" w:hAnsi="方正小标宋_GBK" w:eastAsia="方正小标宋_GBK" w:cs="方正小标宋_GBK"/>
          <w:sz w:val="84"/>
          <w:szCs w:val="84"/>
        </w:rPr>
      </w:pPr>
    </w:p>
    <w:p w14:paraId="661BBFC8">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FB02ED5">
      <w:pPr>
        <w:pStyle w:val="13"/>
        <w:jc w:val="center"/>
        <w:rPr>
          <w:rFonts w:hint="eastAsia" w:ascii="方正小标宋_GBK" w:hAnsi="方正小标宋_GBK" w:eastAsia="方正小标宋_GBK" w:cs="方正小标宋_GBK"/>
          <w:sz w:val="84"/>
          <w:szCs w:val="84"/>
        </w:rPr>
      </w:pPr>
    </w:p>
    <w:p w14:paraId="3860F185">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0A5962C">
      <w:pPr>
        <w:pStyle w:val="13"/>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325AF5B5">
      <w:pPr>
        <w:pStyle w:val="13"/>
        <w:jc w:val="center"/>
        <w:rPr>
          <w:rFonts w:hint="eastAsia" w:ascii="仿宋_GB2312" w:hAnsi="仿宋_GB2312" w:eastAsia="仿宋_GB2312" w:cs="仿宋_GB2312"/>
          <w:b w:val="0"/>
          <w:bCs w:val="0"/>
          <w:sz w:val="72"/>
          <w:szCs w:val="72"/>
          <w:lang w:eastAsia="zh-CN"/>
        </w:rPr>
      </w:pPr>
    </w:p>
    <w:p w14:paraId="0568D1B8">
      <w:pPr>
        <w:pStyle w:val="13"/>
        <w:jc w:val="center"/>
        <w:rPr>
          <w:rFonts w:hint="eastAsia" w:ascii="仿宋_GB2312" w:hAnsi="仿宋_GB2312" w:eastAsia="仿宋_GB2312" w:cs="仿宋_GB2312"/>
          <w:b w:val="0"/>
          <w:bCs w:val="0"/>
          <w:sz w:val="72"/>
          <w:szCs w:val="72"/>
          <w:lang w:eastAsia="zh-CN"/>
        </w:rPr>
      </w:pPr>
    </w:p>
    <w:p w14:paraId="5C65B646">
      <w:pPr>
        <w:pStyle w:val="13"/>
        <w:jc w:val="center"/>
        <w:rPr>
          <w:rFonts w:hint="eastAsia" w:ascii="仿宋_GB2312" w:hAnsi="仿宋_GB2312" w:eastAsia="仿宋_GB2312" w:cs="仿宋_GB2312"/>
          <w:b w:val="0"/>
          <w:bCs w:val="0"/>
          <w:sz w:val="72"/>
          <w:szCs w:val="72"/>
          <w:lang w:eastAsia="zh-CN"/>
        </w:rPr>
      </w:pPr>
    </w:p>
    <w:p w14:paraId="62EA5E89">
      <w:pPr>
        <w:pStyle w:val="13"/>
        <w:jc w:val="center"/>
        <w:rPr>
          <w:rFonts w:hint="eastAsia" w:ascii="仿宋_GB2312" w:hAnsi="仿宋_GB2312" w:eastAsia="仿宋_GB2312" w:cs="仿宋_GB2312"/>
          <w:b w:val="0"/>
          <w:bCs w:val="0"/>
          <w:sz w:val="72"/>
          <w:szCs w:val="72"/>
          <w:lang w:eastAsia="zh-CN"/>
        </w:rPr>
      </w:pPr>
    </w:p>
    <w:p w14:paraId="63BFFD84">
      <w:pPr>
        <w:pStyle w:val="13"/>
        <w:jc w:val="center"/>
        <w:rPr>
          <w:rFonts w:hint="eastAsia" w:ascii="仿宋_GB2312" w:hAnsi="仿宋_GB2312" w:eastAsia="仿宋_GB2312" w:cs="仿宋_GB2312"/>
          <w:b w:val="0"/>
          <w:bCs w:val="0"/>
          <w:sz w:val="72"/>
          <w:szCs w:val="72"/>
          <w:lang w:eastAsia="zh-CN"/>
        </w:rPr>
      </w:pPr>
    </w:p>
    <w:p w14:paraId="4565BABE">
      <w:pPr>
        <w:pStyle w:val="13"/>
        <w:jc w:val="center"/>
        <w:rPr>
          <w:rFonts w:hint="eastAsia" w:ascii="仿宋_GB2312" w:hAnsi="仿宋_GB2312" w:eastAsia="仿宋_GB2312" w:cs="仿宋_GB2312"/>
          <w:b w:val="0"/>
          <w:bCs w:val="0"/>
          <w:sz w:val="72"/>
          <w:szCs w:val="72"/>
          <w:lang w:eastAsia="zh-CN"/>
        </w:rPr>
      </w:pPr>
    </w:p>
    <w:p w14:paraId="6EEAB3EF">
      <w:pPr>
        <w:pStyle w:val="13"/>
        <w:jc w:val="center"/>
        <w:rPr>
          <w:rFonts w:hint="eastAsia" w:ascii="仿宋_GB2312" w:hAnsi="仿宋_GB2312" w:eastAsia="仿宋_GB2312" w:cs="仿宋_GB2312"/>
          <w:b w:val="0"/>
          <w:bCs w:val="0"/>
          <w:sz w:val="72"/>
          <w:szCs w:val="72"/>
          <w:lang w:eastAsia="zh-CN"/>
        </w:rPr>
      </w:pPr>
    </w:p>
    <w:p w14:paraId="603C04A7">
      <w:pPr>
        <w:pStyle w:val="13"/>
        <w:jc w:val="center"/>
        <w:rPr>
          <w:rFonts w:hint="eastAsia" w:ascii="方正小标宋_GBK" w:hAnsi="方正小标宋_GBK" w:eastAsia="方正小标宋_GBK" w:cs="方正小标宋_GBK"/>
          <w:sz w:val="72"/>
          <w:szCs w:val="72"/>
        </w:rPr>
      </w:pPr>
    </w:p>
    <w:p w14:paraId="7A44A82E">
      <w:pPr>
        <w:pStyle w:val="13"/>
        <w:jc w:val="center"/>
        <w:rPr>
          <w:rFonts w:hint="eastAsia" w:ascii="方正小标宋_GBK" w:hAnsi="方正小标宋_GBK" w:eastAsia="方正小标宋_GBK" w:cs="方正小标宋_GBK"/>
          <w:sz w:val="72"/>
          <w:szCs w:val="72"/>
        </w:rPr>
      </w:pPr>
    </w:p>
    <w:p w14:paraId="06211665">
      <w:pPr>
        <w:pStyle w:val="13"/>
        <w:jc w:val="both"/>
        <w:rPr>
          <w:rFonts w:hint="eastAsia" w:ascii="方正小标宋_GBK" w:hAnsi="方正小标宋_GBK" w:eastAsia="方正小标宋_GBK" w:cs="方正小标宋_GBK"/>
          <w:sz w:val="72"/>
          <w:szCs w:val="72"/>
        </w:rPr>
      </w:pPr>
    </w:p>
    <w:p w14:paraId="0E8960F9">
      <w:pPr>
        <w:pStyle w:val="13"/>
        <w:jc w:val="both"/>
        <w:rPr>
          <w:rFonts w:hint="eastAsia" w:ascii="方正小标宋_GBK" w:hAnsi="方正小标宋_GBK" w:eastAsia="方正小标宋_GBK" w:cs="方正小标宋_GBK"/>
          <w:sz w:val="72"/>
          <w:szCs w:val="72"/>
        </w:rPr>
      </w:pPr>
    </w:p>
    <w:p w14:paraId="7804FBAA">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7D53C949">
      <w:pPr>
        <w:pStyle w:val="13"/>
        <w:jc w:val="center"/>
        <w:rPr>
          <w:rFonts w:hint="eastAsia" w:ascii="方正小标宋_GBK" w:hAnsi="方正小标宋_GBK" w:eastAsia="方正小标宋_GBK" w:cs="方正小标宋_GBK"/>
          <w:sz w:val="70"/>
          <w:szCs w:val="70"/>
        </w:rPr>
      </w:pPr>
    </w:p>
    <w:p w14:paraId="4F77A5A6">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17862F93">
      <w:pPr>
        <w:pStyle w:val="13"/>
        <w:jc w:val="center"/>
        <w:rPr>
          <w:rFonts w:hint="eastAsia" w:ascii="方正小标宋_GBK" w:hAnsi="方正小标宋_GBK" w:eastAsia="方正小标宋_GBK" w:cs="方正小标宋_GBK"/>
          <w:sz w:val="70"/>
          <w:szCs w:val="70"/>
        </w:rPr>
      </w:pPr>
    </w:p>
    <w:p w14:paraId="6EEC30AB">
      <w:pPr>
        <w:pStyle w:val="13"/>
        <w:jc w:val="center"/>
        <w:rPr>
          <w:rFonts w:hint="eastAsia" w:ascii="方正小标宋_GBK" w:hAnsi="方正小标宋_GBK" w:eastAsia="方正小标宋_GBK" w:cs="方正小标宋_GBK"/>
          <w:sz w:val="70"/>
          <w:szCs w:val="70"/>
        </w:rPr>
      </w:pPr>
    </w:p>
    <w:p w14:paraId="417367C1">
      <w:pPr>
        <w:pStyle w:val="13"/>
        <w:jc w:val="center"/>
        <w:rPr>
          <w:rFonts w:hint="eastAsia" w:ascii="方正小标宋_GBK" w:hAnsi="方正小标宋_GBK" w:eastAsia="方正小标宋_GBK" w:cs="方正小标宋_GBK"/>
          <w:sz w:val="70"/>
          <w:szCs w:val="70"/>
        </w:rPr>
      </w:pPr>
    </w:p>
    <w:p w14:paraId="5EF1049C">
      <w:pPr>
        <w:pStyle w:val="13"/>
        <w:jc w:val="center"/>
        <w:rPr>
          <w:rFonts w:hint="eastAsia" w:ascii="方正小标宋_GBK" w:hAnsi="方正小标宋_GBK" w:eastAsia="方正小标宋_GBK" w:cs="方正小标宋_GBK"/>
          <w:sz w:val="70"/>
          <w:szCs w:val="70"/>
        </w:rPr>
      </w:pPr>
    </w:p>
    <w:p w14:paraId="7E4B3CF9">
      <w:pPr>
        <w:pStyle w:val="13"/>
        <w:jc w:val="center"/>
        <w:rPr>
          <w:rFonts w:hint="eastAsia" w:ascii="方正小标宋_GBK" w:hAnsi="方正小标宋_GBK" w:eastAsia="方正小标宋_GBK" w:cs="方正小标宋_GBK"/>
          <w:sz w:val="70"/>
          <w:szCs w:val="70"/>
        </w:rPr>
      </w:pPr>
    </w:p>
    <w:p w14:paraId="514C0722">
      <w:pPr>
        <w:pStyle w:val="13"/>
        <w:jc w:val="center"/>
        <w:rPr>
          <w:rFonts w:hint="eastAsia" w:ascii="方正小标宋_GBK" w:hAnsi="方正小标宋_GBK" w:eastAsia="方正小标宋_GBK" w:cs="方正小标宋_GBK"/>
          <w:sz w:val="70"/>
          <w:szCs w:val="70"/>
        </w:rPr>
      </w:pPr>
    </w:p>
    <w:p w14:paraId="111D7AB8">
      <w:pPr>
        <w:widowControl/>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2411C08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644682F">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年度收</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1418.42</w:t>
      </w:r>
      <w:r>
        <w:rPr>
          <w:rFonts w:hint="eastAsia" w:ascii="仿宋_GB2312" w:hAnsi="仿宋_GB2312" w:eastAsia="仿宋_GB2312" w:cs="仿宋_GB2312"/>
          <w:sz w:val="32"/>
          <w:szCs w:val="32"/>
        </w:rPr>
        <w:t>万元。与上年相比，</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140.28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10.98</w:t>
      </w:r>
      <w:r>
        <w:rPr>
          <w:rFonts w:hint="eastAsia" w:ascii="仿宋_GB2312" w:hAnsi="仿宋_GB2312" w:eastAsia="仿宋_GB2312" w:cs="仿宋_GB2312"/>
          <w:sz w:val="32"/>
          <w:szCs w:val="32"/>
        </w:rPr>
        <w:t>%，主要是因为2023年</w:t>
      </w:r>
      <w:r>
        <w:rPr>
          <w:rFonts w:hint="eastAsia" w:ascii="仿宋_GB2312" w:hAnsi="仿宋_GB2312" w:eastAsia="仿宋_GB2312" w:cs="仿宋_GB2312"/>
          <w:sz w:val="32"/>
          <w:szCs w:val="32"/>
          <w:lang w:val="en-US" w:eastAsia="zh-CN"/>
        </w:rPr>
        <w:t>12月份</w:t>
      </w:r>
      <w:r>
        <w:rPr>
          <w:rFonts w:hint="eastAsia" w:ascii="仿宋_GB2312" w:hAnsi="仿宋_GB2312" w:eastAsia="仿宋_GB2312" w:cs="仿宋_GB2312"/>
          <w:sz w:val="32"/>
          <w:szCs w:val="32"/>
        </w:rPr>
        <w:t>预算一体化系统升级，资金</w:t>
      </w:r>
      <w:r>
        <w:rPr>
          <w:rFonts w:hint="eastAsia" w:ascii="仿宋_GB2312" w:hAnsi="仿宋_GB2312" w:eastAsia="仿宋_GB2312" w:cs="仿宋_GB2312"/>
          <w:sz w:val="32"/>
          <w:szCs w:val="32"/>
          <w:lang w:eastAsia="zh-CN"/>
        </w:rPr>
        <w:t>暂停支</w:t>
      </w:r>
      <w:r>
        <w:rPr>
          <w:rFonts w:hint="eastAsia" w:ascii="仿宋_GB2312" w:hAnsi="仿宋_GB2312" w:eastAsia="仿宋_GB2312" w:cs="仿宋_GB2312"/>
          <w:sz w:val="32"/>
          <w:szCs w:val="32"/>
        </w:rPr>
        <w:t>付</w:t>
      </w:r>
      <w:r>
        <w:rPr>
          <w:rFonts w:hint="eastAsia" w:ascii="仿宋_GB2312" w:hAnsi="仿宋_GB2312" w:eastAsia="仿宋_GB2312" w:cs="仿宋_GB2312"/>
          <w:sz w:val="32"/>
          <w:szCs w:val="32"/>
          <w:lang w:val="en-US" w:eastAsia="zh-CN"/>
        </w:rPr>
        <w:t>,2023年结转结余资金在2024年支付</w:t>
      </w:r>
      <w:r>
        <w:rPr>
          <w:rFonts w:hint="eastAsia" w:ascii="仿宋_GB2312" w:hAnsi="仿宋_GB2312" w:eastAsia="仿宋_GB2312" w:cs="仿宋_GB2312"/>
          <w:sz w:val="32"/>
          <w:szCs w:val="32"/>
          <w:lang w:eastAsia="zh-CN"/>
        </w:rPr>
        <w:t>。</w:t>
      </w:r>
    </w:p>
    <w:p w14:paraId="07DA9E3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2A53B2AD">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1418.36</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1417.74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99.96</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0.62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0.04</w:t>
      </w:r>
      <w:r>
        <w:rPr>
          <w:rFonts w:hint="eastAsia" w:ascii="仿宋_GB2312" w:hAnsi="仿宋_GB2312" w:eastAsia="仿宋_GB2312" w:cs="仿宋_GB2312"/>
          <w:sz w:val="32"/>
          <w:szCs w:val="32"/>
        </w:rPr>
        <w:t>%。</w:t>
      </w:r>
    </w:p>
    <w:p w14:paraId="2D1A2B4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8222937">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1418.41</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1064.6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75.06</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353.81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24.94</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6985752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4ED35F49">
      <w:pPr>
        <w:pStyle w:val="13"/>
        <w:keepNext w:val="0"/>
        <w:keepLines w:val="0"/>
        <w:pageBreakBefore w:val="0"/>
        <w:widowControl w:val="0"/>
        <w:kinsoku/>
        <w:wordWrap/>
        <w:overflowPunct/>
        <w:topLinePunct w:val="0"/>
        <w:bidi w:val="0"/>
        <w:snapToGrid/>
        <w:spacing w:line="600" w:lineRule="exact"/>
        <w:jc w:val="both"/>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1417.8</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141.2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11.06</w:t>
      </w:r>
      <w:r>
        <w:rPr>
          <w:rFonts w:hint="eastAsia" w:ascii="仿宋_GB2312" w:hAnsi="仿宋_GB2312" w:eastAsia="仿宋_GB2312" w:cs="仿宋_GB2312"/>
          <w:sz w:val="32"/>
          <w:szCs w:val="32"/>
        </w:rPr>
        <w:t>%，主要是因为2023年</w:t>
      </w:r>
      <w:r>
        <w:rPr>
          <w:rFonts w:hint="eastAsia" w:ascii="仿宋_GB2312" w:hAnsi="仿宋_GB2312" w:eastAsia="仿宋_GB2312" w:cs="仿宋_GB2312"/>
          <w:sz w:val="32"/>
          <w:szCs w:val="32"/>
          <w:lang w:val="en-US" w:eastAsia="zh-CN"/>
        </w:rPr>
        <w:t>12月份</w:t>
      </w:r>
      <w:r>
        <w:rPr>
          <w:rFonts w:hint="eastAsia" w:ascii="仿宋_GB2312" w:hAnsi="仿宋_GB2312" w:eastAsia="仿宋_GB2312" w:cs="仿宋_GB2312"/>
          <w:sz w:val="32"/>
          <w:szCs w:val="32"/>
        </w:rPr>
        <w:t>预算一体化系统升级，资金</w:t>
      </w:r>
      <w:r>
        <w:rPr>
          <w:rFonts w:hint="eastAsia" w:ascii="仿宋_GB2312" w:hAnsi="仿宋_GB2312" w:eastAsia="仿宋_GB2312" w:cs="仿宋_GB2312"/>
          <w:sz w:val="32"/>
          <w:szCs w:val="32"/>
          <w:lang w:eastAsia="zh-CN"/>
        </w:rPr>
        <w:t>暂停</w:t>
      </w:r>
      <w:r>
        <w:rPr>
          <w:rFonts w:hint="eastAsia" w:ascii="仿宋_GB2312" w:hAnsi="仿宋_GB2312" w:eastAsia="仿宋_GB2312" w:cs="仿宋_GB2312"/>
          <w:sz w:val="32"/>
          <w:szCs w:val="32"/>
        </w:rPr>
        <w:t>支付</w:t>
      </w:r>
      <w:r>
        <w:rPr>
          <w:rFonts w:hint="eastAsia" w:ascii="仿宋_GB2312" w:hAnsi="仿宋_GB2312" w:eastAsia="仿宋_GB2312" w:cs="仿宋_GB2312"/>
          <w:sz w:val="32"/>
          <w:szCs w:val="32"/>
          <w:lang w:val="en-US" w:eastAsia="zh-CN"/>
        </w:rPr>
        <w:t>,2023年结转结余资金在2024年支付</w:t>
      </w:r>
      <w:r>
        <w:rPr>
          <w:rFonts w:hint="eastAsia" w:ascii="仿宋_GB2312" w:hAnsi="仿宋_GB2312" w:eastAsia="仿宋_GB2312" w:cs="仿宋_GB2312"/>
          <w:sz w:val="32"/>
          <w:szCs w:val="32"/>
          <w:lang w:eastAsia="zh-CN"/>
        </w:rPr>
        <w:t>。</w:t>
      </w:r>
    </w:p>
    <w:p w14:paraId="4BB30A6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0232831">
      <w:pPr>
        <w:pStyle w:val="13"/>
        <w:overflowPunct w:val="0"/>
        <w:autoSpaceDE/>
        <w:autoSpaceDN/>
        <w:spacing w:line="600" w:lineRule="exact"/>
        <w:ind w:firstLine="640" w:firstLineChars="200"/>
        <w:jc w:val="both"/>
        <w:rPr>
          <w:rFonts w:hint="eastAsia" w:ascii="仿宋_GB2312" w:hAnsi="仿宋_GB2312" w:eastAsia="仿宋_GB2312" w:cs="仿宋_GB2312"/>
          <w:b w:val="0"/>
          <w:bCs/>
          <w:sz w:val="32"/>
          <w:szCs w:val="32"/>
        </w:rPr>
      </w:pPr>
      <w:r>
        <w:rPr>
          <w:rFonts w:hint="eastAsia" w:ascii="Times New Roman" w:hAnsi="Times New Roman" w:eastAsia="楷体_GB2312" w:cs="Times New Roman"/>
          <w:b/>
          <w:sz w:val="32"/>
          <w:szCs w:val="32"/>
        </w:rPr>
        <w:t>（一）一般公共预算财政拨款支出决算总体情况</w:t>
      </w:r>
    </w:p>
    <w:p w14:paraId="0C184A04">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1417.8</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99.96</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141.26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11.07</w:t>
      </w:r>
      <w:r>
        <w:rPr>
          <w:rFonts w:hint="eastAsia" w:ascii="仿宋_GB2312" w:hAnsi="仿宋_GB2312" w:eastAsia="仿宋_GB2312" w:cs="仿宋_GB2312"/>
          <w:sz w:val="32"/>
          <w:szCs w:val="32"/>
        </w:rPr>
        <w:t>%，主要是因为2023年</w:t>
      </w:r>
      <w:r>
        <w:rPr>
          <w:rFonts w:hint="eastAsia" w:ascii="仿宋_GB2312" w:hAnsi="仿宋_GB2312" w:eastAsia="仿宋_GB2312" w:cs="仿宋_GB2312"/>
          <w:sz w:val="32"/>
          <w:szCs w:val="32"/>
          <w:lang w:val="en-US" w:eastAsia="zh-CN"/>
        </w:rPr>
        <w:t>12月份</w:t>
      </w:r>
      <w:r>
        <w:rPr>
          <w:rFonts w:hint="eastAsia" w:ascii="仿宋_GB2312" w:hAnsi="仿宋_GB2312" w:eastAsia="仿宋_GB2312" w:cs="仿宋_GB2312"/>
          <w:sz w:val="32"/>
          <w:szCs w:val="32"/>
        </w:rPr>
        <w:t>预算一体化系统升级，资金</w:t>
      </w:r>
      <w:r>
        <w:rPr>
          <w:rFonts w:hint="eastAsia" w:ascii="仿宋_GB2312" w:hAnsi="仿宋_GB2312" w:eastAsia="仿宋_GB2312" w:cs="仿宋_GB2312"/>
          <w:sz w:val="32"/>
          <w:szCs w:val="32"/>
          <w:lang w:eastAsia="zh-CN"/>
        </w:rPr>
        <w:t>暂停</w:t>
      </w:r>
      <w:r>
        <w:rPr>
          <w:rFonts w:hint="eastAsia" w:ascii="仿宋_GB2312" w:hAnsi="仿宋_GB2312" w:eastAsia="仿宋_GB2312" w:cs="仿宋_GB2312"/>
          <w:sz w:val="32"/>
          <w:szCs w:val="32"/>
        </w:rPr>
        <w:t>支付</w:t>
      </w:r>
      <w:r>
        <w:rPr>
          <w:rFonts w:hint="eastAsia" w:ascii="仿宋_GB2312" w:hAnsi="仿宋_GB2312" w:eastAsia="仿宋_GB2312" w:cs="仿宋_GB2312"/>
          <w:sz w:val="32"/>
          <w:szCs w:val="32"/>
          <w:lang w:val="en-US" w:eastAsia="zh-CN"/>
        </w:rPr>
        <w:t>,2023年结转结余资金在2024年支付</w:t>
      </w:r>
      <w:r>
        <w:rPr>
          <w:rFonts w:hint="eastAsia" w:ascii="仿宋_GB2312" w:hAnsi="仿宋_GB2312" w:eastAsia="仿宋_GB2312" w:cs="仿宋_GB2312"/>
          <w:sz w:val="32"/>
          <w:szCs w:val="32"/>
          <w:lang w:eastAsia="zh-CN"/>
        </w:rPr>
        <w:t>。</w:t>
      </w:r>
    </w:p>
    <w:p w14:paraId="66C54C85">
      <w:pPr>
        <w:pStyle w:val="13"/>
        <w:overflowPunct w:val="0"/>
        <w:autoSpaceDE/>
        <w:autoSpaceDN/>
        <w:spacing w:line="600" w:lineRule="exact"/>
        <w:ind w:firstLine="640" w:firstLineChars="200"/>
        <w:jc w:val="both"/>
        <w:rPr>
          <w:rFonts w:hint="eastAsia" w:ascii="Times New Roman" w:hAnsi="Times New Roman" w:eastAsia="楷体_GB2312" w:cs="Times New Roman"/>
          <w:b/>
          <w:sz w:val="32"/>
          <w:szCs w:val="32"/>
        </w:rPr>
      </w:pPr>
      <w:r>
        <w:rPr>
          <w:rFonts w:hint="eastAsia" w:ascii="Times New Roman" w:hAnsi="Times New Roman" w:eastAsia="楷体_GB2312" w:cs="Times New Roman"/>
          <w:b/>
          <w:sz w:val="32"/>
          <w:szCs w:val="32"/>
        </w:rPr>
        <w:t>（二）一般公共预算财政拨款支出决算结构情况</w:t>
      </w:r>
    </w:p>
    <w:p w14:paraId="212CA4A7">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1417.8</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1237.64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87.29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公共安全</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lang w:val="en-US" w:eastAsia="zh-CN"/>
        </w:rPr>
        <w:t>支出0.24万元，占0.02%；社会保障和就业</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lang w:val="en-US" w:eastAsia="zh-CN"/>
        </w:rPr>
        <w:t>支出97.07万元，占6.85%；卫生健康</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lang w:val="en-US" w:eastAsia="zh-CN"/>
        </w:rPr>
        <w:t>支出28.69万元，占2.02%；住房保障</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lang w:val="en-US" w:eastAsia="zh-CN"/>
        </w:rPr>
        <w:t>支出54.15万元，占3.82%</w:t>
      </w:r>
      <w:r>
        <w:rPr>
          <w:rFonts w:hint="eastAsia" w:ascii="仿宋_GB2312" w:hAnsi="仿宋_GB2312" w:eastAsia="仿宋_GB2312" w:cs="仿宋_GB2312"/>
          <w:sz w:val="32"/>
          <w:szCs w:val="32"/>
          <w:lang w:eastAsia="zh-CN"/>
        </w:rPr>
        <w:t>。</w:t>
      </w:r>
    </w:p>
    <w:p w14:paraId="5CDBADF9">
      <w:pPr>
        <w:pStyle w:val="13"/>
        <w:overflowPunct w:val="0"/>
        <w:autoSpaceDE/>
        <w:autoSpaceDN/>
        <w:spacing w:line="600" w:lineRule="exact"/>
        <w:ind w:firstLine="640" w:firstLineChars="200"/>
        <w:jc w:val="both"/>
        <w:rPr>
          <w:rFonts w:hint="eastAsia" w:ascii="Times New Roman" w:hAnsi="Times New Roman" w:eastAsia="楷体_GB2312" w:cs="Times New Roman"/>
          <w:b/>
          <w:sz w:val="32"/>
          <w:szCs w:val="32"/>
        </w:rPr>
      </w:pPr>
      <w:r>
        <w:rPr>
          <w:rFonts w:hint="eastAsia" w:ascii="Times New Roman" w:hAnsi="Times New Roman" w:eastAsia="楷体_GB2312" w:cs="Times New Roman"/>
          <w:b/>
          <w:sz w:val="32"/>
          <w:szCs w:val="32"/>
        </w:rPr>
        <w:t>（三）一般公共预算财政拨款支出决算具体情况</w:t>
      </w:r>
    </w:p>
    <w:p w14:paraId="5B07DAE0">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1240.92</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1417.8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114.25</w:t>
      </w:r>
      <w:r>
        <w:rPr>
          <w:rFonts w:hint="eastAsia" w:ascii="仿宋_GB2312" w:hAnsi="仿宋_GB2312" w:eastAsia="仿宋_GB2312" w:cs="仿宋_GB2312"/>
          <w:sz w:val="32"/>
          <w:szCs w:val="32"/>
        </w:rPr>
        <w:t>%，其中：</w:t>
      </w:r>
    </w:p>
    <w:p w14:paraId="692DE5E7">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一般公共服务支出（类）统计信息事务（款）行政运行（项）。</w:t>
      </w:r>
    </w:p>
    <w:p w14:paraId="0B8654A6">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774.64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824.6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106.45</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大于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追加</w:t>
      </w:r>
      <w:r>
        <w:rPr>
          <w:rFonts w:hint="eastAsia" w:ascii="仿宋_GB2312" w:hAnsi="仿宋_GB2312" w:eastAsia="仿宋_GB2312" w:cs="仿宋_GB2312"/>
          <w:sz w:val="32"/>
          <w:szCs w:val="32"/>
        </w:rPr>
        <w:t>人员经费补差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年终一个月工资奖</w:t>
      </w:r>
      <w:r>
        <w:rPr>
          <w:rFonts w:hint="eastAsia" w:ascii="仿宋_GB2312" w:hAnsi="仿宋_GB2312" w:eastAsia="仿宋_GB2312" w:cs="仿宋_GB2312"/>
          <w:sz w:val="32"/>
          <w:szCs w:val="32"/>
          <w:lang w:eastAsia="zh-CN"/>
        </w:rPr>
        <w:t>、上年结转结余</w:t>
      </w:r>
      <w:r>
        <w:rPr>
          <w:rFonts w:hint="eastAsia" w:ascii="仿宋_GB2312" w:hAnsi="仿宋_GB2312" w:eastAsia="仿宋_GB2312" w:cs="仿宋_GB2312"/>
          <w:sz w:val="32"/>
          <w:szCs w:val="32"/>
        </w:rPr>
        <w:t>。</w:t>
      </w:r>
    </w:p>
    <w:p w14:paraId="3A4615DF">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一般公共服务支出（类）统计信息事务（款）一般行政管理事务（项）。</w:t>
      </w:r>
    </w:p>
    <w:p w14:paraId="08C2038A">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302.56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275.9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91.19</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小于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按照相关规定在预算内开支</w:t>
      </w:r>
      <w:r>
        <w:rPr>
          <w:rFonts w:hint="eastAsia" w:ascii="仿宋_GB2312" w:hAnsi="仿宋_GB2312" w:eastAsia="仿宋_GB2312" w:cs="仿宋_GB2312"/>
          <w:sz w:val="32"/>
          <w:szCs w:val="32"/>
        </w:rPr>
        <w:t>。</w:t>
      </w:r>
    </w:p>
    <w:p w14:paraId="56E9659E">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一般公共服务支出（类）统计信息事务（款）专项统计业务（项）</w:t>
      </w:r>
    </w:p>
    <w:p w14:paraId="069BF7E5">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14.46</w:t>
      </w:r>
      <w:r>
        <w:rPr>
          <w:rFonts w:hint="eastAsia" w:ascii="仿宋_GB2312" w:hAnsi="仿宋_GB2312" w:eastAsia="仿宋_GB2312" w:cs="仿宋_GB2312"/>
          <w:sz w:val="32"/>
          <w:szCs w:val="32"/>
        </w:rPr>
        <w:t>万元，由于预算数为0，无法计算百分比。决算数</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sz w:val="32"/>
          <w:szCs w:val="32"/>
          <w:lang w:eastAsia="zh-CN"/>
        </w:rPr>
        <w:t>财政下拨上年结转结余</w:t>
      </w:r>
      <w:r>
        <w:rPr>
          <w:rFonts w:hint="eastAsia" w:ascii="仿宋_GB2312" w:hAnsi="仿宋_GB2312" w:eastAsia="仿宋_GB2312" w:cs="仿宋_GB2312"/>
          <w:sz w:val="32"/>
          <w:szCs w:val="32"/>
        </w:rPr>
        <w:t>。</w:t>
      </w:r>
    </w:p>
    <w:p w14:paraId="56C73292">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一般公共服务支出（类）统计信息事务（款）专项普查活动（项）</w:t>
      </w:r>
    </w:p>
    <w:p w14:paraId="18403941">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58.66</w:t>
      </w:r>
      <w:r>
        <w:rPr>
          <w:rFonts w:hint="eastAsia" w:ascii="仿宋_GB2312" w:hAnsi="仿宋_GB2312" w:eastAsia="仿宋_GB2312" w:cs="仿宋_GB2312"/>
          <w:sz w:val="32"/>
          <w:szCs w:val="32"/>
        </w:rPr>
        <w:t>万元，由于预算数为0，无法计算百分比。决算数</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sz w:val="32"/>
          <w:szCs w:val="32"/>
          <w:lang w:eastAsia="zh-CN"/>
        </w:rPr>
        <w:t>财政下拨上年结转结余</w:t>
      </w:r>
      <w:r>
        <w:rPr>
          <w:rFonts w:hint="eastAsia" w:ascii="仿宋_GB2312" w:hAnsi="仿宋_GB2312" w:eastAsia="仿宋_GB2312" w:cs="仿宋_GB2312"/>
          <w:sz w:val="32"/>
          <w:szCs w:val="32"/>
        </w:rPr>
        <w:t>。</w:t>
      </w:r>
    </w:p>
    <w:p w14:paraId="22A474D7">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一般公共服务支出（类）统计信息事务（款）事业运行（项）</w:t>
      </w:r>
    </w:p>
    <w:p w14:paraId="07A45216">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年初预算为0万元，支出决算为</w:t>
      </w:r>
      <w:r>
        <w:rPr>
          <w:rFonts w:hint="eastAsia" w:ascii="仿宋_GB2312" w:hAnsi="仿宋_GB2312" w:eastAsia="仿宋_GB2312" w:cs="仿宋_GB2312"/>
          <w:sz w:val="32"/>
          <w:szCs w:val="32"/>
          <w:lang w:val="en-US" w:eastAsia="zh-CN"/>
        </w:rPr>
        <w:t>59.53</w:t>
      </w:r>
      <w:r>
        <w:rPr>
          <w:rFonts w:hint="eastAsia" w:ascii="仿宋_GB2312" w:hAnsi="仿宋_GB2312" w:eastAsia="仿宋_GB2312" w:cs="仿宋_GB2312"/>
          <w:sz w:val="32"/>
          <w:szCs w:val="32"/>
        </w:rPr>
        <w:t>万元，由于预算数为0，无法计算百分比。决算数大于年初预算数的主要原因是：</w:t>
      </w:r>
      <w:r>
        <w:rPr>
          <w:rFonts w:hint="eastAsia" w:ascii="仿宋_GB2312" w:hAnsi="仿宋_GB2312" w:eastAsia="仿宋_GB2312" w:cs="仿宋_GB2312"/>
          <w:sz w:val="32"/>
          <w:szCs w:val="32"/>
          <w:lang w:eastAsia="zh-CN"/>
        </w:rPr>
        <w:t>财政下拨</w:t>
      </w:r>
      <w:r>
        <w:rPr>
          <w:rFonts w:hint="eastAsia" w:ascii="仿宋_GB2312" w:hAnsi="仿宋_GB2312" w:eastAsia="仿宋_GB2312" w:cs="仿宋_GB2312"/>
          <w:sz w:val="32"/>
          <w:szCs w:val="32"/>
          <w:lang w:val="en-US" w:eastAsia="zh-CN"/>
        </w:rPr>
        <w:t>2023年度综合绩效和平安岳阳建设考核奖。</w:t>
      </w:r>
    </w:p>
    <w:p w14:paraId="1EB2BB23">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rPr>
        <w:t>一般公共服务支出（类）</w:t>
      </w:r>
      <w:r>
        <w:rPr>
          <w:rFonts w:hint="eastAsia" w:ascii="仿宋_GB2312" w:hAnsi="仿宋_GB2312" w:eastAsia="仿宋_GB2312" w:cs="仿宋_GB2312"/>
          <w:color w:val="auto"/>
          <w:sz w:val="32"/>
          <w:szCs w:val="32"/>
        </w:rPr>
        <w:t>市场监督管理事务</w:t>
      </w:r>
      <w:r>
        <w:rPr>
          <w:rFonts w:hint="eastAsia" w:ascii="仿宋_GB2312" w:hAnsi="仿宋_GB2312" w:eastAsia="仿宋_GB2312" w:cs="仿宋_GB2312"/>
          <w:sz w:val="32"/>
          <w:szCs w:val="32"/>
        </w:rPr>
        <w:t>（款）质量基础（项）</w:t>
      </w:r>
    </w:p>
    <w:p w14:paraId="203A61FD">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年初预算为0万元，支出决算为</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万元，由于预算数为0，无法计算百分比。决算数大于年初预算数的主要原因是：</w:t>
      </w:r>
      <w:r>
        <w:rPr>
          <w:rFonts w:hint="eastAsia" w:ascii="仿宋_GB2312" w:hAnsi="仿宋_GB2312" w:eastAsia="仿宋_GB2312" w:cs="仿宋_GB2312"/>
          <w:sz w:val="32"/>
          <w:szCs w:val="32"/>
          <w:lang w:eastAsia="zh-CN"/>
        </w:rPr>
        <w:t>财政下拨</w:t>
      </w:r>
      <w:r>
        <w:rPr>
          <w:rFonts w:hint="eastAsia" w:ascii="仿宋_GB2312" w:hAnsi="仿宋_GB2312" w:eastAsia="仿宋_GB2312" w:cs="仿宋_GB2312"/>
          <w:sz w:val="32"/>
          <w:szCs w:val="32"/>
        </w:rPr>
        <w:t>上年结转结余。</w:t>
      </w:r>
    </w:p>
    <w:p w14:paraId="1351B288">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rPr>
        <w:t>公共安全支出（类）公安（款）其他公安支出（项）</w:t>
      </w:r>
    </w:p>
    <w:p w14:paraId="3EDB64D6">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年初预算为0万元，支出决算为</w:t>
      </w:r>
      <w:r>
        <w:rPr>
          <w:rFonts w:hint="eastAsia" w:ascii="仿宋_GB2312" w:hAnsi="仿宋_GB2312" w:eastAsia="仿宋_GB2312" w:cs="仿宋_GB2312"/>
          <w:sz w:val="32"/>
          <w:szCs w:val="32"/>
          <w:lang w:val="en-US" w:eastAsia="zh-CN"/>
        </w:rPr>
        <w:t>0.24</w:t>
      </w:r>
      <w:r>
        <w:rPr>
          <w:rFonts w:hint="eastAsia" w:ascii="仿宋_GB2312" w:hAnsi="仿宋_GB2312" w:eastAsia="仿宋_GB2312" w:cs="仿宋_GB2312"/>
          <w:sz w:val="32"/>
          <w:szCs w:val="32"/>
        </w:rPr>
        <w:t>万元，由于预算数为0，无法计算百分比。决算数大于年初预算数的主要原因是：</w:t>
      </w:r>
      <w:r>
        <w:rPr>
          <w:rFonts w:hint="eastAsia" w:ascii="仿宋_GB2312" w:hAnsi="仿宋_GB2312" w:eastAsia="仿宋_GB2312" w:cs="仿宋_GB2312"/>
          <w:sz w:val="32"/>
          <w:szCs w:val="32"/>
          <w:lang w:eastAsia="zh-CN"/>
        </w:rPr>
        <w:t>财政下拨</w:t>
      </w:r>
      <w:r>
        <w:rPr>
          <w:rFonts w:hint="eastAsia" w:ascii="仿宋_GB2312" w:hAnsi="仿宋_GB2312" w:eastAsia="仿宋_GB2312" w:cs="仿宋_GB2312"/>
          <w:sz w:val="32"/>
          <w:szCs w:val="32"/>
        </w:rPr>
        <w:t>上年结转结余。</w:t>
      </w:r>
    </w:p>
    <w:p w14:paraId="43261689">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rPr>
        <w:t>社会保障和就业支出（类）行政事业单位养老支出（款）机关事业单位基本养老保险缴费支出（项）</w:t>
      </w:r>
    </w:p>
    <w:p w14:paraId="524A7EB4">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75.05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73.29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97.65</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sz w:val="32"/>
          <w:szCs w:val="32"/>
          <w:lang w:eastAsia="zh-CN"/>
        </w:rPr>
        <w:t>按照相关规定在预算内开支</w:t>
      </w:r>
      <w:r>
        <w:rPr>
          <w:rFonts w:hint="eastAsia" w:ascii="仿宋_GB2312" w:hAnsi="仿宋_GB2312" w:eastAsia="仿宋_GB2312" w:cs="仿宋_GB2312"/>
          <w:sz w:val="32"/>
          <w:szCs w:val="32"/>
        </w:rPr>
        <w:t>。</w:t>
      </w:r>
    </w:p>
    <w:p w14:paraId="0AA6B3BA">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rPr>
        <w:t>社会保障和就业支出（类）</w:t>
      </w:r>
      <w:r>
        <w:rPr>
          <w:rFonts w:hint="eastAsia" w:ascii="仿宋_GB2312" w:hAnsi="仿宋_GB2312" w:eastAsia="仿宋_GB2312" w:cs="仿宋_GB2312"/>
          <w:color w:val="auto"/>
          <w:sz w:val="32"/>
          <w:szCs w:val="32"/>
        </w:rPr>
        <w:t>抚恤</w:t>
      </w:r>
      <w:r>
        <w:rPr>
          <w:rFonts w:hint="eastAsia" w:ascii="仿宋_GB2312" w:hAnsi="仿宋_GB2312" w:eastAsia="仿宋_GB2312" w:cs="仿宋_GB2312"/>
          <w:sz w:val="32"/>
          <w:szCs w:val="32"/>
        </w:rPr>
        <w:t>（款）其他优抚支出（项）</w:t>
      </w:r>
    </w:p>
    <w:p w14:paraId="5120460E">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年初预算为0万元，支出决算为</w:t>
      </w:r>
      <w:r>
        <w:rPr>
          <w:rFonts w:hint="eastAsia" w:ascii="仿宋_GB2312" w:hAnsi="仿宋_GB2312" w:eastAsia="仿宋_GB2312" w:cs="仿宋_GB2312"/>
          <w:sz w:val="32"/>
          <w:szCs w:val="32"/>
          <w:lang w:val="en-US" w:eastAsia="zh-CN"/>
        </w:rPr>
        <w:t>17.24</w:t>
      </w:r>
      <w:r>
        <w:rPr>
          <w:rFonts w:hint="eastAsia" w:ascii="仿宋_GB2312" w:hAnsi="仿宋_GB2312" w:eastAsia="仿宋_GB2312" w:cs="仿宋_GB2312"/>
          <w:sz w:val="32"/>
          <w:szCs w:val="32"/>
        </w:rPr>
        <w:t>万元，由于预算数为0，无法计算百分比。决算数大于年初预算数的主要原因是：财政下拨</w:t>
      </w:r>
      <w:r>
        <w:rPr>
          <w:rFonts w:hint="eastAsia" w:ascii="仿宋_GB2312" w:hAnsi="仿宋_GB2312" w:eastAsia="仿宋_GB2312" w:cs="仿宋_GB2312"/>
          <w:sz w:val="32"/>
          <w:szCs w:val="32"/>
          <w:lang w:eastAsia="zh-CN"/>
        </w:rPr>
        <w:t>一次性抚恤及遗嘱费</w:t>
      </w:r>
      <w:r>
        <w:rPr>
          <w:rFonts w:hint="eastAsia" w:ascii="仿宋_GB2312" w:hAnsi="仿宋_GB2312" w:eastAsia="仿宋_GB2312" w:cs="仿宋_GB2312"/>
          <w:sz w:val="32"/>
          <w:szCs w:val="32"/>
        </w:rPr>
        <w:t>。</w:t>
      </w:r>
    </w:p>
    <w:p w14:paraId="0D972F97">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rPr>
        <w:t>社会保障和就业支出（类）</w:t>
      </w:r>
      <w:r>
        <w:rPr>
          <w:rFonts w:hint="eastAsia" w:ascii="仿宋_GB2312" w:hAnsi="仿宋_GB2312" w:eastAsia="仿宋_GB2312" w:cs="仿宋_GB2312"/>
          <w:color w:val="auto"/>
          <w:sz w:val="32"/>
          <w:szCs w:val="32"/>
        </w:rPr>
        <w:t>残疾人事业</w:t>
      </w:r>
      <w:r>
        <w:rPr>
          <w:rFonts w:hint="eastAsia" w:ascii="仿宋_GB2312" w:hAnsi="仿宋_GB2312" w:eastAsia="仿宋_GB2312" w:cs="仿宋_GB2312"/>
          <w:sz w:val="32"/>
          <w:szCs w:val="32"/>
        </w:rPr>
        <w:t>（款）其他残疾人事业支出（项）</w:t>
      </w:r>
    </w:p>
    <w:p w14:paraId="1BB98ECD">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5.84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5.84</w:t>
      </w:r>
      <w:r>
        <w:rPr>
          <w:rFonts w:hint="eastAsia" w:ascii="仿宋_GB2312" w:hAnsi="仿宋_GB2312" w:eastAsia="仿宋_GB2312" w:cs="仿宋_GB2312"/>
          <w:sz w:val="32"/>
          <w:szCs w:val="32"/>
        </w:rPr>
        <w:t>万元，决算数与年初预算数持平，完成年初预算的100%。主要原因是：</w:t>
      </w:r>
      <w:r>
        <w:rPr>
          <w:rFonts w:hint="eastAsia" w:ascii="仿宋_GB2312" w:hAnsi="仿宋_GB2312" w:eastAsia="仿宋_GB2312" w:cs="仿宋_GB2312"/>
          <w:sz w:val="32"/>
          <w:szCs w:val="32"/>
          <w:lang w:eastAsia="zh-CN"/>
        </w:rPr>
        <w:t>按照相关规定在预算内开支</w:t>
      </w:r>
      <w:r>
        <w:rPr>
          <w:rFonts w:hint="eastAsia" w:ascii="仿宋_GB2312" w:hAnsi="仿宋_GB2312" w:eastAsia="仿宋_GB2312" w:cs="仿宋_GB2312"/>
          <w:sz w:val="32"/>
          <w:szCs w:val="32"/>
        </w:rPr>
        <w:t>。</w:t>
      </w:r>
    </w:p>
    <w:p w14:paraId="0F45C901">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rPr>
        <w:t>社会保障和就业支出（类）其他社会保障和就业支出（款）其他社会保障和就业支出（项）</w:t>
      </w:r>
    </w:p>
    <w:p w14:paraId="296A78AD">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年初预算为0万元，支出决算为</w:t>
      </w:r>
      <w:r>
        <w:rPr>
          <w:rFonts w:hint="eastAsia" w:ascii="仿宋_GB2312" w:hAnsi="仿宋_GB2312" w:eastAsia="仿宋_GB2312" w:cs="仿宋_GB2312"/>
          <w:sz w:val="32"/>
          <w:szCs w:val="32"/>
          <w:lang w:val="en-US" w:eastAsia="zh-CN"/>
        </w:rPr>
        <w:t>0.7</w:t>
      </w:r>
      <w:r>
        <w:rPr>
          <w:rFonts w:hint="eastAsia" w:ascii="仿宋_GB2312" w:hAnsi="仿宋_GB2312" w:eastAsia="仿宋_GB2312" w:cs="仿宋_GB2312"/>
          <w:sz w:val="32"/>
          <w:szCs w:val="32"/>
        </w:rPr>
        <w:t>万元，由于预算数为0，无法计算百分比。决算数大于年初预算数的主要原因是：财政下拨建国初期参加工作退休干部补贴。</w:t>
      </w:r>
    </w:p>
    <w:p w14:paraId="4CE6C533">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rPr>
        <w:t>卫生健康支出（类）行政事业单位医疗（款）行政单位医疗（项）</w:t>
      </w:r>
    </w:p>
    <w:p w14:paraId="2B202E6B">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28.69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28.69</w:t>
      </w:r>
      <w:r>
        <w:rPr>
          <w:rFonts w:hint="eastAsia" w:ascii="仿宋_GB2312" w:hAnsi="仿宋_GB2312" w:eastAsia="仿宋_GB2312" w:cs="仿宋_GB2312"/>
          <w:sz w:val="32"/>
          <w:szCs w:val="32"/>
        </w:rPr>
        <w:t>万元，决算数与年初预算数持平，完成年初预算的100%。主要原因是：</w:t>
      </w:r>
      <w:r>
        <w:rPr>
          <w:rFonts w:hint="eastAsia" w:ascii="仿宋_GB2312" w:hAnsi="仿宋_GB2312" w:eastAsia="仿宋_GB2312" w:cs="仿宋_GB2312"/>
          <w:sz w:val="32"/>
          <w:szCs w:val="32"/>
          <w:lang w:eastAsia="zh-CN"/>
        </w:rPr>
        <w:t>按照相关规定在预算内开支</w:t>
      </w:r>
      <w:r>
        <w:rPr>
          <w:rFonts w:hint="eastAsia" w:ascii="仿宋_GB2312" w:hAnsi="仿宋_GB2312" w:eastAsia="仿宋_GB2312" w:cs="仿宋_GB2312"/>
          <w:sz w:val="32"/>
          <w:szCs w:val="32"/>
        </w:rPr>
        <w:t>。</w:t>
      </w:r>
    </w:p>
    <w:p w14:paraId="6E501D85">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13.</w:t>
      </w:r>
      <w:r>
        <w:rPr>
          <w:rFonts w:hint="eastAsia" w:ascii="仿宋_GB2312" w:hAnsi="仿宋_GB2312" w:eastAsia="仿宋_GB2312" w:cs="仿宋_GB2312"/>
          <w:sz w:val="32"/>
          <w:szCs w:val="32"/>
        </w:rPr>
        <w:t>住房保障支出（类）住房改革支出（款）住房公积金（项）</w:t>
      </w:r>
    </w:p>
    <w:p w14:paraId="72D573EF">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54.15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54.15</w:t>
      </w:r>
      <w:r>
        <w:rPr>
          <w:rFonts w:hint="eastAsia" w:ascii="仿宋_GB2312" w:hAnsi="仿宋_GB2312" w:eastAsia="仿宋_GB2312" w:cs="仿宋_GB2312"/>
          <w:sz w:val="32"/>
          <w:szCs w:val="32"/>
        </w:rPr>
        <w:t>万元，决算数与年初预算数持平，完成年初预算的100%。主要原因是：</w:t>
      </w:r>
      <w:r>
        <w:rPr>
          <w:rFonts w:hint="eastAsia" w:ascii="仿宋_GB2312" w:hAnsi="仿宋_GB2312" w:eastAsia="仿宋_GB2312" w:cs="仿宋_GB2312"/>
          <w:sz w:val="32"/>
          <w:szCs w:val="32"/>
          <w:lang w:eastAsia="zh-CN"/>
        </w:rPr>
        <w:t>按照相关规定在预算内开支</w:t>
      </w:r>
      <w:r>
        <w:rPr>
          <w:rFonts w:hint="eastAsia" w:ascii="仿宋_GB2312" w:hAnsi="仿宋_GB2312" w:eastAsia="仿宋_GB2312" w:cs="仿宋_GB2312"/>
          <w:sz w:val="32"/>
          <w:szCs w:val="32"/>
        </w:rPr>
        <w:t>。</w:t>
      </w:r>
    </w:p>
    <w:p w14:paraId="373E8BA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293AEB61">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一般公共预算</w:t>
      </w:r>
      <w:r>
        <w:rPr>
          <w:rFonts w:hint="eastAsia" w:ascii="仿宋_GB2312" w:hAnsi="仿宋_GB2312" w:eastAsia="仿宋_GB2312" w:cs="仿宋_GB2312"/>
          <w:sz w:val="32"/>
          <w:szCs w:val="32"/>
        </w:rPr>
        <w:t>财政拨款基本支出</w:t>
      </w:r>
      <w:r>
        <w:rPr>
          <w:rFonts w:hint="eastAsia" w:ascii="仿宋_GB2312" w:hAnsi="仿宋_GB2312" w:eastAsia="仿宋_GB2312" w:cs="仿宋_GB2312"/>
          <w:sz w:val="32"/>
          <w:szCs w:val="32"/>
          <w:lang w:val="en-US" w:eastAsia="zh-CN"/>
        </w:rPr>
        <w:t>1064.04</w:t>
      </w:r>
      <w:r>
        <w:rPr>
          <w:rFonts w:hint="eastAsia" w:ascii="仿宋_GB2312" w:hAnsi="仿宋_GB2312" w:eastAsia="仿宋_GB2312" w:cs="仿宋_GB2312"/>
          <w:sz w:val="32"/>
          <w:szCs w:val="32"/>
        </w:rPr>
        <w:t>万元，其中：</w:t>
      </w:r>
    </w:p>
    <w:p w14:paraId="6B58D6DC">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985.09</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92.58</w:t>
      </w:r>
      <w:r>
        <w:rPr>
          <w:rFonts w:hint="eastAsia" w:ascii="仿宋_GB2312" w:hAnsi="仿宋_GB2312" w:eastAsia="仿宋_GB2312" w:cs="仿宋_GB2312"/>
          <w:sz w:val="32"/>
          <w:szCs w:val="32"/>
        </w:rPr>
        <w:t>%,主要包括基本工资、津贴补贴、奖金、伙食补助费、绩效工资、机关事业单位基本养老保险缴费、职工基本医疗保险缴费、其他社会保障缴费、住房公积金、医疗费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其他工资福利支出、退休费</w:t>
      </w:r>
      <w:r>
        <w:rPr>
          <w:rFonts w:hint="eastAsia" w:ascii="仿宋_GB2312" w:hAnsi="仿宋_GB2312" w:eastAsia="仿宋_GB2312" w:cs="仿宋_GB2312"/>
          <w:sz w:val="32"/>
          <w:szCs w:val="32"/>
          <w:lang w:eastAsia="zh-CN"/>
        </w:rPr>
        <w:t>、抚恤金、</w:t>
      </w:r>
      <w:r>
        <w:rPr>
          <w:rFonts w:hint="eastAsia" w:ascii="仿宋_GB2312" w:hAnsi="仿宋_GB2312" w:eastAsia="仿宋_GB2312" w:cs="仿宋_GB2312"/>
          <w:sz w:val="32"/>
          <w:szCs w:val="32"/>
          <w:lang w:val="en-US" w:eastAsia="zh-CN"/>
        </w:rPr>
        <w:t>医疗费补助、其他对个人和家庭的补助</w:t>
      </w:r>
      <w:r>
        <w:rPr>
          <w:rFonts w:hint="eastAsia" w:ascii="仿宋_GB2312" w:hAnsi="仿宋_GB2312" w:eastAsia="仿宋_GB2312" w:cs="仿宋_GB2312"/>
          <w:sz w:val="32"/>
          <w:szCs w:val="32"/>
        </w:rPr>
        <w:t>。</w:t>
      </w:r>
    </w:p>
    <w:p w14:paraId="1DBD985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78.95</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7.42</w:t>
      </w:r>
      <w:r>
        <w:rPr>
          <w:rFonts w:hint="eastAsia" w:ascii="仿宋_GB2312" w:hAnsi="仿宋_GB2312" w:eastAsia="仿宋_GB2312" w:cs="仿宋_GB2312"/>
          <w:sz w:val="32"/>
          <w:szCs w:val="32"/>
        </w:rPr>
        <w:t>%，主要包括办公费、水费、电费、物业管理费、维修（护）费、培训费、工会经费、福利费、公务用车运行维护费、其他交通费用、其他商品和服务支出。</w:t>
      </w:r>
    </w:p>
    <w:p w14:paraId="25385285">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color w:val="000000"/>
          <w:kern w:val="0"/>
          <w:sz w:val="32"/>
          <w:szCs w:val="32"/>
          <w:lang w:val="en-US" w:eastAsia="zh-CN" w:bidi="ar-SA"/>
        </w:rPr>
        <w:t>七、</w:t>
      </w:r>
      <w:r>
        <w:rPr>
          <w:rFonts w:hint="eastAsia" w:ascii="黑体" w:hAnsi="黑体" w:eastAsia="黑体" w:cs="黑体"/>
          <w:b w:val="0"/>
          <w:bCs/>
          <w:sz w:val="32"/>
          <w:szCs w:val="32"/>
        </w:rPr>
        <w:t>政府性基金预算收入支出决算情况</w:t>
      </w:r>
    </w:p>
    <w:p w14:paraId="1BAE16F6">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28BDC77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24CC7F4F">
      <w:pPr>
        <w:widowControl w:val="0"/>
        <w:autoSpaceDE w:val="0"/>
        <w:autoSpaceDN w:val="0"/>
        <w:adjustRightInd w:val="0"/>
        <w:ind w:firstLine="640" w:firstLineChars="200"/>
        <w:jc w:val="both"/>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2024年度国有资本经营预算财政拨款收入0万元；年初结转和结余0万；支出0万元，</w:t>
      </w:r>
      <w:r>
        <w:rPr>
          <w:rFonts w:hint="eastAsia" w:ascii="仿宋_GB2312" w:hAnsi="仿宋_GB2312" w:eastAsia="仿宋_GB2312" w:cs="仿宋_GB2312"/>
          <w:i w:val="0"/>
          <w:iCs/>
          <w:color w:val="000000" w:themeColor="text1"/>
          <w:kern w:val="0"/>
          <w:sz w:val="32"/>
          <w:szCs w:val="32"/>
          <w:highlight w:val="none"/>
          <w:lang w:val="en-US" w:eastAsia="zh-CN" w:bidi="ar-SA"/>
          <w14:textFill>
            <w14:solidFill>
              <w14:schemeClr w14:val="tx1"/>
            </w14:solidFill>
          </w14:textFill>
        </w:rPr>
        <w:t>其中：基本支出0万元，项目支出0万元</w:t>
      </w:r>
      <w:r>
        <w:rPr>
          <w:rFonts w:hint="eastAsia" w:ascii="仿宋_GB2312" w:hAnsi="仿宋_GB2312" w:eastAsia="仿宋_GB2312" w:cs="仿宋_GB2312"/>
          <w:color w:val="000000"/>
          <w:kern w:val="0"/>
          <w:sz w:val="32"/>
          <w:szCs w:val="32"/>
          <w:highlight w:val="none"/>
          <w:lang w:val="en-US" w:eastAsia="zh-CN" w:bidi="ar-SA"/>
        </w:rPr>
        <w:t>；年末结转和结余0万元。</w:t>
      </w:r>
    </w:p>
    <w:p w14:paraId="5876C25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6298EF1D">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w:t>
      </w:r>
      <w:r>
        <w:rPr>
          <w:rFonts w:hint="eastAsia" w:ascii="Times New Roman" w:hAnsi="Times New Roman" w:eastAsia="楷体_GB2312" w:cs="Times New Roman"/>
          <w:b/>
          <w:sz w:val="32"/>
          <w:szCs w:val="32"/>
          <w:lang w:eastAsia="zh-CN"/>
        </w:rPr>
        <w:t>“三公”</w:t>
      </w:r>
      <w:r>
        <w:rPr>
          <w:rFonts w:ascii="Times New Roman" w:hAnsi="Times New Roman" w:eastAsia="楷体_GB2312" w:cs="Times New Roman"/>
          <w:b/>
          <w:sz w:val="32"/>
          <w:szCs w:val="32"/>
        </w:rPr>
        <w:t>经费财政拨款支出决算总体情况说明</w:t>
      </w:r>
    </w:p>
    <w:p w14:paraId="730E9443">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3.59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44.88</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0.63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14.93</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sz w:val="32"/>
          <w:szCs w:val="32"/>
          <w:lang w:eastAsia="zh-CN"/>
        </w:rPr>
        <w:t>严格执行中央八项规定</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控制在预算内开支</w:t>
      </w:r>
      <w:r>
        <w:rPr>
          <w:rFonts w:ascii="Times New Roman" w:hAnsi="Times New Roman" w:eastAsia="仿宋_GB2312" w:cs="Times New Roman"/>
          <w:sz w:val="32"/>
          <w:szCs w:val="32"/>
        </w:rPr>
        <w:t>。决算数小于上年数的主要原因</w:t>
      </w:r>
      <w:r>
        <w:rPr>
          <w:rFonts w:hint="eastAsia" w:ascii="Times New Roman" w:hAnsi="Times New Roman" w:eastAsia="仿宋_GB2312" w:cs="Times New Roman"/>
          <w:sz w:val="32"/>
          <w:szCs w:val="32"/>
        </w:rPr>
        <w:t>按有关政策厉行节约，严控“三公经费”支出</w:t>
      </w:r>
      <w:r>
        <w:rPr>
          <w:rFonts w:ascii="Times New Roman" w:hAnsi="Times New Roman" w:eastAsia="仿宋_GB2312" w:cs="Times New Roman"/>
          <w:sz w:val="32"/>
          <w:szCs w:val="32"/>
        </w:rPr>
        <w:t>。</w:t>
      </w:r>
    </w:p>
    <w:p w14:paraId="352D03A7">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w:t>
      </w:r>
      <w:r>
        <w:rPr>
          <w:rFonts w:hint="eastAsia" w:ascii="Times New Roman" w:hAnsi="Times New Roman" w:eastAsia="楷体_GB2312" w:cs="Times New Roman"/>
          <w:b/>
          <w:sz w:val="32"/>
          <w:szCs w:val="32"/>
          <w:lang w:eastAsia="zh-CN"/>
        </w:rPr>
        <w:t>“三公”</w:t>
      </w:r>
      <w:r>
        <w:rPr>
          <w:rFonts w:ascii="Times New Roman" w:hAnsi="Times New Roman" w:eastAsia="楷体_GB2312" w:cs="Times New Roman"/>
          <w:b/>
          <w:sz w:val="32"/>
          <w:szCs w:val="32"/>
        </w:rPr>
        <w:t>经费财政拨款支出决算具体情况说明</w:t>
      </w:r>
    </w:p>
    <w:p w14:paraId="1C659822">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因公出国（境）费支出预算为0万元，支出决算为0万元，决算数等于预算数，主要原因是我单位严格按预算执行决算；与上年一致，无增减变动，主要原因是未安排因公出国（境）活动。2024年度安排因公出国（境）团组0个，累计0人次。</w:t>
      </w:r>
    </w:p>
    <w:p w14:paraId="65978CAB">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1.64</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54.67</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0.14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7.87</w:t>
      </w:r>
      <w:r>
        <w:rPr>
          <w:rFonts w:ascii="Times New Roman" w:hAnsi="Times New Roman" w:eastAsia="仿宋_GB2312" w:cs="Times New Roman"/>
          <w:sz w:val="32"/>
          <w:szCs w:val="32"/>
        </w:rPr>
        <w:t>%。其中：</w:t>
      </w:r>
    </w:p>
    <w:p w14:paraId="7305D43E">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公务用车购置费支出预算为0万元，支出决算为0万元，决算数等于预算数，主要原因是我单位严格按预算执行决算；与上年一致，无增减变动，主要原因是两年均未购置公务用车。本单位更新公务用车0辆。</w:t>
      </w:r>
    </w:p>
    <w:p w14:paraId="75A272CE">
      <w:pPr>
        <w:pStyle w:val="13"/>
        <w:overflowPunct w:val="0"/>
        <w:autoSpaceDE/>
        <w:autoSpaceDN/>
        <w:spacing w:line="600" w:lineRule="exact"/>
        <w:ind w:firstLine="640" w:firstLineChars="200"/>
        <w:jc w:val="both"/>
        <w:rPr>
          <w:rFonts w:ascii="Times New Roman" w:hAnsi="Times New Roman" w:eastAsia="楷体" w:cs="Times New Roman"/>
          <w:b/>
          <w:bCs/>
          <w:i/>
          <w:color w:val="FF0000"/>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1.64</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lang w:eastAsia="zh-CN"/>
        </w:rPr>
        <w:t>燃油费、维修费、过路过桥费、</w:t>
      </w:r>
      <w:r>
        <w:rPr>
          <w:rFonts w:hint="eastAsia" w:ascii="仿宋_GB2312" w:hAnsi="仿宋_GB2312" w:eastAsia="仿宋_GB2312" w:cs="仿宋_GB2312"/>
          <w:sz w:val="32"/>
          <w:szCs w:val="32"/>
        </w:rPr>
        <w:t>车辆保险</w:t>
      </w:r>
      <w:r>
        <w:rPr>
          <w:rFonts w:hint="eastAsia" w:ascii="仿宋_GB2312" w:hAnsi="仿宋_GB2312" w:eastAsia="仿宋_GB2312" w:cs="仿宋_GB2312"/>
          <w:sz w:val="32"/>
          <w:szCs w:val="32"/>
          <w:lang w:eastAsia="zh-CN"/>
        </w:rPr>
        <w:t>、</w:t>
      </w:r>
      <w:bookmarkStart w:id="0" w:name="_GoBack"/>
      <w:bookmarkEnd w:id="0"/>
      <w:r>
        <w:rPr>
          <w:rFonts w:hint="eastAsia" w:ascii="Times New Roman" w:hAnsi="Times New Roman" w:eastAsia="仿宋_GB2312" w:cs="Times New Roman"/>
          <w:sz w:val="32"/>
          <w:szCs w:val="32"/>
          <w:lang w:eastAsia="zh-CN"/>
        </w:rPr>
        <w:t>洗车费等</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54.67</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0.14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7.87</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我单位严格按预算执行决算</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rPr>
        <w:t>按有关政策厉行节约，严控“三公经费”支出</w:t>
      </w:r>
      <w:r>
        <w:rPr>
          <w:rFonts w:ascii="Times New Roman" w:hAnsi="Times New Roman" w:eastAsia="仿宋_GB2312" w:cs="Times New Roman"/>
          <w:sz w:val="32"/>
          <w:szCs w:val="32"/>
        </w:rPr>
        <w:t>。</w:t>
      </w:r>
      <w:r>
        <w:rPr>
          <w:rFonts w:ascii="Times New Roman" w:hAnsi="Times New Roman" w:eastAsia="仿宋_GB2312" w:cs="Times New Roman"/>
          <w:sz w:val="32"/>
          <w:szCs w:val="32"/>
          <w:highlight w:val="none"/>
        </w:rPr>
        <w:t>截止</w:t>
      </w:r>
      <w:r>
        <w:rPr>
          <w:rFonts w:hint="eastAsia" w:ascii="Times New Roman" w:hAnsi="Times New Roman" w:eastAsia="仿宋_GB2312" w:cs="Times New Roman"/>
          <w:sz w:val="32"/>
          <w:szCs w:val="32"/>
          <w:highlight w:val="none"/>
          <w:lang w:eastAsia="zh-CN"/>
        </w:rPr>
        <w:t>到</w:t>
      </w:r>
      <w:r>
        <w:rPr>
          <w:rFonts w:ascii="Times New Roman" w:hAnsi="Times New Roman" w:eastAsia="仿宋_GB2312" w:cs="Times New Roman"/>
          <w:sz w:val="32"/>
          <w:szCs w:val="32"/>
        </w:rPr>
        <w:t>2024年12月31日，我单位开支财政拨款的公务用车保有量为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w:t>
      </w:r>
    </w:p>
    <w:p w14:paraId="4B35674B">
      <w:pPr>
        <w:numPr>
          <w:ilvl w:val="0"/>
          <w:numId w:val="0"/>
        </w:num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公务接待费支出预算为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1.95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39</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0.49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20.08</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我单位严格按预算执行决算</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rPr>
        <w:t>按有关政策厉行节约，严控“三公经费”支出</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22</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193</w:t>
      </w:r>
      <w:r>
        <w:rPr>
          <w:rFonts w:ascii="Times New Roman" w:hAnsi="Times New Roman" w:eastAsia="仿宋_GB2312" w:cs="Times New Roman"/>
          <w:sz w:val="32"/>
          <w:szCs w:val="32"/>
        </w:rPr>
        <w:t>人次，主要是</w:t>
      </w:r>
      <w:r>
        <w:rPr>
          <w:rFonts w:hint="eastAsia" w:ascii="仿宋_GB2312" w:hAnsi="仿宋_GB2312" w:eastAsia="仿宋_GB2312" w:cs="仿宋_GB2312"/>
          <w:sz w:val="32"/>
          <w:szCs w:val="32"/>
        </w:rPr>
        <w:t>与湖南省统计局及基层统计局工作交流发生的接待支出</w:t>
      </w:r>
      <w:r>
        <w:rPr>
          <w:rFonts w:ascii="Times New Roman" w:hAnsi="Times New Roman" w:eastAsia="仿宋_GB2312" w:cs="Times New Roman"/>
          <w:sz w:val="32"/>
          <w:szCs w:val="32"/>
        </w:rPr>
        <w:t>。</w:t>
      </w:r>
    </w:p>
    <w:p w14:paraId="3D06ACE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38BA3ACD">
      <w:pPr>
        <w:pStyle w:val="13"/>
        <w:ind w:firstLine="640" w:firstLineChars="200"/>
        <w:jc w:val="both"/>
        <w:rPr>
          <w:rFonts w:ascii="Times New Roman" w:hAnsi="Times New Roman" w:eastAsia="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78.95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比上年决算数减少</w:t>
      </w:r>
      <w:r>
        <w:rPr>
          <w:rFonts w:hint="eastAsia" w:ascii="仿宋_GB2312" w:hAnsi="仿宋_GB2312" w:eastAsia="仿宋_GB2312" w:cs="仿宋_GB2312"/>
          <w:sz w:val="32"/>
          <w:szCs w:val="32"/>
          <w:highlight w:val="none"/>
          <w:lang w:val="en-US" w:eastAsia="zh-CN"/>
        </w:rPr>
        <w:t>19.28</w:t>
      </w:r>
      <w:r>
        <w:rPr>
          <w:rFonts w:hint="eastAsia" w:ascii="仿宋_GB2312" w:hAnsi="仿宋_GB2312" w:eastAsia="仿宋_GB2312" w:cs="仿宋_GB2312"/>
          <w:sz w:val="32"/>
          <w:szCs w:val="32"/>
          <w:highlight w:val="none"/>
        </w:rPr>
        <w:t>万元，降低</w:t>
      </w:r>
      <w:r>
        <w:rPr>
          <w:rFonts w:hint="eastAsia" w:ascii="仿宋_GB2312" w:hAnsi="仿宋_GB2312" w:eastAsia="仿宋_GB2312" w:cs="仿宋_GB2312"/>
          <w:sz w:val="32"/>
          <w:szCs w:val="32"/>
          <w:highlight w:val="none"/>
          <w:lang w:val="en-US" w:eastAsia="zh-CN"/>
        </w:rPr>
        <w:t>19.63</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eastAsia="zh-CN"/>
        </w:rPr>
        <w:t>用于弥补人员经费不足，支付人员体检、医疗补助等</w:t>
      </w:r>
      <w:r>
        <w:rPr>
          <w:rFonts w:hint="eastAsia" w:ascii="楷体" w:hAnsi="楷体" w:eastAsia="楷体" w:cs="楷体"/>
          <w:sz w:val="32"/>
          <w:szCs w:val="32"/>
        </w:rPr>
        <w:t>。</w:t>
      </w:r>
    </w:p>
    <w:p w14:paraId="7CF9B9D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0AA564D5">
      <w:pPr>
        <w:pStyle w:val="13"/>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年度，会议费年初预算0.88万元，支出决算为0.88万元，完成年初预算的100%。用于召开全市统计会议，内容为全市统计工作会议</w:t>
      </w:r>
      <w:r>
        <w:rPr>
          <w:rFonts w:hint="eastAsia" w:ascii="仿宋_GB2312" w:hAnsi="仿宋_GB2312" w:eastAsia="仿宋_GB2312" w:cs="仿宋_GB2312"/>
          <w:sz w:val="32"/>
          <w:szCs w:val="32"/>
          <w:lang w:eastAsia="zh-CN"/>
        </w:rPr>
        <w:t>。</w:t>
      </w:r>
    </w:p>
    <w:p w14:paraId="302252B5">
      <w:pPr>
        <w:widowControl w:val="0"/>
        <w:autoSpaceDE w:val="0"/>
        <w:autoSpaceDN w:val="0"/>
        <w:adjustRightInd w:val="0"/>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培训费年初预算34.33万元，支出决算为34.33万元，完成年初预算的100%。用于开展统计业务培训，内容为</w:t>
      </w:r>
      <w:r>
        <w:rPr>
          <w:rFonts w:hint="eastAsia" w:ascii="仿宋_GB2312" w:hAnsi="仿宋_GB2312" w:eastAsia="仿宋_GB2312" w:cs="仿宋_GB2312"/>
          <w:color w:val="auto"/>
          <w:kern w:val="0"/>
          <w:sz w:val="32"/>
          <w:szCs w:val="32"/>
          <w:lang w:val="en-US" w:eastAsia="zh-CN" w:bidi="ar-SA"/>
        </w:rPr>
        <w:t>全国第五次经济普查业务培训、人口抽样调查业务培训、五经普工业统计培训、各专业年报统计培训等</w:t>
      </w:r>
      <w:r>
        <w:rPr>
          <w:rFonts w:hint="eastAsia" w:ascii="仿宋_GB2312" w:hAnsi="仿宋_GB2312" w:eastAsia="仿宋_GB2312" w:cs="仿宋_GB2312"/>
          <w:color w:val="000000"/>
          <w:kern w:val="0"/>
          <w:sz w:val="32"/>
          <w:szCs w:val="32"/>
          <w:lang w:val="en-US" w:eastAsia="zh-CN" w:bidi="ar-SA"/>
        </w:rPr>
        <w:t>。</w:t>
      </w:r>
    </w:p>
    <w:p w14:paraId="39C2EAB5">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本单位无举办节庆、晚会、论坛、赛事等活动的预算和支出决算数。</w:t>
      </w:r>
    </w:p>
    <w:p w14:paraId="252D0BE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4120C9CB">
      <w:pPr>
        <w:pStyle w:val="1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186.14</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91.63</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94.51</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186.14</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186.14</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工程采购授予中小企业合同金额占工程支出金额</w:t>
      </w:r>
      <w:r>
        <w:rPr>
          <w:rFonts w:hint="eastAsia" w:ascii="仿宋_GB2312" w:hAnsi="仿宋_GB2312" w:eastAsia="仿宋_GB2312" w:cs="仿宋_GB2312"/>
          <w:sz w:val="32"/>
          <w:szCs w:val="32"/>
          <w:lang w:eastAsia="zh-CN"/>
        </w:rPr>
        <w:t>比重（由于工程支出合同金额为</w:t>
      </w:r>
      <w:r>
        <w:rPr>
          <w:rFonts w:hint="eastAsia" w:ascii="仿宋_GB2312" w:hAnsi="仿宋_GB2312" w:eastAsia="仿宋_GB2312" w:cs="仿宋_GB2312"/>
          <w:sz w:val="32"/>
          <w:szCs w:val="32"/>
          <w:lang w:val="en-US" w:eastAsia="zh-CN"/>
        </w:rPr>
        <w:t>0，故无法计算占比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14:paraId="246A0DF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0044E38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黑体" w:hAnsi="黑体" w:eastAsia="黑体" w:cs="黑体"/>
          <w:b w:val="0"/>
          <w:bCs/>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14:paraId="0A8224A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w:t>
      </w:r>
      <w:r>
        <w:rPr>
          <w:rFonts w:hint="eastAsia" w:hAnsi="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、关于</w:t>
      </w: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4</w:t>
      </w:r>
      <w:r>
        <w:rPr>
          <w:rFonts w:hint="eastAsia" w:ascii="黑体" w:hAnsi="黑体" w:eastAsia="黑体" w:cs="黑体"/>
          <w:b w:val="0"/>
          <w:bCs/>
          <w:color w:val="auto"/>
          <w:sz w:val="32"/>
          <w:szCs w:val="32"/>
          <w:highlight w:val="none"/>
        </w:rPr>
        <w:t>年度</w:t>
      </w:r>
      <w:r>
        <w:rPr>
          <w:rFonts w:hint="eastAsia" w:hAnsi="黑体" w:cs="黑体"/>
          <w:b w:val="0"/>
          <w:bCs/>
          <w:color w:val="auto"/>
          <w:sz w:val="32"/>
          <w:szCs w:val="32"/>
          <w:highlight w:val="none"/>
          <w:lang w:eastAsia="zh-CN"/>
        </w:rPr>
        <w:t>预算</w:t>
      </w:r>
      <w:r>
        <w:rPr>
          <w:rFonts w:hint="eastAsia" w:ascii="黑体" w:hAnsi="黑体" w:eastAsia="黑体" w:cs="黑体"/>
          <w:b w:val="0"/>
          <w:bCs/>
          <w:color w:val="auto"/>
          <w:sz w:val="32"/>
          <w:szCs w:val="32"/>
          <w:highlight w:val="none"/>
        </w:rPr>
        <w:t>绩效</w:t>
      </w:r>
      <w:r>
        <w:rPr>
          <w:rFonts w:hint="eastAsia" w:hAnsi="黑体" w:cs="黑体"/>
          <w:b w:val="0"/>
          <w:bCs/>
          <w:color w:val="auto"/>
          <w:sz w:val="32"/>
          <w:szCs w:val="32"/>
          <w:highlight w:val="none"/>
          <w:lang w:eastAsia="zh-CN"/>
        </w:rPr>
        <w:t>管理</w:t>
      </w:r>
      <w:r>
        <w:rPr>
          <w:rFonts w:hint="eastAsia" w:ascii="黑体" w:hAnsi="黑体" w:eastAsia="黑体" w:cs="黑体"/>
          <w:b w:val="0"/>
          <w:bCs/>
          <w:color w:val="auto"/>
          <w:sz w:val="32"/>
          <w:szCs w:val="32"/>
          <w:highlight w:val="none"/>
        </w:rPr>
        <w:t>情况的说明</w:t>
      </w:r>
    </w:p>
    <w:p w14:paraId="0EB60D67">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（一）绩效评价工作开展情况</w:t>
      </w:r>
    </w:p>
    <w:p w14:paraId="2559DDC6">
      <w:pPr>
        <w:overflowPunct w:val="0"/>
        <w:spacing w:line="60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val="en-US" w:eastAsia="zh-CN"/>
        </w:rPr>
        <w:t>1.</w:t>
      </w:r>
      <w:r>
        <w:rPr>
          <w:rFonts w:hint="eastAsia" w:ascii="Times New Roman" w:hAnsi="Times New Roman" w:eastAsia="仿宋_GB2312" w:cs="Times New Roman"/>
          <w:b/>
          <w:bCs/>
          <w:kern w:val="0"/>
          <w:sz w:val="32"/>
          <w:szCs w:val="32"/>
          <w:lang w:val="en-US" w:eastAsia="zh-CN"/>
        </w:rPr>
        <w:t>绩</w:t>
      </w:r>
      <w:r>
        <w:rPr>
          <w:rFonts w:ascii="Times New Roman" w:hAnsi="Times New Roman" w:eastAsia="仿宋_GB2312" w:cs="Times New Roman"/>
          <w:b/>
          <w:bCs/>
          <w:kern w:val="0"/>
          <w:sz w:val="32"/>
          <w:szCs w:val="32"/>
        </w:rPr>
        <w:t>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7</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243.65</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7</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243.65</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68.87</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kern w:val="0"/>
          <w:sz w:val="32"/>
          <w:szCs w:val="32"/>
          <w:highlight w:val="none"/>
        </w:rPr>
        <w:t>社会保险基金预算项目</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个</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万元，占社会保险基金预算支出总额的</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w:t>
      </w:r>
    </w:p>
    <w:p w14:paraId="2F8A52AE">
      <w:pPr>
        <w:overflowPunct w:val="0"/>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2024年财政资金的投入，维持了统计局机关的正常运行，保障了各项统计项目的开展。全年认真贯彻落实党中央国务院、省委省政府和市委市政府关于统计工作的决策部署，以更大力度推进全面从严治党，以更强担当优化服务水平，以更实举措推进依法治统，以更严要求夯实基层基础，全力以赴抓好第五次全国经济普查。</w:t>
      </w:r>
    </w:p>
    <w:p w14:paraId="7C65853C">
      <w:pPr>
        <w:overflowPunct w:val="0"/>
        <w:spacing w:line="600" w:lineRule="exact"/>
        <w:ind w:firstLine="640" w:firstLineChars="200"/>
        <w:rPr>
          <w:rFonts w:hint="eastAsia" w:ascii="Times New Roman" w:hAnsi="Times New Roman" w:eastAsia="仿宋_GB2312" w:cs="Times New Roman"/>
          <w:color w:val="FF0000"/>
          <w:kern w:val="0"/>
          <w:sz w:val="32"/>
          <w:szCs w:val="32"/>
          <w:lang w:eastAsia="zh-CN"/>
        </w:rPr>
      </w:pPr>
      <w:r>
        <w:rPr>
          <w:rFonts w:hint="eastAsia" w:ascii="Times New Roman" w:hAnsi="Times New Roman" w:eastAsia="仿宋_GB2312" w:cs="Times New Roman"/>
          <w:kern w:val="0"/>
          <w:sz w:val="32"/>
          <w:szCs w:val="32"/>
          <w:highlight w:val="none"/>
          <w:lang w:val="en-US" w:eastAsia="zh-CN"/>
        </w:rPr>
        <w:t>2.</w:t>
      </w:r>
      <w:r>
        <w:rPr>
          <w:rFonts w:ascii="Times New Roman" w:hAnsi="Times New Roman" w:eastAsia="仿宋_GB2312" w:cs="Times New Roman"/>
          <w:b/>
          <w:bCs/>
          <w:kern w:val="0"/>
          <w:sz w:val="32"/>
          <w:szCs w:val="32"/>
        </w:rPr>
        <w:t>部门评价开展情况。</w:t>
      </w:r>
      <w:r>
        <w:rPr>
          <w:rFonts w:ascii="Times New Roman" w:hAnsi="Times New Roman" w:eastAsia="仿宋_GB2312" w:cs="Times New Roman"/>
          <w:kern w:val="0"/>
          <w:sz w:val="32"/>
          <w:szCs w:val="32"/>
        </w:rPr>
        <w:t>组织对所属单位2024年度“</w:t>
      </w:r>
      <w:r>
        <w:rPr>
          <w:rFonts w:hint="eastAsia" w:ascii="Times New Roman" w:hAnsi="Times New Roman" w:eastAsia="仿宋_GB2312" w:cs="Times New Roman"/>
          <w:kern w:val="0"/>
          <w:sz w:val="32"/>
          <w:szCs w:val="32"/>
        </w:rPr>
        <w:t>统计培训与资料印刷</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常规调查与培训</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lang w:val="en-US" w:eastAsia="zh-CN"/>
        </w:rPr>
        <w:t>新增两项民意调查</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投入产出调查</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全国第五次经济普查</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统计工作经费</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民意调查与考核</w:t>
      </w:r>
      <w:r>
        <w:rPr>
          <w:rFonts w:ascii="Times New Roman" w:hAnsi="Times New Roman" w:eastAsia="仿宋_GB2312" w:cs="Times New Roman"/>
          <w:kern w:val="0"/>
          <w:sz w:val="32"/>
          <w:szCs w:val="32"/>
        </w:rPr>
        <w:t>”等</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kern w:val="0"/>
          <w:sz w:val="32"/>
          <w:szCs w:val="32"/>
        </w:rPr>
        <w:t>个项目开展了部门评价，涉及一般公共预算支出</w:t>
      </w:r>
      <w:r>
        <w:rPr>
          <w:rFonts w:hint="eastAsia" w:ascii="Times New Roman" w:hAnsi="Times New Roman" w:eastAsia="仿宋_GB2312" w:cs="Times New Roman"/>
          <w:sz w:val="32"/>
          <w:szCs w:val="32"/>
          <w:lang w:val="en-US" w:eastAsia="zh-CN"/>
        </w:rPr>
        <w:t>243.65</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p>
    <w:p w14:paraId="004D01B3">
      <w:pPr>
        <w:overflowPunct w:val="0"/>
        <w:spacing w:line="600" w:lineRule="exact"/>
        <w:ind w:firstLine="640" w:firstLineChars="200"/>
        <w:rPr>
          <w:rFonts w:ascii="Times New Roman" w:hAnsi="Times New Roman" w:eastAsia="楷体" w:cs="Times New Roman"/>
          <w:b/>
          <w:bCs/>
          <w:sz w:val="32"/>
          <w:szCs w:val="32"/>
        </w:rPr>
      </w:pP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b/>
          <w:bCs/>
          <w:kern w:val="0"/>
          <w:sz w:val="32"/>
          <w:szCs w:val="32"/>
        </w:rPr>
        <w:t>事前绩效评估开展情况。</w:t>
      </w:r>
      <w:r>
        <w:rPr>
          <w:rFonts w:ascii="Times New Roman" w:hAnsi="Times New Roman" w:eastAsia="仿宋_GB2312" w:cs="Times New Roman"/>
          <w:kern w:val="0"/>
          <w:sz w:val="32"/>
          <w:szCs w:val="32"/>
        </w:rPr>
        <w:t>组织对2024年度</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kern w:val="0"/>
          <w:sz w:val="32"/>
          <w:szCs w:val="32"/>
        </w:rPr>
        <w:t>个重大项目开展事前绩效评估，共涉及资金</w:t>
      </w:r>
      <w:r>
        <w:rPr>
          <w:rFonts w:hint="eastAsia" w:ascii="Times New Roman" w:hAnsi="Times New Roman" w:eastAsia="仿宋_GB2312" w:cs="Times New Roman"/>
          <w:kern w:val="0"/>
          <w:sz w:val="32"/>
          <w:szCs w:val="32"/>
          <w:lang w:val="en-US" w:eastAsia="zh-CN"/>
        </w:rPr>
        <w:t>60</w:t>
      </w:r>
      <w:r>
        <w:rPr>
          <w:rFonts w:ascii="Times New Roman" w:hAnsi="Times New Roman" w:eastAsia="仿宋_GB2312" w:cs="Times New Roman"/>
          <w:kern w:val="0"/>
          <w:sz w:val="32"/>
          <w:szCs w:val="32"/>
        </w:rPr>
        <w:t>万元。</w:t>
      </w:r>
    </w:p>
    <w:p w14:paraId="6FC8205B">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（二）绩效评价结果</w:t>
      </w:r>
    </w:p>
    <w:p w14:paraId="3F32372E">
      <w:pPr>
        <w:spacing w:line="50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b/>
          <w:bCs/>
          <w:kern w:val="0"/>
          <w:sz w:val="32"/>
          <w:szCs w:val="32"/>
        </w:rPr>
        <w:t>绩效自评结果。</w:t>
      </w:r>
      <w:r>
        <w:rPr>
          <w:rFonts w:ascii="Times New Roman" w:hAnsi="Times New Roman" w:eastAsia="仿宋_GB2312" w:cs="Times New Roman"/>
          <w:kern w:val="0"/>
          <w:sz w:val="32"/>
          <w:szCs w:val="32"/>
        </w:rPr>
        <w:t>2024年度本部门整体支出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1418.42</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1418.41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99.9993</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优</w:t>
      </w:r>
      <w:r>
        <w:rPr>
          <w:rFonts w:ascii="Times New Roman" w:hAnsi="Times New Roman" w:eastAsia="仿宋_GB2312" w:cs="Times New Roman"/>
          <w:sz w:val="32"/>
          <w:szCs w:val="32"/>
        </w:rPr>
        <w:t>”。绩效目标完成情况：</w:t>
      </w:r>
      <w:r>
        <w:rPr>
          <w:rFonts w:hint="eastAsia" w:ascii="仿宋_GB2312" w:hAnsi="仿宋_GB2312" w:eastAsia="仿宋_GB2312" w:cs="仿宋_GB2312"/>
          <w:bCs/>
          <w:sz w:val="30"/>
          <w:szCs w:val="30"/>
          <w:lang w:eastAsia="zh-CN"/>
        </w:rPr>
        <w:t>一是</w:t>
      </w:r>
      <w:r>
        <w:rPr>
          <w:rFonts w:hint="eastAsia" w:ascii="仿宋_GB2312" w:hAnsi="仿宋_GB2312" w:eastAsia="仿宋_GB2312" w:cs="仿宋_GB2312"/>
          <w:bCs/>
          <w:sz w:val="30"/>
          <w:szCs w:val="30"/>
        </w:rPr>
        <w:t>控制在预算内开支。为更好地贯彻落实中央厉行节约的有关规定，创建节约型机关，成本管理不断加强，超预算、无预算不开支，严控预算调整。</w:t>
      </w:r>
      <w:r>
        <w:rPr>
          <w:rFonts w:hint="eastAsia" w:ascii="仿宋_GB2312" w:hAnsi="仿宋_GB2312" w:eastAsia="仿宋_GB2312" w:cs="仿宋_GB2312"/>
          <w:bCs/>
          <w:sz w:val="30"/>
          <w:szCs w:val="30"/>
          <w:lang w:eastAsia="zh-CN"/>
        </w:rPr>
        <w:t>二是</w:t>
      </w:r>
      <w:r>
        <w:rPr>
          <w:rFonts w:hint="eastAsia" w:ascii="仿宋_GB2312" w:hAnsi="仿宋_GB2312" w:eastAsia="仿宋_GB2312" w:cs="仿宋_GB2312"/>
          <w:bCs/>
          <w:sz w:val="30"/>
          <w:szCs w:val="30"/>
        </w:rPr>
        <w:t>最大效益使用固定资产。截止2024年12月31日固定资产净值601.78万元，按照厉行节约，物尽其用的原则，资产管理采取统一建账，统一核算管理，对每一件固定资产使用明确保管职责，闲置的资产，由办公室统一调整，合理流动，发挥最大的效益。资产的购置按照规定的程序报机关事务管理局批准购置，达到政府采购标准的报政府采购管理办公室进行政府采购，资产的处置报废，按照财政规定的审批程序报机关事务管理局审批后再处置，保证资产的安全高效，防止资产流失</w:t>
      </w:r>
      <w:r>
        <w:rPr>
          <w:rFonts w:hint="eastAsia" w:ascii="仿宋_GB2312" w:hAnsi="仿宋_GB2312" w:eastAsia="仿宋_GB2312" w:cs="仿宋_GB2312"/>
          <w:bCs/>
          <w:sz w:val="30"/>
          <w:szCs w:val="30"/>
          <w:lang w:eastAsia="zh-CN"/>
        </w:rPr>
        <w:t>。三是</w:t>
      </w:r>
      <w:r>
        <w:rPr>
          <w:rFonts w:hint="eastAsia" w:ascii="仿宋_GB2312" w:hAnsi="仿宋_GB2312" w:eastAsia="仿宋_GB2312" w:cs="仿宋_GB2312"/>
          <w:bCs/>
          <w:sz w:val="30"/>
          <w:szCs w:val="30"/>
        </w:rPr>
        <w:t>紧盯运行趋势，高频监测预警。坚持落实“周对接、月分析、季总结”工作机制，强化专业联动、县区联动、部门联动，深入基层一线，悉心开展业务指导，多维度、深层次、系统性分析研究，及时预警示警。专题分析经济形势、组织开展业务培训60余次，为党委政府科学决策提供参考依据。</w:t>
      </w:r>
      <w:r>
        <w:rPr>
          <w:rFonts w:hint="eastAsia" w:ascii="仿宋_GB2312" w:hAnsi="仿宋_GB2312" w:eastAsia="仿宋_GB2312" w:cs="仿宋_GB2312"/>
          <w:bCs/>
          <w:sz w:val="30"/>
          <w:szCs w:val="30"/>
          <w:lang w:eastAsia="zh-CN"/>
        </w:rPr>
        <w:t>四是</w:t>
      </w:r>
      <w:r>
        <w:rPr>
          <w:rFonts w:hint="eastAsia" w:ascii="仿宋_GB2312" w:hAnsi="仿宋_GB2312" w:eastAsia="仿宋_GB2312" w:cs="仿宋_GB2312"/>
          <w:bCs/>
          <w:sz w:val="30"/>
          <w:szCs w:val="30"/>
        </w:rPr>
        <w:t>紧跟主题主线，服务科学决策。紧紧围绕“七个岳阳”和高质量发展两条主线，聚焦重点行业、重点企业、重大项目，深入一线了解企业生产情况，做到心中有数，切实做到“事前有预警，事中有监测，事后有分析”。全年撰写统计综合分析报告20余篇，专业性分析报告70余篇，充分发挥统计信息、咨询职能。</w:t>
      </w:r>
      <w:r>
        <w:rPr>
          <w:rFonts w:hint="eastAsia" w:ascii="仿宋_GB2312" w:hAnsi="仿宋_GB2312" w:eastAsia="仿宋_GB2312" w:cs="仿宋_GB2312"/>
          <w:bCs/>
          <w:sz w:val="30"/>
          <w:szCs w:val="30"/>
          <w:lang w:eastAsia="zh-CN"/>
        </w:rPr>
        <w:t>五是</w:t>
      </w:r>
      <w:r>
        <w:rPr>
          <w:rFonts w:hint="eastAsia" w:ascii="仿宋_GB2312" w:hAnsi="仿宋_GB2312" w:eastAsia="仿宋_GB2312" w:cs="仿宋_GB2312"/>
          <w:sz w:val="32"/>
          <w:szCs w:val="32"/>
        </w:rPr>
        <w:t>紧扣群众需求，优化统计产品。重点关注党委政府中心工作和社会关注热点需求，做好统计数据“深加工”，精心编印《岳阳经济动态》《数据岳阳2019-2023》《2023年岳阳市国民经济与社会发展统计公报》等具有岳阳统计辨识度的产品。进一步加强统计资料统一管理，促进现代信息技术与统计资料管理深度融合，全面完成市、县两级311册综合统计资料电子化工作。</w:t>
      </w:r>
      <w:r>
        <w:rPr>
          <w:rFonts w:hint="eastAsia" w:ascii="仿宋_GB2312" w:hAnsi="仿宋_GB2312" w:eastAsia="仿宋_GB2312" w:cs="仿宋_GB2312"/>
          <w:sz w:val="32"/>
          <w:szCs w:val="32"/>
          <w:lang w:eastAsia="zh-CN"/>
        </w:rPr>
        <w:t>六是</w:t>
      </w:r>
      <w:r>
        <w:rPr>
          <w:rFonts w:hint="eastAsia" w:ascii="仿宋_GB2312" w:hAnsi="仿宋_GB2312" w:eastAsia="仿宋_GB2312" w:cs="仿宋_GB2312"/>
          <w:bCs/>
          <w:sz w:val="30"/>
          <w:szCs w:val="30"/>
        </w:rPr>
        <w:t>扎实做好示范建设。深入开展“基层基础建设年”和“统计能力提升年”行动，扎实推进基层规范化建设。对标基层统计站所“八化”建设标准，高质量完成全年29个乡镇（街道）统计站规范化建设，并形成先进典型案例10个。</w:t>
      </w:r>
      <w:r>
        <w:rPr>
          <w:rFonts w:hint="eastAsia" w:ascii="仿宋_GB2312" w:hAnsi="仿宋_GB2312" w:eastAsia="仿宋_GB2312" w:cs="仿宋_GB2312"/>
          <w:bCs/>
          <w:sz w:val="30"/>
          <w:szCs w:val="30"/>
          <w:lang w:eastAsia="zh-CN"/>
        </w:rPr>
        <w:t>七是</w:t>
      </w:r>
      <w:r>
        <w:rPr>
          <w:rFonts w:hint="eastAsia" w:ascii="仿宋_GB2312" w:hAnsi="仿宋_GB2312" w:eastAsia="仿宋_GB2312" w:cs="仿宋_GB2312"/>
          <w:bCs/>
          <w:sz w:val="30"/>
          <w:szCs w:val="30"/>
        </w:rPr>
        <w:t>扎实开展民意调查项目。全年共完成15项民意调查项目，有效调查样本数近5万个，收集公众反映的问题及建议3千余条，为市委市政府全面掌握全市社情民意、群众对政府工作满意度提供了重要参考依据。</w:t>
      </w:r>
      <w:r>
        <w:rPr>
          <w:rFonts w:hint="eastAsia" w:ascii="仿宋_GB2312" w:hAnsi="仿宋_GB2312" w:eastAsia="仿宋_GB2312" w:cs="仿宋_GB2312"/>
          <w:bCs/>
          <w:sz w:val="30"/>
          <w:szCs w:val="30"/>
          <w:lang w:eastAsia="zh-CN"/>
        </w:rPr>
        <w:t>八是</w:t>
      </w:r>
      <w:r>
        <w:rPr>
          <w:rFonts w:hint="eastAsia" w:ascii="仿宋_GB2312" w:hAnsi="仿宋_GB2312" w:eastAsia="仿宋_GB2312" w:cs="仿宋_GB2312"/>
          <w:bCs/>
          <w:sz w:val="30"/>
          <w:szCs w:val="30"/>
        </w:rPr>
        <w:t>抓实抓牢经普工作。全市共完成6674家一套表单位、132134家非一套表单位和29417个个体户普查登记填报录入工作。扎实开展数据审核验收，坚持市县乡三级联动，集中时间和力量对上报数据开展集中审核和联审，全力做好与四经普、年快报历史数据的匹配衔接，确保各行业专业数据的真实性、准确性和可靠性。印发全市数据质量检查实施办法，市经普办组成6个数据质量专项检查组，分赴13个县市区开展数据质量县级交叉检查。</w:t>
      </w:r>
      <w:r>
        <w:rPr>
          <w:rFonts w:ascii="Times New Roman" w:hAnsi="Times New Roman" w:eastAsia="仿宋_GB2312" w:cs="Times New Roman"/>
          <w:sz w:val="32"/>
          <w:szCs w:val="32"/>
        </w:rPr>
        <w:t>发现的主要问题及原因：</w:t>
      </w:r>
      <w:r>
        <w:rPr>
          <w:rFonts w:hint="eastAsia" w:ascii="仿宋_GB2312" w:hAnsi="仿宋_GB2312" w:eastAsia="仿宋_GB2312" w:cs="仿宋_GB2312"/>
          <w:bCs/>
          <w:sz w:val="30"/>
          <w:szCs w:val="30"/>
          <w:lang w:eastAsia="zh-CN"/>
        </w:rPr>
        <w:t>一是</w:t>
      </w:r>
      <w:r>
        <w:rPr>
          <w:rFonts w:hint="eastAsia" w:ascii="仿宋_GB2312" w:hAnsi="仿宋_GB2312" w:eastAsia="仿宋_GB2312" w:cs="仿宋_GB2312"/>
          <w:bCs/>
          <w:sz w:val="30"/>
          <w:szCs w:val="30"/>
        </w:rPr>
        <w:t>预算支出绩效指标不够细化、不够全面</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预算支出绩效指标跟预算编制同步申报，根据工作计划和重点工作设置，因当年工作任务的变动无法准确预计，绩效目标的设置与实际情况有细微偏差。</w:t>
      </w:r>
      <w:r>
        <w:rPr>
          <w:rFonts w:hint="eastAsia" w:ascii="仿宋_GB2312" w:hAnsi="仿宋_GB2312" w:eastAsia="仿宋_GB2312" w:cs="仿宋_GB2312"/>
          <w:bCs/>
          <w:sz w:val="30"/>
          <w:szCs w:val="30"/>
          <w:lang w:eastAsia="zh-CN"/>
        </w:rPr>
        <w:t>二是</w:t>
      </w:r>
      <w:r>
        <w:rPr>
          <w:rFonts w:hint="eastAsia" w:ascii="仿宋_GB2312" w:hAnsi="仿宋_GB2312" w:eastAsia="仿宋_GB2312" w:cs="仿宋_GB2312"/>
          <w:bCs/>
          <w:sz w:val="30"/>
          <w:szCs w:val="30"/>
        </w:rPr>
        <w:t>预算支出绩效指标未完成</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数据集编印工作未完成,原因是当年工作任务变化,压减经费,计划于2025年编印经普年数据集。</w:t>
      </w:r>
      <w:r>
        <w:rPr>
          <w:rFonts w:ascii="Times New Roman" w:hAnsi="Times New Roman" w:eastAsia="仿宋_GB2312" w:cs="Times New Roman"/>
          <w:sz w:val="32"/>
          <w:szCs w:val="32"/>
        </w:rPr>
        <w:t>下一步改进措施：</w:t>
      </w:r>
      <w:r>
        <w:rPr>
          <w:rFonts w:hint="eastAsia" w:ascii="Times New Roman" w:hAnsi="Times New Roman" w:eastAsia="仿宋_GB2312" w:cs="Times New Roman"/>
          <w:sz w:val="32"/>
          <w:szCs w:val="32"/>
          <w:lang w:eastAsia="zh-CN"/>
        </w:rPr>
        <w:t>一是</w:t>
      </w:r>
      <w:r>
        <w:rPr>
          <w:rFonts w:hint="eastAsia" w:ascii="仿宋_GB2312" w:hAnsi="仿宋_GB2312" w:eastAsia="仿宋_GB2312" w:cs="仿宋_GB2312"/>
          <w:bCs/>
          <w:sz w:val="30"/>
          <w:szCs w:val="30"/>
        </w:rPr>
        <w:t>进一步细化预算支出绩效指标设置</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年初设置绩效指标时，尽量收集资料，进一步细化单位的工作计划与重点工作，年中可以根据工作任务变动调整绩效指标。</w:t>
      </w:r>
      <w:r>
        <w:rPr>
          <w:rFonts w:hint="eastAsia" w:ascii="仿宋_GB2312" w:hAnsi="仿宋_GB2312" w:eastAsia="仿宋_GB2312" w:cs="仿宋_GB2312"/>
          <w:bCs/>
          <w:sz w:val="30"/>
          <w:szCs w:val="30"/>
          <w:lang w:eastAsia="zh-CN"/>
        </w:rPr>
        <w:t>二是</w:t>
      </w:r>
      <w:r>
        <w:rPr>
          <w:rFonts w:hint="eastAsia" w:ascii="仿宋_GB2312" w:hAnsi="仿宋_GB2312" w:eastAsia="仿宋_GB2312" w:cs="仿宋_GB2312"/>
          <w:bCs/>
          <w:sz w:val="30"/>
          <w:szCs w:val="30"/>
        </w:rPr>
        <w:t>建立健全全面绩效管理机制</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加强预算绩效管理工作组织领导，优化预算管理流程，完善内部控制制度，明确单位内部绩效目标设置、审核、监控、和评价的责任分工，加强财务与业务工作衔接，不断提升预算绩效管理水平。</w:t>
      </w:r>
    </w:p>
    <w:p w14:paraId="173050DF">
      <w:pPr>
        <w:overflowPunct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b/>
          <w:bCs/>
          <w:kern w:val="0"/>
          <w:sz w:val="32"/>
          <w:szCs w:val="32"/>
        </w:rPr>
        <w:t>部门评价结果。</w:t>
      </w:r>
      <w:r>
        <w:rPr>
          <w:rFonts w:hint="eastAsia" w:ascii="Times New Roman" w:hAnsi="Times New Roman" w:eastAsia="仿宋_GB2312" w:cs="Times New Roman"/>
          <w:sz w:val="32"/>
          <w:szCs w:val="32"/>
        </w:rPr>
        <w:t>常规调查与培训</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14.62</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14.62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eastAsia="zh-CN"/>
        </w:rPr>
        <w:t>优</w:t>
      </w:r>
      <w:r>
        <w:rPr>
          <w:rFonts w:ascii="Times New Roman" w:hAnsi="Times New Roman" w:eastAsia="仿宋_GB2312" w:cs="Times New Roman"/>
          <w:sz w:val="32"/>
          <w:szCs w:val="32"/>
        </w:rPr>
        <w:t>”。发现的主要问题及原因：</w:t>
      </w:r>
      <w:r>
        <w:rPr>
          <w:rFonts w:hint="eastAsia" w:ascii="Times New Roman" w:hAnsi="Times New Roman" w:eastAsia="仿宋_GB2312" w:cs="Times New Roman"/>
          <w:sz w:val="32"/>
          <w:szCs w:val="32"/>
          <w:lang w:eastAsia="zh-CN"/>
        </w:rPr>
        <w:t>未发现问题</w:t>
      </w:r>
      <w:r>
        <w:rPr>
          <w:rFonts w:ascii="Times New Roman" w:hAnsi="Times New Roman" w:eastAsia="仿宋_GB2312" w:cs="Times New Roman"/>
          <w:sz w:val="32"/>
          <w:szCs w:val="32"/>
        </w:rPr>
        <w:t>。下一步改进措施：</w:t>
      </w:r>
      <w:r>
        <w:rPr>
          <w:rFonts w:hint="eastAsia" w:ascii="仿宋_GB2312" w:hAnsi="仿宋_GB2312" w:eastAsia="仿宋_GB2312" w:cs="仿宋_GB2312"/>
          <w:bCs/>
          <w:sz w:val="30"/>
          <w:szCs w:val="30"/>
        </w:rPr>
        <w:t>建立健全全面绩效管理机制</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加强预算绩效管理工作组织领导，优化预算管理流程，完善内部控制制度</w:t>
      </w:r>
      <w:r>
        <w:rPr>
          <w:rFonts w:ascii="Times New Roman" w:hAnsi="Times New Roman" w:eastAsia="仿宋_GB2312" w:cs="Times New Roman"/>
          <w:sz w:val="32"/>
          <w:szCs w:val="32"/>
        </w:rPr>
        <w:t>。</w:t>
      </w:r>
    </w:p>
    <w:p w14:paraId="5BD9EFA6">
      <w:pPr>
        <w:overflowPunct w:val="0"/>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民意调查与考核</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13.91</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13.91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eastAsia="zh-CN"/>
        </w:rPr>
        <w:t>优</w:t>
      </w:r>
      <w:r>
        <w:rPr>
          <w:rFonts w:ascii="Times New Roman" w:hAnsi="Times New Roman" w:eastAsia="仿宋_GB2312" w:cs="Times New Roman"/>
          <w:sz w:val="32"/>
          <w:szCs w:val="32"/>
        </w:rPr>
        <w:t>”。发现的主要问题及原因：</w:t>
      </w:r>
      <w:r>
        <w:rPr>
          <w:rFonts w:hint="eastAsia" w:ascii="Times New Roman" w:hAnsi="Times New Roman" w:eastAsia="仿宋_GB2312" w:cs="Times New Roman"/>
          <w:sz w:val="32"/>
          <w:szCs w:val="32"/>
          <w:lang w:eastAsia="zh-CN"/>
        </w:rPr>
        <w:t>未发现问题</w:t>
      </w:r>
      <w:r>
        <w:rPr>
          <w:rFonts w:ascii="Times New Roman" w:hAnsi="Times New Roman" w:eastAsia="仿宋_GB2312" w:cs="Times New Roman"/>
          <w:sz w:val="32"/>
          <w:szCs w:val="32"/>
        </w:rPr>
        <w:t>。下一步改进措施：</w:t>
      </w:r>
      <w:r>
        <w:rPr>
          <w:rFonts w:hint="eastAsia" w:ascii="仿宋_GB2312" w:hAnsi="仿宋_GB2312" w:eastAsia="仿宋_GB2312" w:cs="仿宋_GB2312"/>
          <w:bCs/>
          <w:sz w:val="30"/>
          <w:szCs w:val="30"/>
        </w:rPr>
        <w:t>建立健全全面绩效管理机制</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加强预算绩效管理工作组织领导，优化预算管理流程，完善内部控制制度</w:t>
      </w:r>
      <w:r>
        <w:rPr>
          <w:rFonts w:ascii="Times New Roman" w:hAnsi="Times New Roman" w:eastAsia="仿宋_GB2312" w:cs="Times New Roman"/>
          <w:sz w:val="32"/>
          <w:szCs w:val="32"/>
        </w:rPr>
        <w:t>。</w:t>
      </w:r>
    </w:p>
    <w:p w14:paraId="14C6E1A1">
      <w:pPr>
        <w:overflowPunct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全国第五次经济普查</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110.96</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110.96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eastAsia="zh-CN"/>
        </w:rPr>
        <w:t>优</w:t>
      </w:r>
      <w:r>
        <w:rPr>
          <w:rFonts w:ascii="Times New Roman" w:hAnsi="Times New Roman" w:eastAsia="仿宋_GB2312" w:cs="Times New Roman"/>
          <w:sz w:val="32"/>
          <w:szCs w:val="32"/>
        </w:rPr>
        <w:t>”。发现的主要问题及原因：</w:t>
      </w:r>
      <w:r>
        <w:rPr>
          <w:rFonts w:hint="eastAsia" w:ascii="Times New Roman" w:hAnsi="Times New Roman" w:eastAsia="仿宋_GB2312" w:cs="Times New Roman"/>
          <w:sz w:val="32"/>
          <w:szCs w:val="32"/>
          <w:lang w:eastAsia="zh-CN"/>
        </w:rPr>
        <w:t>未发现问题</w:t>
      </w:r>
      <w:r>
        <w:rPr>
          <w:rFonts w:ascii="Times New Roman" w:hAnsi="Times New Roman" w:eastAsia="仿宋_GB2312" w:cs="Times New Roman"/>
          <w:sz w:val="32"/>
          <w:szCs w:val="32"/>
        </w:rPr>
        <w:t>。下一步改进措施：</w:t>
      </w:r>
      <w:r>
        <w:rPr>
          <w:rFonts w:hint="eastAsia" w:ascii="仿宋_GB2312" w:hAnsi="仿宋_GB2312" w:eastAsia="仿宋_GB2312" w:cs="仿宋_GB2312"/>
          <w:bCs/>
          <w:sz w:val="30"/>
          <w:szCs w:val="30"/>
        </w:rPr>
        <w:t>建立健全全面绩效管理机制</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加强预算绩效管理工作组织领导，优化预算管理流程，完善内部控制制度</w:t>
      </w:r>
      <w:r>
        <w:rPr>
          <w:rFonts w:ascii="Times New Roman" w:hAnsi="Times New Roman" w:eastAsia="仿宋_GB2312" w:cs="Times New Roman"/>
          <w:sz w:val="32"/>
          <w:szCs w:val="32"/>
        </w:rPr>
        <w:t>。</w:t>
      </w:r>
    </w:p>
    <w:p w14:paraId="606F10C4">
      <w:pPr>
        <w:overflowPunct w:val="0"/>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统计工作经费</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43.21</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43.21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eastAsia="zh-CN"/>
        </w:rPr>
        <w:t>优</w:t>
      </w:r>
      <w:r>
        <w:rPr>
          <w:rFonts w:ascii="Times New Roman" w:hAnsi="Times New Roman" w:eastAsia="仿宋_GB2312" w:cs="Times New Roman"/>
          <w:sz w:val="32"/>
          <w:szCs w:val="32"/>
        </w:rPr>
        <w:t>”。发现的主要问题及原因：</w:t>
      </w:r>
      <w:r>
        <w:rPr>
          <w:rFonts w:hint="eastAsia" w:ascii="Times New Roman" w:hAnsi="Times New Roman" w:eastAsia="仿宋_GB2312" w:cs="Times New Roman"/>
          <w:sz w:val="32"/>
          <w:szCs w:val="32"/>
          <w:lang w:eastAsia="zh-CN"/>
        </w:rPr>
        <w:t>未发现问题</w:t>
      </w:r>
      <w:r>
        <w:rPr>
          <w:rFonts w:ascii="Times New Roman" w:hAnsi="Times New Roman" w:eastAsia="仿宋_GB2312" w:cs="Times New Roman"/>
          <w:sz w:val="32"/>
          <w:szCs w:val="32"/>
        </w:rPr>
        <w:t>。下一步改进措施：</w:t>
      </w:r>
      <w:r>
        <w:rPr>
          <w:rFonts w:hint="eastAsia" w:ascii="仿宋_GB2312" w:hAnsi="仿宋_GB2312" w:eastAsia="仿宋_GB2312" w:cs="仿宋_GB2312"/>
          <w:bCs/>
          <w:sz w:val="30"/>
          <w:szCs w:val="30"/>
        </w:rPr>
        <w:t>建立健全全面绩效管理机制</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加强预算绩效管理工作组织领导，优化预算管理流程，完善内部控制制度</w:t>
      </w:r>
      <w:r>
        <w:rPr>
          <w:rFonts w:ascii="Times New Roman" w:hAnsi="Times New Roman" w:eastAsia="仿宋_GB2312" w:cs="Times New Roman"/>
          <w:sz w:val="32"/>
          <w:szCs w:val="32"/>
        </w:rPr>
        <w:t>。</w:t>
      </w:r>
    </w:p>
    <w:p w14:paraId="51CBB6F4">
      <w:pPr>
        <w:overflowPunct w:val="0"/>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统计培训及资料印刷</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95</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eastAsia="zh-CN"/>
        </w:rPr>
        <w:t>优</w:t>
      </w:r>
      <w:r>
        <w:rPr>
          <w:rFonts w:ascii="Times New Roman" w:hAnsi="Times New Roman" w:eastAsia="仿宋_GB2312" w:cs="Times New Roman"/>
          <w:sz w:val="32"/>
          <w:szCs w:val="32"/>
        </w:rPr>
        <w:t>”。发现的主要问题及原因：</w:t>
      </w:r>
      <w:r>
        <w:rPr>
          <w:rFonts w:hint="eastAsia" w:ascii="Times New Roman" w:hAnsi="Times New Roman" w:eastAsia="仿宋_GB2312" w:cs="Times New Roman"/>
          <w:sz w:val="32"/>
          <w:szCs w:val="32"/>
          <w:lang w:eastAsia="zh-CN"/>
        </w:rPr>
        <w:t>因工作计划变动，统计年鉴编印指标未完成</w:t>
      </w:r>
      <w:r>
        <w:rPr>
          <w:rFonts w:ascii="Times New Roman" w:hAnsi="Times New Roman" w:eastAsia="仿宋_GB2312" w:cs="Times New Roman"/>
          <w:sz w:val="32"/>
          <w:szCs w:val="32"/>
        </w:rPr>
        <w:t>。下一步改进措施：</w:t>
      </w:r>
      <w:r>
        <w:rPr>
          <w:rFonts w:hint="eastAsia" w:ascii="仿宋_GB2312" w:hAnsi="仿宋_GB2312" w:eastAsia="仿宋_GB2312" w:cs="仿宋_GB2312"/>
          <w:bCs/>
          <w:sz w:val="30"/>
          <w:szCs w:val="30"/>
          <w:lang w:eastAsia="zh-CN"/>
        </w:rPr>
        <w:t>进一步细化指标设置</w:t>
      </w:r>
      <w:r>
        <w:rPr>
          <w:rFonts w:ascii="Times New Roman" w:hAnsi="Times New Roman" w:eastAsia="仿宋_GB2312" w:cs="Times New Roman"/>
          <w:sz w:val="32"/>
          <w:szCs w:val="32"/>
        </w:rPr>
        <w:t>。</w:t>
      </w:r>
    </w:p>
    <w:p w14:paraId="3BB97658">
      <w:pPr>
        <w:overflowPunct w:val="0"/>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投入产出调查</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43.95</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43.92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eastAsia="zh-CN"/>
        </w:rPr>
        <w:t>优</w:t>
      </w:r>
      <w:r>
        <w:rPr>
          <w:rFonts w:ascii="Times New Roman" w:hAnsi="Times New Roman" w:eastAsia="仿宋_GB2312" w:cs="Times New Roman"/>
          <w:sz w:val="32"/>
          <w:szCs w:val="32"/>
        </w:rPr>
        <w:t>”。发现的主要问题及原因：</w:t>
      </w:r>
      <w:r>
        <w:rPr>
          <w:rFonts w:hint="eastAsia" w:ascii="Times New Roman" w:hAnsi="Times New Roman" w:eastAsia="仿宋_GB2312" w:cs="Times New Roman"/>
          <w:sz w:val="32"/>
          <w:szCs w:val="32"/>
          <w:lang w:eastAsia="zh-CN"/>
        </w:rPr>
        <w:t>未发现问题</w:t>
      </w:r>
      <w:r>
        <w:rPr>
          <w:rFonts w:ascii="Times New Roman" w:hAnsi="Times New Roman" w:eastAsia="仿宋_GB2312" w:cs="Times New Roman"/>
          <w:sz w:val="32"/>
          <w:szCs w:val="32"/>
        </w:rPr>
        <w:t>。下一步改进措施：</w:t>
      </w:r>
      <w:r>
        <w:rPr>
          <w:rFonts w:hint="eastAsia" w:ascii="仿宋_GB2312" w:hAnsi="仿宋_GB2312" w:eastAsia="仿宋_GB2312" w:cs="仿宋_GB2312"/>
          <w:bCs/>
          <w:sz w:val="30"/>
          <w:szCs w:val="30"/>
        </w:rPr>
        <w:t>建立健全全面绩效管理机制</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加强预算绩效管理工作组织领导，优化预算管理流程，完善内部控制制度</w:t>
      </w:r>
      <w:r>
        <w:rPr>
          <w:rFonts w:ascii="Times New Roman" w:hAnsi="Times New Roman" w:eastAsia="仿宋_GB2312" w:cs="Times New Roman"/>
          <w:sz w:val="32"/>
          <w:szCs w:val="32"/>
        </w:rPr>
        <w:t>。</w:t>
      </w:r>
    </w:p>
    <w:p w14:paraId="64D42384">
      <w:pPr>
        <w:overflowPunct w:val="0"/>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新增两项民意调查</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eastAsia="zh-CN"/>
        </w:rPr>
        <w:t>优</w:t>
      </w:r>
      <w:r>
        <w:rPr>
          <w:rFonts w:ascii="Times New Roman" w:hAnsi="Times New Roman" w:eastAsia="仿宋_GB2312" w:cs="Times New Roman"/>
          <w:sz w:val="32"/>
          <w:szCs w:val="32"/>
        </w:rPr>
        <w:t>”。发现的主要问题及原因：</w:t>
      </w:r>
      <w:r>
        <w:rPr>
          <w:rFonts w:hint="eastAsia" w:ascii="Times New Roman" w:hAnsi="Times New Roman" w:eastAsia="仿宋_GB2312" w:cs="Times New Roman"/>
          <w:sz w:val="32"/>
          <w:szCs w:val="32"/>
          <w:lang w:eastAsia="zh-CN"/>
        </w:rPr>
        <w:t>未发现问题</w:t>
      </w:r>
      <w:r>
        <w:rPr>
          <w:rFonts w:ascii="Times New Roman" w:hAnsi="Times New Roman" w:eastAsia="仿宋_GB2312" w:cs="Times New Roman"/>
          <w:sz w:val="32"/>
          <w:szCs w:val="32"/>
        </w:rPr>
        <w:t>。下一步改进措施：</w:t>
      </w:r>
      <w:r>
        <w:rPr>
          <w:rFonts w:hint="eastAsia" w:ascii="仿宋_GB2312" w:hAnsi="仿宋_GB2312" w:eastAsia="仿宋_GB2312" w:cs="仿宋_GB2312"/>
          <w:bCs/>
          <w:sz w:val="30"/>
          <w:szCs w:val="30"/>
        </w:rPr>
        <w:t>建立健全全面绩效管理机制</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加强预算绩效管理工作组织领导，优化预算管理流程，完善内部控制制度</w:t>
      </w:r>
      <w:r>
        <w:rPr>
          <w:rFonts w:ascii="Times New Roman" w:hAnsi="Times New Roman" w:eastAsia="仿宋_GB2312" w:cs="Times New Roman"/>
          <w:sz w:val="32"/>
          <w:szCs w:val="32"/>
        </w:rPr>
        <w:t>。</w:t>
      </w:r>
    </w:p>
    <w:p w14:paraId="5DC4775D">
      <w:pPr>
        <w:overflowPunct w:val="0"/>
        <w:spacing w:line="600" w:lineRule="exact"/>
        <w:ind w:firstLine="640" w:firstLineChars="200"/>
        <w:rPr>
          <w:rFonts w:hint="eastAsia" w:ascii="Times New Roman" w:hAnsi="Times New Roman" w:eastAsia="仿宋_GB2312"/>
          <w:color w:val="FF0000"/>
          <w:sz w:val="32"/>
          <w:szCs w:val="32"/>
        </w:rPr>
      </w:pP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b/>
          <w:bCs/>
          <w:kern w:val="0"/>
          <w:sz w:val="32"/>
          <w:szCs w:val="32"/>
          <w:highlight w:val="none"/>
          <w:lang w:val="en-US" w:eastAsia="zh-CN"/>
        </w:rPr>
        <w:t>事</w:t>
      </w:r>
      <w:r>
        <w:rPr>
          <w:rFonts w:ascii="Times New Roman" w:hAnsi="Times New Roman" w:eastAsia="仿宋_GB2312" w:cs="Times New Roman"/>
          <w:b/>
          <w:bCs/>
          <w:kern w:val="0"/>
          <w:sz w:val="32"/>
          <w:szCs w:val="32"/>
          <w:highlight w:val="none"/>
        </w:rPr>
        <w:t>前绩效评估结果。</w:t>
      </w:r>
      <w:r>
        <w:rPr>
          <w:rFonts w:ascii="Times New Roman" w:hAnsi="Times New Roman" w:eastAsia="仿宋_GB2312" w:cs="Times New Roman"/>
          <w:kern w:val="0"/>
          <w:sz w:val="32"/>
          <w:szCs w:val="32"/>
          <w:highlight w:val="none"/>
        </w:rPr>
        <w:t>2024年度</w:t>
      </w:r>
      <w:r>
        <w:rPr>
          <w:rFonts w:hint="eastAsia" w:ascii="Times New Roman" w:hAnsi="Times New Roman" w:eastAsia="仿宋_GB2312" w:cs="Times New Roman"/>
          <w:sz w:val="32"/>
          <w:szCs w:val="32"/>
          <w:highlight w:val="none"/>
          <w:lang w:val="en-US" w:eastAsia="zh-CN"/>
        </w:rPr>
        <w:t>2</w:t>
      </w:r>
      <w:r>
        <w:rPr>
          <w:rFonts w:ascii="Times New Roman" w:hAnsi="Times New Roman" w:eastAsia="仿宋_GB2312" w:cs="Times New Roman"/>
          <w:kern w:val="0"/>
          <w:sz w:val="32"/>
          <w:szCs w:val="32"/>
          <w:highlight w:val="none"/>
        </w:rPr>
        <w:t>个重大项目事前绩效评估，其中，</w:t>
      </w:r>
      <w:r>
        <w:rPr>
          <w:rFonts w:hint="eastAsia" w:ascii="Times New Roman" w:hAnsi="Times New Roman" w:eastAsia="仿宋_GB2312" w:cs="Times New Roman"/>
          <w:sz w:val="32"/>
          <w:szCs w:val="32"/>
          <w:highlight w:val="none"/>
          <w:lang w:val="en-US" w:eastAsia="zh-CN"/>
        </w:rPr>
        <w:t>2</w:t>
      </w:r>
      <w:r>
        <w:rPr>
          <w:rFonts w:ascii="Times New Roman" w:hAnsi="Times New Roman" w:eastAsia="仿宋_GB2312" w:cs="Times New Roman"/>
          <w:kern w:val="0"/>
          <w:sz w:val="32"/>
          <w:szCs w:val="32"/>
          <w:highlight w:val="none"/>
        </w:rPr>
        <w:t>个项目评估通过，涉及资金</w:t>
      </w:r>
      <w:r>
        <w:rPr>
          <w:rFonts w:hint="eastAsia" w:ascii="Times New Roman" w:hAnsi="Times New Roman" w:eastAsia="仿宋_GB2312" w:cs="Times New Roman"/>
          <w:sz w:val="32"/>
          <w:szCs w:val="32"/>
          <w:highlight w:val="none"/>
          <w:lang w:val="en-US" w:eastAsia="zh-CN"/>
        </w:rPr>
        <w:t>60</w:t>
      </w:r>
      <w:r>
        <w:rPr>
          <w:rFonts w:ascii="Times New Roman" w:hAnsi="Times New Roman" w:eastAsia="仿宋_GB2312" w:cs="Times New Roman"/>
          <w:kern w:val="0"/>
          <w:sz w:val="32"/>
          <w:szCs w:val="32"/>
          <w:highlight w:val="none"/>
        </w:rPr>
        <w:t>万元，</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kern w:val="0"/>
          <w:sz w:val="32"/>
          <w:szCs w:val="32"/>
          <w:highlight w:val="none"/>
        </w:rPr>
        <w:t>个项目评估不通过，涉及资金</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kern w:val="0"/>
          <w:sz w:val="32"/>
          <w:szCs w:val="32"/>
          <w:highlight w:val="none"/>
        </w:rPr>
        <w:t>万元</w:t>
      </w:r>
      <w:r>
        <w:rPr>
          <w:rFonts w:hint="eastAsia" w:ascii="Times New Roman" w:hAnsi="Times New Roman" w:eastAsia="仿宋_GB2312" w:cs="Times New Roman"/>
          <w:kern w:val="0"/>
          <w:sz w:val="32"/>
          <w:szCs w:val="32"/>
          <w:highlight w:val="none"/>
          <w:lang w:val="en-US" w:eastAsia="zh-CN"/>
        </w:rPr>
        <w:t>。</w:t>
      </w:r>
    </w:p>
    <w:p w14:paraId="2C89E516">
      <w:pPr>
        <w:numPr>
          <w:ilvl w:val="0"/>
          <w:numId w:val="2"/>
        </w:numPr>
        <w:autoSpaceDE w:val="0"/>
        <w:autoSpaceDN w:val="0"/>
        <w:adjustRightInd w:val="0"/>
        <w:ind w:firstLine="640" w:firstLineChars="200"/>
        <w:jc w:val="left"/>
        <w:rPr>
          <w:rFonts w:ascii="Times New Roman" w:hAnsi="Times New Roman" w:eastAsia="楷体_GB2312" w:cs="Times New Roman"/>
          <w:b/>
          <w:bCs/>
          <w:color w:val="auto"/>
          <w:kern w:val="2"/>
          <w:sz w:val="32"/>
          <w:szCs w:val="32"/>
          <w:highlight w:val="none"/>
        </w:rPr>
      </w:pPr>
      <w:r>
        <w:rPr>
          <w:rFonts w:ascii="Times New Roman" w:hAnsi="Times New Roman" w:eastAsia="楷体_GB2312" w:cs="Times New Roman"/>
          <w:b/>
          <w:bCs/>
          <w:color w:val="auto"/>
          <w:kern w:val="2"/>
          <w:sz w:val="32"/>
          <w:szCs w:val="32"/>
          <w:highlight w:val="none"/>
        </w:rPr>
        <w:t>评价结果应用情况</w:t>
      </w:r>
    </w:p>
    <w:p w14:paraId="7BEB2D9C">
      <w:pPr>
        <w:spacing w:line="500" w:lineRule="exact"/>
        <w:ind w:firstLine="640" w:firstLineChars="200"/>
        <w:rPr>
          <w:rFonts w:ascii="仿宋_GB2312" w:hAnsi="仿宋_GB2312" w:eastAsia="仿宋_GB2312" w:cs="仿宋_GB2312"/>
          <w:bCs/>
          <w:sz w:val="30"/>
          <w:szCs w:val="30"/>
        </w:rPr>
      </w:pP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b/>
          <w:bCs/>
          <w:kern w:val="0"/>
          <w:sz w:val="32"/>
          <w:szCs w:val="32"/>
          <w:lang w:val="en-US" w:eastAsia="zh-CN"/>
        </w:rPr>
        <w:t>结果应用情况。</w:t>
      </w:r>
      <w:r>
        <w:rPr>
          <w:rFonts w:hint="eastAsia" w:ascii="Times New Roman" w:hAnsi="Times New Roman" w:eastAsia="仿宋_GB2312" w:cs="Times New Roman"/>
          <w:b w:val="0"/>
          <w:bCs w:val="0"/>
          <w:kern w:val="0"/>
          <w:sz w:val="32"/>
          <w:szCs w:val="32"/>
          <w:lang w:val="en-US" w:eastAsia="zh-CN"/>
        </w:rPr>
        <w:t>一是</w:t>
      </w:r>
      <w:r>
        <w:rPr>
          <w:rFonts w:hint="eastAsia" w:ascii="仿宋_GB2312" w:hAnsi="仿宋_GB2312" w:eastAsia="仿宋_GB2312" w:cs="仿宋_GB2312"/>
          <w:bCs/>
          <w:sz w:val="30"/>
          <w:szCs w:val="30"/>
        </w:rPr>
        <w:t>深化绩效评价工作，不断提高部门预算整体绩效目标管理水平。按照《预算法》按时完成预决算编制。在执行过程中有计划的进行资金申报、使用，完善资金管理及内部控制制度，确保资金安全，做到账款、账账、账实相符。</w:t>
      </w:r>
      <w:r>
        <w:rPr>
          <w:rFonts w:hint="eastAsia" w:ascii="仿宋_GB2312" w:hAnsi="仿宋_GB2312" w:eastAsia="仿宋_GB2312" w:cs="仿宋_GB2312"/>
          <w:bCs/>
          <w:sz w:val="30"/>
          <w:szCs w:val="30"/>
          <w:lang w:eastAsia="zh-CN"/>
        </w:rPr>
        <w:t>二是</w:t>
      </w:r>
      <w:r>
        <w:rPr>
          <w:rFonts w:hint="eastAsia" w:ascii="仿宋_GB2312" w:hAnsi="仿宋_GB2312" w:eastAsia="仿宋_GB2312" w:cs="仿宋_GB2312"/>
          <w:bCs/>
          <w:sz w:val="30"/>
          <w:szCs w:val="30"/>
        </w:rPr>
        <w:t>通过绩效自评建立节约型机关。严格执行中央八项规定，严格管控三公经费支出，厉行节约，“三公经费”支出按时在指定平台上公示。扎实抓好机关节能降耗，一是严控用电管理。倡导在自然光照较好的条件下不使用照明灯具，使用照明工具时保证人走灯灭，杜绝"长明灯"等能耗空放现象。二是严控用水管理。人走时及时关闭关紧水龙头，杜绝"长流水"和"跑、冒、滴、漏"现象。</w:t>
      </w:r>
      <w:r>
        <w:rPr>
          <w:rFonts w:hint="eastAsia" w:ascii="仿宋_GB2312" w:hAnsi="仿宋_GB2312" w:eastAsia="仿宋_GB2312" w:cs="仿宋_GB2312"/>
          <w:bCs/>
          <w:sz w:val="30"/>
          <w:szCs w:val="30"/>
          <w:lang w:eastAsia="zh-CN"/>
        </w:rPr>
        <w:t>三是</w:t>
      </w:r>
      <w:r>
        <w:rPr>
          <w:rFonts w:hint="eastAsia" w:ascii="仿宋_GB2312" w:hAnsi="仿宋_GB2312" w:eastAsia="仿宋_GB2312" w:cs="仿宋_GB2312"/>
          <w:bCs/>
          <w:sz w:val="30"/>
          <w:szCs w:val="30"/>
        </w:rPr>
        <w:t>强化单位财务管理工作，进一步落实“过紧日子”要求。在资金的管理和使用上，严格遵守财经纪律，严格执行机关财务管理制度，压减经费支出，及时进行会计核算，对预决算情况进行公开公示，接受群众监督。</w:t>
      </w:r>
    </w:p>
    <w:p w14:paraId="147E06D0">
      <w:pPr>
        <w:spacing w:line="500" w:lineRule="exact"/>
        <w:ind w:firstLine="640" w:firstLineChars="200"/>
        <w:rPr>
          <w:rFonts w:hint="eastAsia" w:ascii="方正小标宋_GBK" w:hAnsi="方正小标宋_GBK" w:eastAsia="方正小标宋_GBK" w:cs="方正小标宋_GBK"/>
          <w:sz w:val="24"/>
          <w:szCs w:val="24"/>
        </w:rPr>
      </w:pP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b/>
          <w:bCs/>
          <w:kern w:val="0"/>
          <w:sz w:val="32"/>
          <w:szCs w:val="32"/>
          <w:lang w:val="en-US" w:eastAsia="zh-CN"/>
        </w:rPr>
        <w:t>公开公示情况。</w:t>
      </w:r>
      <w:r>
        <w:rPr>
          <w:rFonts w:hint="eastAsia" w:ascii="仿宋_GB2312" w:hAnsi="仿宋_GB2312" w:eastAsia="仿宋_GB2312" w:cs="仿宋_GB2312"/>
          <w:b w:val="0"/>
          <w:bCs w:val="0"/>
          <w:sz w:val="32"/>
          <w:szCs w:val="32"/>
          <w:lang w:val="en-US" w:eastAsia="zh-CN"/>
        </w:rPr>
        <w:t>预算绩效管理开展情况、绩效目标和绩效评价报告等，已在</w:t>
      </w:r>
      <w:r>
        <w:rPr>
          <w:rFonts w:hint="eastAsia" w:ascii="仿宋_GB2312" w:hAnsi="仿宋_GB2312" w:eastAsia="仿宋_GB2312" w:cs="仿宋_GB2312"/>
          <w:bCs/>
          <w:sz w:val="30"/>
          <w:szCs w:val="30"/>
        </w:rPr>
        <w:t>“岳阳市统计局信息网”公开公示板块下的资金信息专栏</w:t>
      </w:r>
      <w:r>
        <w:rPr>
          <w:rFonts w:hint="eastAsia" w:ascii="仿宋_GB2312" w:hAnsi="仿宋_GB2312" w:eastAsia="仿宋_GB2312" w:cs="仿宋_GB2312"/>
          <w:b w:val="0"/>
          <w:bCs w:val="0"/>
          <w:sz w:val="32"/>
          <w:szCs w:val="32"/>
          <w:lang w:val="en-US" w:eastAsia="zh-CN"/>
        </w:rPr>
        <w:t>上向社会公开，详见附件。</w:t>
      </w:r>
    </w:p>
    <w:p w14:paraId="3D83FDA1">
      <w:pPr>
        <w:pStyle w:val="13"/>
        <w:jc w:val="center"/>
        <w:rPr>
          <w:rFonts w:hint="eastAsia" w:ascii="方正小标宋_GBK" w:hAnsi="方正小标宋_GBK" w:eastAsia="方正小标宋_GBK" w:cs="方正小标宋_GBK"/>
          <w:sz w:val="72"/>
          <w:szCs w:val="72"/>
        </w:rPr>
      </w:pPr>
    </w:p>
    <w:p w14:paraId="6FB6F211">
      <w:pPr>
        <w:pStyle w:val="13"/>
        <w:jc w:val="center"/>
        <w:rPr>
          <w:rFonts w:hint="eastAsia" w:ascii="方正小标宋_GBK" w:hAnsi="方正小标宋_GBK" w:eastAsia="方正小标宋_GBK" w:cs="方正小标宋_GBK"/>
          <w:sz w:val="72"/>
          <w:szCs w:val="72"/>
        </w:rPr>
      </w:pPr>
    </w:p>
    <w:p w14:paraId="3A01B6B0">
      <w:pPr>
        <w:pStyle w:val="13"/>
        <w:jc w:val="center"/>
        <w:rPr>
          <w:rFonts w:hint="eastAsia" w:ascii="方正小标宋_GBK" w:hAnsi="方正小标宋_GBK" w:eastAsia="方正小标宋_GBK" w:cs="方正小标宋_GBK"/>
          <w:sz w:val="72"/>
          <w:szCs w:val="72"/>
        </w:rPr>
      </w:pPr>
    </w:p>
    <w:p w14:paraId="61C807D2">
      <w:pPr>
        <w:pStyle w:val="13"/>
        <w:jc w:val="center"/>
        <w:rPr>
          <w:rFonts w:hint="eastAsia" w:ascii="方正小标宋_GBK" w:hAnsi="方正小标宋_GBK" w:eastAsia="方正小标宋_GBK" w:cs="方正小标宋_GBK"/>
          <w:sz w:val="72"/>
          <w:szCs w:val="72"/>
        </w:rPr>
      </w:pPr>
    </w:p>
    <w:p w14:paraId="5E89BCD5">
      <w:pPr>
        <w:pStyle w:val="13"/>
        <w:jc w:val="center"/>
        <w:rPr>
          <w:rFonts w:hint="eastAsia" w:ascii="方正小标宋_GBK" w:hAnsi="方正小标宋_GBK" w:eastAsia="方正小标宋_GBK" w:cs="方正小标宋_GBK"/>
          <w:sz w:val="72"/>
          <w:szCs w:val="72"/>
        </w:rPr>
      </w:pPr>
    </w:p>
    <w:p w14:paraId="0111A4C5">
      <w:pPr>
        <w:pStyle w:val="13"/>
        <w:jc w:val="center"/>
        <w:rPr>
          <w:rFonts w:hint="eastAsia" w:ascii="方正小标宋_GBK" w:hAnsi="方正小标宋_GBK" w:eastAsia="方正小标宋_GBK" w:cs="方正小标宋_GBK"/>
          <w:sz w:val="72"/>
          <w:szCs w:val="72"/>
        </w:rPr>
      </w:pPr>
    </w:p>
    <w:p w14:paraId="31B1F2C0">
      <w:pPr>
        <w:pStyle w:val="13"/>
        <w:jc w:val="center"/>
        <w:rPr>
          <w:rFonts w:hint="eastAsia" w:ascii="方正小标宋_GBK" w:hAnsi="方正小标宋_GBK" w:eastAsia="方正小标宋_GBK" w:cs="方正小标宋_GBK"/>
          <w:sz w:val="72"/>
          <w:szCs w:val="72"/>
        </w:rPr>
      </w:pPr>
    </w:p>
    <w:p w14:paraId="50B6E1AB">
      <w:pPr>
        <w:pStyle w:val="13"/>
        <w:jc w:val="center"/>
        <w:rPr>
          <w:rFonts w:hint="eastAsia" w:ascii="方正小标宋_GBK" w:hAnsi="方正小标宋_GBK" w:eastAsia="方正小标宋_GBK" w:cs="方正小标宋_GBK"/>
          <w:sz w:val="72"/>
          <w:szCs w:val="72"/>
        </w:rPr>
      </w:pPr>
    </w:p>
    <w:p w14:paraId="37BC6851">
      <w:pPr>
        <w:pStyle w:val="13"/>
        <w:jc w:val="center"/>
        <w:rPr>
          <w:rFonts w:hint="eastAsia" w:ascii="方正小标宋_GBK" w:hAnsi="方正小标宋_GBK" w:eastAsia="方正小标宋_GBK" w:cs="方正小标宋_GBK"/>
          <w:sz w:val="72"/>
          <w:szCs w:val="72"/>
        </w:rPr>
      </w:pPr>
    </w:p>
    <w:p w14:paraId="3273AD37">
      <w:pPr>
        <w:pStyle w:val="13"/>
        <w:jc w:val="center"/>
        <w:rPr>
          <w:rFonts w:hint="eastAsia" w:ascii="方正小标宋_GBK" w:hAnsi="方正小标宋_GBK" w:eastAsia="方正小标宋_GBK" w:cs="方正小标宋_GBK"/>
          <w:sz w:val="72"/>
          <w:szCs w:val="72"/>
        </w:rPr>
      </w:pPr>
    </w:p>
    <w:p w14:paraId="3A70E63E">
      <w:pPr>
        <w:pStyle w:val="13"/>
        <w:jc w:val="center"/>
        <w:rPr>
          <w:rFonts w:hint="eastAsia" w:ascii="方正小标宋_GBK" w:hAnsi="方正小标宋_GBK" w:eastAsia="方正小标宋_GBK" w:cs="方正小标宋_GBK"/>
          <w:sz w:val="72"/>
          <w:szCs w:val="72"/>
        </w:rPr>
      </w:pPr>
    </w:p>
    <w:p w14:paraId="5EBC264D">
      <w:pPr>
        <w:pStyle w:val="13"/>
        <w:jc w:val="center"/>
        <w:rPr>
          <w:rFonts w:hint="eastAsia" w:ascii="方正小标宋_GBK" w:hAnsi="方正小标宋_GBK" w:eastAsia="方正小标宋_GBK" w:cs="方正小标宋_GBK"/>
          <w:sz w:val="72"/>
          <w:szCs w:val="72"/>
        </w:rPr>
      </w:pPr>
    </w:p>
    <w:p w14:paraId="53DBABAF">
      <w:pPr>
        <w:pStyle w:val="13"/>
        <w:jc w:val="center"/>
        <w:rPr>
          <w:rFonts w:hint="eastAsia" w:ascii="方正小标宋_GBK" w:hAnsi="方正小标宋_GBK" w:eastAsia="方正小标宋_GBK" w:cs="方正小标宋_GBK"/>
          <w:sz w:val="72"/>
          <w:szCs w:val="72"/>
        </w:rPr>
      </w:pPr>
    </w:p>
    <w:p w14:paraId="475C1000">
      <w:pPr>
        <w:pStyle w:val="13"/>
        <w:jc w:val="center"/>
        <w:rPr>
          <w:rFonts w:hint="eastAsia" w:ascii="方正小标宋_GBK" w:hAnsi="方正小标宋_GBK" w:eastAsia="方正小标宋_GBK" w:cs="方正小标宋_GBK"/>
          <w:sz w:val="72"/>
          <w:szCs w:val="72"/>
        </w:rPr>
      </w:pPr>
    </w:p>
    <w:p w14:paraId="6A5A782C">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2DDD6447">
      <w:pPr>
        <w:jc w:val="center"/>
        <w:rPr>
          <w:rFonts w:hint="eastAsia" w:ascii="方正小标宋_GBK" w:hAnsi="方正小标宋_GBK" w:eastAsia="方正小标宋_GBK" w:cs="方正小标宋_GBK"/>
          <w:color w:val="000000"/>
          <w:kern w:val="0"/>
          <w:sz w:val="70"/>
          <w:szCs w:val="70"/>
        </w:rPr>
      </w:pPr>
    </w:p>
    <w:p w14:paraId="41992F86">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571298D0">
      <w:pPr>
        <w:pStyle w:val="8"/>
      </w:pPr>
    </w:p>
    <w:p w14:paraId="5331F884">
      <w:pPr>
        <w:pStyle w:val="5"/>
      </w:pPr>
    </w:p>
    <w:p w14:paraId="2CCAD852"/>
    <w:p w14:paraId="440E89DF">
      <w:pPr>
        <w:pStyle w:val="8"/>
      </w:pPr>
    </w:p>
    <w:p w14:paraId="645B9B76">
      <w:pPr>
        <w:pStyle w:val="5"/>
      </w:pPr>
    </w:p>
    <w:p w14:paraId="539F25AC"/>
    <w:p w14:paraId="47AFAB8F">
      <w:pPr>
        <w:pStyle w:val="8"/>
      </w:pPr>
    </w:p>
    <w:p w14:paraId="479D6353">
      <w:pPr>
        <w:pStyle w:val="5"/>
      </w:pPr>
    </w:p>
    <w:p w14:paraId="648103ED"/>
    <w:p w14:paraId="08A5EA8F">
      <w:pPr>
        <w:pStyle w:val="8"/>
      </w:pPr>
    </w:p>
    <w:p w14:paraId="3FD0BAB6">
      <w:pPr>
        <w:pStyle w:val="5"/>
      </w:pPr>
    </w:p>
    <w:p w14:paraId="1CAE18D7"/>
    <w:p w14:paraId="5994BDDC">
      <w:pPr>
        <w:pStyle w:val="8"/>
      </w:pPr>
    </w:p>
    <w:p w14:paraId="51F60F8D">
      <w:pPr>
        <w:pStyle w:val="5"/>
      </w:pPr>
    </w:p>
    <w:p w14:paraId="715B8195"/>
    <w:p w14:paraId="3F608935">
      <w:pPr>
        <w:pStyle w:val="8"/>
      </w:pPr>
    </w:p>
    <w:p w14:paraId="274FE3C9">
      <w:pPr>
        <w:ind w:firstLine="640" w:firstLineChars="200"/>
        <w:jc w:val="left"/>
        <w:rPr>
          <w:rFonts w:hint="eastAsia" w:ascii="仿宋_GB2312" w:hAnsi="仿宋_GB2312" w:eastAsia="仿宋_GB2312" w:cs="仿宋_GB2312"/>
          <w:color w:val="000000"/>
          <w:kern w:val="0"/>
          <w:sz w:val="32"/>
          <w:szCs w:val="32"/>
        </w:rPr>
      </w:pPr>
    </w:p>
    <w:p w14:paraId="1741E604">
      <w:pPr>
        <w:ind w:firstLine="640" w:firstLineChars="200"/>
        <w:jc w:val="left"/>
        <w:rPr>
          <w:rFonts w:hint="eastAsia" w:ascii="仿宋_GB2312" w:hAnsi="仿宋_GB2312" w:eastAsia="仿宋_GB2312" w:cs="仿宋_GB2312"/>
          <w:color w:val="000000"/>
          <w:kern w:val="0"/>
          <w:sz w:val="32"/>
          <w:szCs w:val="32"/>
        </w:rPr>
      </w:pPr>
    </w:p>
    <w:p w14:paraId="02E59030">
      <w:pPr>
        <w:ind w:firstLine="640" w:firstLineChars="200"/>
        <w:jc w:val="left"/>
        <w:rPr>
          <w:rFonts w:hint="eastAsia" w:ascii="仿宋_GB2312" w:hAnsi="仿宋_GB2312" w:eastAsia="仿宋_GB2312" w:cs="仿宋_GB2312"/>
          <w:color w:val="000000"/>
          <w:kern w:val="0"/>
          <w:sz w:val="32"/>
          <w:szCs w:val="32"/>
        </w:rPr>
      </w:pPr>
    </w:p>
    <w:p w14:paraId="61CE71B9">
      <w:pPr>
        <w:pStyle w:val="8"/>
        <w:rPr>
          <w:rFonts w:hint="eastAsia"/>
        </w:rPr>
      </w:pPr>
    </w:p>
    <w:p w14:paraId="793F6BC2">
      <w:pPr>
        <w:ind w:firstLine="640" w:firstLineChars="200"/>
        <w:jc w:val="left"/>
        <w:rPr>
          <w:rFonts w:hint="eastAsia" w:ascii="仿宋_GB2312" w:hAnsi="仿宋_GB2312" w:eastAsia="仿宋_GB2312" w:cs="仿宋_GB2312"/>
          <w:color w:val="000000"/>
          <w:kern w:val="0"/>
          <w:sz w:val="32"/>
          <w:szCs w:val="32"/>
        </w:rPr>
      </w:pPr>
    </w:p>
    <w:p w14:paraId="754BC716">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75346AC">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67306D3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三、收入科目</w:t>
      </w:r>
    </w:p>
    <w:p w14:paraId="3A878CA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财政拨款收入：指单位从同级财政部门取得的财政预算资金。</w:t>
      </w:r>
    </w:p>
    <w:p w14:paraId="53860A9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四、支出科目</w:t>
      </w:r>
    </w:p>
    <w:p w14:paraId="6FD49F1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基本支出：指为保障机构正常运转、完成日常工作任务而发生的人员支出和公用支出。</w:t>
      </w:r>
    </w:p>
    <w:p w14:paraId="794553C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rPr>
        <w:t>项目支出：指在基本支出之外为完成特定行政任务和事业发展目标所发生的支出。</w:t>
      </w:r>
    </w:p>
    <w:p w14:paraId="017B6670">
      <w:pPr>
        <w:ind w:firstLine="640" w:firstLineChars="200"/>
        <w:jc w:val="left"/>
        <w:rPr>
          <w:rFonts w:hint="eastAsia" w:ascii="仿宋_GB2312" w:hAnsi="仿宋_GB2312" w:eastAsia="仿宋_GB2312" w:cs="仿宋_GB2312"/>
          <w:color w:val="000000"/>
          <w:kern w:val="0"/>
          <w:sz w:val="32"/>
          <w:szCs w:val="32"/>
          <w:lang w:eastAsia="zh-CN"/>
        </w:rPr>
      </w:pPr>
    </w:p>
    <w:p w14:paraId="4A4E5DB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p>
    <w:p w14:paraId="2AE81CE8">
      <w:pPr>
        <w:pStyle w:val="13"/>
        <w:jc w:val="center"/>
        <w:rPr>
          <w:rFonts w:hint="eastAsia" w:ascii="仿宋_GB2312" w:hAnsi="仿宋_GB2312" w:eastAsia="仿宋_GB2312" w:cs="仿宋_GB2312"/>
          <w:sz w:val="32"/>
          <w:szCs w:val="32"/>
        </w:rPr>
      </w:pPr>
    </w:p>
    <w:p w14:paraId="1D47518A">
      <w:pPr>
        <w:pStyle w:val="5"/>
      </w:pPr>
    </w:p>
    <w:p w14:paraId="580CF8E4"/>
    <w:p w14:paraId="0C17744C">
      <w:pPr>
        <w:pStyle w:val="8"/>
      </w:pPr>
    </w:p>
    <w:p w14:paraId="7B8BABF4">
      <w:pPr>
        <w:pStyle w:val="5"/>
      </w:pPr>
    </w:p>
    <w:p w14:paraId="1942C0DC"/>
    <w:p w14:paraId="6E2D1EEF">
      <w:pPr>
        <w:pStyle w:val="8"/>
      </w:pPr>
    </w:p>
    <w:p w14:paraId="5F6ABC3B">
      <w:pPr>
        <w:pStyle w:val="5"/>
      </w:pPr>
    </w:p>
    <w:p w14:paraId="51BE6437"/>
    <w:p w14:paraId="05344CBA">
      <w:pPr>
        <w:pStyle w:val="8"/>
      </w:pPr>
    </w:p>
    <w:p w14:paraId="5C9170AD">
      <w:pPr>
        <w:pStyle w:val="5"/>
      </w:pPr>
    </w:p>
    <w:p w14:paraId="29D3A91E"/>
    <w:p w14:paraId="0D2A994E">
      <w:pPr>
        <w:pStyle w:val="8"/>
      </w:pPr>
    </w:p>
    <w:p w14:paraId="59CBCCA7">
      <w:pPr>
        <w:pStyle w:val="5"/>
      </w:pPr>
    </w:p>
    <w:p w14:paraId="67806EBD"/>
    <w:p w14:paraId="7C18BB03">
      <w:pPr>
        <w:pStyle w:val="8"/>
      </w:pPr>
    </w:p>
    <w:p w14:paraId="29230CAD">
      <w:pPr>
        <w:pStyle w:val="5"/>
      </w:pPr>
    </w:p>
    <w:p w14:paraId="724E0A54"/>
    <w:p w14:paraId="496F732E">
      <w:pPr>
        <w:pStyle w:val="8"/>
      </w:pPr>
    </w:p>
    <w:p w14:paraId="354ECFD8">
      <w:pPr>
        <w:pStyle w:val="5"/>
      </w:pPr>
    </w:p>
    <w:p w14:paraId="51C67B38"/>
    <w:p w14:paraId="5C3DE094">
      <w:pPr>
        <w:pStyle w:val="13"/>
        <w:jc w:val="both"/>
        <w:rPr>
          <w:rFonts w:hint="eastAsia" w:ascii="方正小标宋_GBK" w:hAnsi="方正小标宋_GBK" w:eastAsia="方正小标宋_GBK" w:cs="方正小标宋_GBK"/>
          <w:sz w:val="72"/>
          <w:szCs w:val="72"/>
        </w:rPr>
      </w:pPr>
    </w:p>
    <w:p w14:paraId="0C1858E3">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92BF6CA">
      <w:pPr>
        <w:pStyle w:val="13"/>
        <w:jc w:val="both"/>
        <w:rPr>
          <w:rFonts w:hint="eastAsia" w:ascii="方正小标宋_GBK" w:hAnsi="方正小标宋_GBK" w:eastAsia="方正小标宋_GBK" w:cs="方正小标宋_GBK"/>
          <w:sz w:val="70"/>
          <w:szCs w:val="70"/>
          <w:lang w:eastAsia="zh-CN"/>
        </w:rPr>
      </w:pPr>
    </w:p>
    <w:p w14:paraId="490142D3">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243C04E">
      <w:pPr>
        <w:ind w:firstLine="640" w:firstLineChars="200"/>
        <w:jc w:val="left"/>
        <w:rPr>
          <w:rFonts w:hint="eastAsia" w:ascii="宋体" w:hAnsi="宋体" w:eastAsia="宋体" w:cs="黑体"/>
          <w:b/>
          <w:color w:val="000000"/>
          <w:kern w:val="0"/>
          <w:sz w:val="32"/>
          <w:szCs w:val="32"/>
          <w:lang w:val="en-US" w:eastAsia="zh-CN"/>
        </w:rPr>
      </w:pPr>
    </w:p>
    <w:p w14:paraId="4EAC9354">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w:t>
      </w:r>
      <w:r>
        <w:rPr>
          <w:rFonts w:hint="eastAsia" w:ascii="宋体" w:hAnsi="宋体" w:eastAsia="宋体" w:cs="黑体"/>
          <w:b/>
          <w:color w:val="000000"/>
          <w:kern w:val="0"/>
          <w:sz w:val="32"/>
          <w:szCs w:val="32"/>
          <w:highlight w:val="none"/>
          <w:lang w:val="en-US" w:eastAsia="zh-CN"/>
        </w:rPr>
        <w:t>2024</w:t>
      </w:r>
      <w:r>
        <w:rPr>
          <w:rFonts w:hint="eastAsia" w:ascii="宋体" w:hAnsi="宋体" w:eastAsia="宋体" w:cs="黑体"/>
          <w:b/>
          <w:color w:val="000000"/>
          <w:kern w:val="0"/>
          <w:sz w:val="32"/>
          <w:szCs w:val="32"/>
          <w:lang w:val="en-US" w:eastAsia="zh-CN"/>
        </w:rPr>
        <w:t>年部门决算公开表格</w:t>
      </w:r>
    </w:p>
    <w:p w14:paraId="27E2EE8B">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highlight w:val="none"/>
        </w:rPr>
        <w:t>202</w:t>
      </w:r>
      <w:r>
        <w:rPr>
          <w:rFonts w:hint="eastAsia" w:ascii="宋体" w:hAnsi="宋体" w:eastAsia="宋体" w:cs="黑体"/>
          <w:b/>
          <w:color w:val="000000"/>
          <w:kern w:val="0"/>
          <w:sz w:val="32"/>
          <w:szCs w:val="32"/>
          <w:highlight w:val="none"/>
          <w:lang w:val="en-US" w:eastAsia="zh-CN"/>
        </w:rPr>
        <w:t>4</w:t>
      </w:r>
      <w:r>
        <w:rPr>
          <w:rFonts w:hint="eastAsia" w:ascii="宋体" w:hAnsi="宋体" w:eastAsia="宋体" w:cs="黑体"/>
          <w:b/>
          <w:color w:val="000000"/>
          <w:kern w:val="0"/>
          <w:sz w:val="32"/>
          <w:szCs w:val="32"/>
        </w:rPr>
        <w:t>年度部门整体支出绩效评价报告</w:t>
      </w:r>
    </w:p>
    <w:p w14:paraId="045AD96C"/>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ECFD4"/>
    <w:multiLevelType w:val="singleLevel"/>
    <w:tmpl w:val="8EDECFD4"/>
    <w:lvl w:ilvl="0" w:tentative="0">
      <w:start w:val="3"/>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727520"/>
    <w:rsid w:val="0531317B"/>
    <w:rsid w:val="059958AD"/>
    <w:rsid w:val="05BF6A7D"/>
    <w:rsid w:val="06C857E7"/>
    <w:rsid w:val="08C24A73"/>
    <w:rsid w:val="0A9F2236"/>
    <w:rsid w:val="11944E2C"/>
    <w:rsid w:val="12583BA5"/>
    <w:rsid w:val="13BA5B9C"/>
    <w:rsid w:val="17471E3D"/>
    <w:rsid w:val="1D97DEFF"/>
    <w:rsid w:val="1DFF72E5"/>
    <w:rsid w:val="1EFC6F07"/>
    <w:rsid w:val="1F0527A6"/>
    <w:rsid w:val="22AC03C2"/>
    <w:rsid w:val="246D6C5B"/>
    <w:rsid w:val="283B15FE"/>
    <w:rsid w:val="2FDF85B8"/>
    <w:rsid w:val="2FFFEE04"/>
    <w:rsid w:val="31C95635"/>
    <w:rsid w:val="34DF85B0"/>
    <w:rsid w:val="3A24451B"/>
    <w:rsid w:val="3B8F36BC"/>
    <w:rsid w:val="43EB5BA5"/>
    <w:rsid w:val="467B583E"/>
    <w:rsid w:val="491FF225"/>
    <w:rsid w:val="4EC310A1"/>
    <w:rsid w:val="4FFD214C"/>
    <w:rsid w:val="51C8534D"/>
    <w:rsid w:val="5352765A"/>
    <w:rsid w:val="5777D4F5"/>
    <w:rsid w:val="57F22B6F"/>
    <w:rsid w:val="59DD8326"/>
    <w:rsid w:val="5DEF592A"/>
    <w:rsid w:val="5FC6BB1E"/>
    <w:rsid w:val="5FF720F1"/>
    <w:rsid w:val="622964C1"/>
    <w:rsid w:val="67FF5C0B"/>
    <w:rsid w:val="696A4AE4"/>
    <w:rsid w:val="6BAA4A2F"/>
    <w:rsid w:val="6DDEC5C0"/>
    <w:rsid w:val="6EFC0924"/>
    <w:rsid w:val="6FB74722"/>
    <w:rsid w:val="6FEF8B7E"/>
    <w:rsid w:val="717FE77F"/>
    <w:rsid w:val="71A6591B"/>
    <w:rsid w:val="737D59BA"/>
    <w:rsid w:val="737F32B1"/>
    <w:rsid w:val="73BD3FCA"/>
    <w:rsid w:val="776BDA01"/>
    <w:rsid w:val="77C37683"/>
    <w:rsid w:val="79FF515B"/>
    <w:rsid w:val="7C410561"/>
    <w:rsid w:val="7DFBFF20"/>
    <w:rsid w:val="7E5356EF"/>
    <w:rsid w:val="7E9E1962"/>
    <w:rsid w:val="7E9F11B4"/>
    <w:rsid w:val="7F37EC1E"/>
    <w:rsid w:val="7F7C0DDA"/>
    <w:rsid w:val="7F7DCD9D"/>
    <w:rsid w:val="7F970A6F"/>
    <w:rsid w:val="7FC1FFF3"/>
    <w:rsid w:val="7FC69637"/>
    <w:rsid w:val="7FDF8620"/>
    <w:rsid w:val="7FFB242F"/>
    <w:rsid w:val="7FFDB408"/>
    <w:rsid w:val="7FFE4EEB"/>
    <w:rsid w:val="95FB2B98"/>
    <w:rsid w:val="9A639BC2"/>
    <w:rsid w:val="9FF7D786"/>
    <w:rsid w:val="ABBFB23D"/>
    <w:rsid w:val="B6BE5A03"/>
    <w:rsid w:val="B8C93228"/>
    <w:rsid w:val="C3B4DA5A"/>
    <w:rsid w:val="C4FF458C"/>
    <w:rsid w:val="C7BBD038"/>
    <w:rsid w:val="CBFF70E0"/>
    <w:rsid w:val="CFF50B82"/>
    <w:rsid w:val="CFFFAD89"/>
    <w:rsid w:val="DFFE359E"/>
    <w:rsid w:val="DFFE4FFD"/>
    <w:rsid w:val="DFFF5403"/>
    <w:rsid w:val="EBC3E00A"/>
    <w:rsid w:val="EDFBE100"/>
    <w:rsid w:val="EEABED75"/>
    <w:rsid w:val="EF7E8003"/>
    <w:rsid w:val="F56FDF51"/>
    <w:rsid w:val="F5F3EE78"/>
    <w:rsid w:val="F6B69F17"/>
    <w:rsid w:val="F6E5BB3A"/>
    <w:rsid w:val="F77F1D61"/>
    <w:rsid w:val="F7FED3A9"/>
    <w:rsid w:val="F8C9DB26"/>
    <w:rsid w:val="F97E8EAE"/>
    <w:rsid w:val="FB36E1A6"/>
    <w:rsid w:val="FB3BE134"/>
    <w:rsid w:val="FCFF4275"/>
    <w:rsid w:val="FD7FEEEA"/>
    <w:rsid w:val="FDFFB577"/>
    <w:rsid w:val="FEEA50FE"/>
    <w:rsid w:val="FF7D47A9"/>
    <w:rsid w:val="FFCF21CB"/>
    <w:rsid w:val="FFF94102"/>
    <w:rsid w:val="FFFF1C8B"/>
    <w:rsid w:val="FFFF7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2"/>
    <w:unhideWhenUsed/>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5"/>
    <w:semiHidden/>
    <w:unhideWhenUsed/>
    <w:qFormat/>
    <w:uiPriority w:val="99"/>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5"/>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2"/>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6"/>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9044</Words>
  <Characters>9809</Characters>
  <Lines>63</Lines>
  <Paragraphs>18</Paragraphs>
  <TotalTime>0</TotalTime>
  <ScaleCrop>false</ScaleCrop>
  <LinksUpToDate>false</LinksUpToDate>
  <CharactersWithSpaces>9822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2020-07-10T18:32:00Z</dcterms:created>
  <dc:creator>李航 null</dc:creator>
  <cp:lastModifiedBy>小方娟</cp:lastModifiedBy>
  <cp:lastPrinted>2025-09-28T01:28:19Z</cp:lastPrinted>
  <dcterms:modified xsi:type="dcterms:W3CDTF">2025-09-28T02:42:17Z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98623D6660B449428EB8E073C6C952EA</vt:lpwstr>
  </property>
  <property fmtid="{D5CDD505-2E9C-101B-9397-08002B2CF9AE}" pid="4" name="KSOTemplateDocerSaveRecord">
    <vt:lpwstr>eyJoZGlkIjoiOGU0NzU0ODI0OTZiMDZhOTkxODNmMmMzZWJlNjUyZTYiLCJ1c2VySWQiOiIyNjEwNzEwOTMifQ==</vt:lpwstr>
  </property>
</Properties>
</file>