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EE2AB6D">
      <w:pPr>
        <w:pStyle w:val="13"/>
        <w:jc w:val="center"/>
        <w:rPr>
          <w:sz w:val="56"/>
          <w:szCs w:val="56"/>
        </w:rPr>
      </w:pPr>
    </w:p>
    <w:p w14:paraId="0AA71C45">
      <w:pPr>
        <w:pStyle w:val="13"/>
        <w:jc w:val="center"/>
        <w:rPr>
          <w:sz w:val="56"/>
          <w:szCs w:val="56"/>
        </w:rPr>
      </w:pPr>
    </w:p>
    <w:p w14:paraId="381BD356">
      <w:pPr>
        <w:pStyle w:val="13"/>
        <w:jc w:val="center"/>
        <w:rPr>
          <w:sz w:val="84"/>
          <w:szCs w:val="84"/>
        </w:rPr>
      </w:pPr>
    </w:p>
    <w:p w14:paraId="6B090263">
      <w:pPr>
        <w:pStyle w:val="13"/>
        <w:jc w:val="center"/>
        <w:rPr>
          <w:sz w:val="84"/>
          <w:szCs w:val="84"/>
        </w:rPr>
      </w:pPr>
    </w:p>
    <w:p w14:paraId="2AE21135">
      <w:pPr>
        <w:pStyle w:val="13"/>
        <w:jc w:val="center"/>
        <w:rPr>
          <w:rFonts w:hint="eastAsia"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rPr>
        <w:t>202</w:t>
      </w:r>
      <w:r>
        <w:rPr>
          <w:rFonts w:hint="eastAsia" w:ascii="方正小标宋_GBK" w:hAnsi="方正小标宋_GBK" w:eastAsia="方正小标宋_GBK" w:cs="方正小标宋_GBK"/>
          <w:sz w:val="84"/>
          <w:szCs w:val="84"/>
          <w:lang w:val="en-US" w:eastAsia="zh-CN"/>
        </w:rPr>
        <w:t>4</w:t>
      </w:r>
      <w:r>
        <w:rPr>
          <w:rFonts w:hint="eastAsia" w:ascii="方正小标宋_GBK" w:hAnsi="方正小标宋_GBK" w:eastAsia="方正小标宋_GBK" w:cs="方正小标宋_GBK"/>
          <w:sz w:val="84"/>
          <w:szCs w:val="84"/>
        </w:rPr>
        <w:t>年度</w:t>
      </w:r>
    </w:p>
    <w:p w14:paraId="4C4D1321">
      <w:pPr>
        <w:pStyle w:val="13"/>
        <w:jc w:val="center"/>
        <w:rPr>
          <w:rFonts w:hint="eastAsia" w:ascii="方正小标宋_GBK" w:hAnsi="方正小标宋_GBK" w:eastAsia="方正小标宋_GBK" w:cs="方正小标宋_GBK"/>
          <w:sz w:val="84"/>
          <w:szCs w:val="84"/>
          <w:lang w:eastAsia="zh-CN"/>
        </w:rPr>
      </w:pPr>
      <w:r>
        <w:rPr>
          <w:rFonts w:hint="eastAsia" w:ascii="方正小标宋_GBK" w:hAnsi="方正小标宋_GBK" w:eastAsia="方正小标宋_GBK" w:cs="方正小标宋_GBK"/>
          <w:sz w:val="84"/>
          <w:szCs w:val="84"/>
          <w:lang w:eastAsia="zh-CN"/>
        </w:rPr>
        <w:t>岳阳市房地产交易中心</w:t>
      </w:r>
    </w:p>
    <w:p w14:paraId="45DDFFA5">
      <w:pPr>
        <w:pStyle w:val="13"/>
        <w:jc w:val="center"/>
        <w:rPr>
          <w:rFonts w:hint="eastAsia"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rPr>
        <w:t>部门决算</w:t>
      </w:r>
    </w:p>
    <w:p w14:paraId="4AF5427C">
      <w:pPr>
        <w:pStyle w:val="13"/>
        <w:jc w:val="center"/>
        <w:rPr>
          <w:rFonts w:hint="eastAsia" w:ascii="方正小标宋_GBK" w:hAnsi="方正小标宋_GBK" w:eastAsia="方正小标宋_GBK" w:cs="方正小标宋_GBK"/>
          <w:sz w:val="56"/>
          <w:szCs w:val="56"/>
        </w:rPr>
      </w:pPr>
    </w:p>
    <w:p w14:paraId="450FE60D">
      <w:pPr>
        <w:pStyle w:val="13"/>
        <w:jc w:val="center"/>
        <w:rPr>
          <w:sz w:val="56"/>
          <w:szCs w:val="56"/>
        </w:rPr>
      </w:pPr>
    </w:p>
    <w:p w14:paraId="342D125F">
      <w:pPr>
        <w:pStyle w:val="13"/>
        <w:jc w:val="center"/>
        <w:rPr>
          <w:sz w:val="56"/>
          <w:szCs w:val="56"/>
        </w:rPr>
      </w:pPr>
    </w:p>
    <w:p w14:paraId="52D06841">
      <w:pPr>
        <w:pStyle w:val="13"/>
        <w:jc w:val="center"/>
        <w:rPr>
          <w:sz w:val="56"/>
          <w:szCs w:val="56"/>
        </w:rPr>
      </w:pPr>
    </w:p>
    <w:p w14:paraId="6BA5D5AC">
      <w:pPr>
        <w:pStyle w:val="13"/>
        <w:jc w:val="center"/>
        <w:rPr>
          <w:sz w:val="32"/>
          <w:szCs w:val="32"/>
        </w:rPr>
      </w:pPr>
    </w:p>
    <w:p w14:paraId="335294E2">
      <w:pPr>
        <w:pStyle w:val="13"/>
        <w:jc w:val="center"/>
        <w:rPr>
          <w:sz w:val="32"/>
          <w:szCs w:val="32"/>
        </w:rPr>
      </w:pPr>
    </w:p>
    <w:p w14:paraId="4E64A279">
      <w:pPr>
        <w:pStyle w:val="13"/>
        <w:jc w:val="center"/>
        <w:rPr>
          <w:sz w:val="32"/>
          <w:szCs w:val="32"/>
        </w:rPr>
      </w:pPr>
    </w:p>
    <w:p w14:paraId="68419E69">
      <w:pPr>
        <w:pStyle w:val="13"/>
        <w:jc w:val="center"/>
        <w:rPr>
          <w:sz w:val="32"/>
          <w:szCs w:val="32"/>
        </w:rPr>
      </w:pPr>
    </w:p>
    <w:p w14:paraId="31A5D3E8">
      <w:pPr>
        <w:pStyle w:val="13"/>
        <w:jc w:val="center"/>
        <w:rPr>
          <w:sz w:val="32"/>
          <w:szCs w:val="32"/>
        </w:rPr>
      </w:pPr>
    </w:p>
    <w:p w14:paraId="2325231F">
      <w:pPr>
        <w:pStyle w:val="13"/>
        <w:spacing w:line="540" w:lineRule="exact"/>
        <w:jc w:val="center"/>
        <w:rPr>
          <w:sz w:val="56"/>
          <w:szCs w:val="56"/>
        </w:rPr>
      </w:pPr>
    </w:p>
    <w:p w14:paraId="6D87DB8C">
      <w:pPr>
        <w:pStyle w:val="13"/>
        <w:spacing w:line="500" w:lineRule="exact"/>
        <w:jc w:val="both"/>
        <w:rPr>
          <w:b/>
          <w:sz w:val="36"/>
          <w:szCs w:val="28"/>
        </w:rPr>
      </w:pPr>
    </w:p>
    <w:p w14:paraId="69E5FDD9">
      <w:pPr>
        <w:pStyle w:val="13"/>
        <w:spacing w:line="500" w:lineRule="exact"/>
        <w:jc w:val="center"/>
        <w:rPr>
          <w:b/>
          <w:sz w:val="36"/>
          <w:szCs w:val="28"/>
        </w:rPr>
      </w:pPr>
      <w:r>
        <w:rPr>
          <w:rFonts w:hint="eastAsia"/>
          <w:b/>
          <w:sz w:val="36"/>
          <w:szCs w:val="28"/>
        </w:rPr>
        <w:t>目录</w:t>
      </w:r>
    </w:p>
    <w:p w14:paraId="1F92B969">
      <w:pPr>
        <w:pStyle w:val="13"/>
        <w:spacing w:line="500" w:lineRule="exact"/>
        <w:rPr>
          <w:rFonts w:hint="eastAsia" w:ascii="黑体" w:hAnsi="黑体" w:eastAsia="黑体" w:cs="黑体"/>
          <w:b w:val="0"/>
          <w:bCs/>
          <w:sz w:val="28"/>
          <w:szCs w:val="28"/>
        </w:rPr>
      </w:pPr>
      <w:r>
        <w:rPr>
          <w:rFonts w:hint="eastAsia" w:ascii="黑体" w:hAnsi="黑体" w:eastAsia="黑体" w:cs="黑体"/>
          <w:b w:val="0"/>
          <w:bCs/>
          <w:sz w:val="28"/>
          <w:szCs w:val="28"/>
        </w:rPr>
        <w:t>第一部分</w:t>
      </w:r>
      <w:r>
        <w:rPr>
          <w:rFonts w:hint="eastAsia" w:ascii="黑体" w:hAnsi="黑体" w:eastAsia="黑体" w:cs="黑体"/>
          <w:b w:val="0"/>
          <w:bCs/>
          <w:sz w:val="28"/>
          <w:szCs w:val="28"/>
          <w:lang w:val="en-US" w:eastAsia="zh-CN"/>
        </w:rPr>
        <w:t xml:space="preserve"> </w:t>
      </w:r>
      <w:r>
        <w:rPr>
          <w:rFonts w:hint="eastAsia" w:hAnsi="黑体" w:cs="黑体"/>
          <w:b w:val="0"/>
          <w:bCs/>
          <w:sz w:val="28"/>
          <w:szCs w:val="28"/>
          <w:lang w:eastAsia="zh-CN"/>
        </w:rPr>
        <w:t>岳阳市房地产交易中心</w:t>
      </w:r>
      <w:r>
        <w:rPr>
          <w:rFonts w:hint="eastAsia" w:ascii="黑体" w:hAnsi="黑体" w:eastAsia="黑体" w:cs="黑体"/>
          <w:b w:val="0"/>
          <w:bCs/>
          <w:sz w:val="28"/>
          <w:szCs w:val="28"/>
        </w:rPr>
        <w:t>概况</w:t>
      </w:r>
    </w:p>
    <w:p w14:paraId="5DAC1043">
      <w:pPr>
        <w:pStyle w:val="13"/>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一、部门职责</w:t>
      </w:r>
    </w:p>
    <w:p w14:paraId="267E48EC">
      <w:pPr>
        <w:pStyle w:val="13"/>
        <w:spacing w:line="500" w:lineRule="exact"/>
        <w:ind w:firstLine="700" w:firstLineChars="250"/>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rPr>
        <w:t>二、机构设置</w:t>
      </w:r>
      <w:r>
        <w:rPr>
          <w:rFonts w:hint="eastAsia" w:ascii="仿宋_GB2312" w:hAnsi="仿宋_GB2312" w:eastAsia="仿宋_GB2312" w:cs="仿宋_GB2312"/>
          <w:sz w:val="28"/>
          <w:szCs w:val="28"/>
          <w:lang w:eastAsia="zh-CN"/>
        </w:rPr>
        <w:t>及决算单位构成</w:t>
      </w:r>
    </w:p>
    <w:p w14:paraId="567B4299">
      <w:pPr>
        <w:pStyle w:val="13"/>
        <w:spacing w:line="500" w:lineRule="exact"/>
        <w:rPr>
          <w:rFonts w:hint="eastAsia" w:ascii="黑体" w:hAnsi="黑体" w:eastAsia="黑体" w:cs="黑体"/>
          <w:b w:val="0"/>
          <w:bCs/>
          <w:sz w:val="28"/>
          <w:szCs w:val="28"/>
        </w:rPr>
      </w:pPr>
      <w:r>
        <w:rPr>
          <w:rFonts w:hint="eastAsia" w:ascii="黑体" w:hAnsi="黑体" w:eastAsia="黑体" w:cs="黑体"/>
          <w:b w:val="0"/>
          <w:bCs/>
          <w:sz w:val="28"/>
          <w:szCs w:val="28"/>
        </w:rPr>
        <w:t>第二部分</w:t>
      </w:r>
      <w:r>
        <w:rPr>
          <w:rFonts w:hint="eastAsia" w:ascii="黑体" w:hAnsi="黑体" w:eastAsia="黑体" w:cs="黑体"/>
          <w:b w:val="0"/>
          <w:bCs/>
          <w:sz w:val="28"/>
          <w:szCs w:val="28"/>
          <w:lang w:val="en-US" w:eastAsia="zh-CN"/>
        </w:rPr>
        <w:t xml:space="preserve"> </w:t>
      </w:r>
      <w:r>
        <w:rPr>
          <w:rFonts w:hint="eastAsia" w:ascii="黑体" w:hAnsi="黑体" w:eastAsia="黑体" w:cs="黑体"/>
          <w:b w:val="0"/>
          <w:bCs/>
          <w:sz w:val="28"/>
          <w:szCs w:val="28"/>
        </w:rPr>
        <w:t>部门决算表</w:t>
      </w:r>
    </w:p>
    <w:p w14:paraId="7E2DC046">
      <w:pPr>
        <w:pStyle w:val="13"/>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一、收入支出决算总表</w:t>
      </w:r>
    </w:p>
    <w:p w14:paraId="3E4C6A89">
      <w:pPr>
        <w:pStyle w:val="13"/>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二、收入决算表</w:t>
      </w:r>
    </w:p>
    <w:p w14:paraId="572F020B">
      <w:pPr>
        <w:pStyle w:val="13"/>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三、支出决算表</w:t>
      </w:r>
    </w:p>
    <w:p w14:paraId="6122A0CF">
      <w:pPr>
        <w:pStyle w:val="13"/>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四、财政拨款收入支出决算总表</w:t>
      </w:r>
    </w:p>
    <w:p w14:paraId="12625B85">
      <w:pPr>
        <w:pStyle w:val="13"/>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五、一般公共预算财政拨款支出决算表</w:t>
      </w:r>
    </w:p>
    <w:p w14:paraId="7DA74021">
      <w:pPr>
        <w:pStyle w:val="13"/>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六、一般公共预算财政拨款基本支出决算明细表</w:t>
      </w:r>
    </w:p>
    <w:p w14:paraId="08DFDAE0">
      <w:pPr>
        <w:pStyle w:val="13"/>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七、政府性基金预算财政拨款收入支出决算表</w:t>
      </w:r>
    </w:p>
    <w:p w14:paraId="4F7BBD27">
      <w:pPr>
        <w:pStyle w:val="13"/>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八、国有资本经营预算财政拨款支出决算表</w:t>
      </w:r>
    </w:p>
    <w:p w14:paraId="28B63BDA">
      <w:pPr>
        <w:pStyle w:val="13"/>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九、财政拨款“三公”经费支出决算表</w:t>
      </w:r>
    </w:p>
    <w:p w14:paraId="7D77C83B">
      <w:pPr>
        <w:pStyle w:val="13"/>
        <w:spacing w:line="500" w:lineRule="exact"/>
        <w:rPr>
          <w:rFonts w:hint="eastAsia" w:ascii="黑体" w:hAnsi="黑体" w:eastAsia="黑体" w:cs="黑体"/>
          <w:b w:val="0"/>
          <w:bCs/>
          <w:sz w:val="28"/>
          <w:szCs w:val="28"/>
        </w:rPr>
      </w:pPr>
      <w:r>
        <w:rPr>
          <w:rFonts w:hint="eastAsia" w:ascii="黑体" w:hAnsi="黑体" w:eastAsia="黑体" w:cs="黑体"/>
          <w:b w:val="0"/>
          <w:bCs/>
          <w:sz w:val="28"/>
          <w:szCs w:val="28"/>
        </w:rPr>
        <w:t>第三部分</w:t>
      </w:r>
      <w:r>
        <w:rPr>
          <w:rFonts w:hint="eastAsia" w:ascii="黑体" w:hAnsi="黑体" w:eastAsia="黑体" w:cs="黑体"/>
          <w:b w:val="0"/>
          <w:bCs/>
          <w:sz w:val="28"/>
          <w:szCs w:val="28"/>
          <w:lang w:val="en-US" w:eastAsia="zh-CN"/>
        </w:rPr>
        <w:t xml:space="preserve"> </w:t>
      </w:r>
      <w:r>
        <w:rPr>
          <w:rFonts w:hint="eastAsia" w:ascii="黑体" w:hAnsi="黑体" w:eastAsia="黑体" w:cs="黑体"/>
          <w:b w:val="0"/>
          <w:bCs/>
          <w:sz w:val="28"/>
          <w:szCs w:val="28"/>
        </w:rPr>
        <w:t>部门决算情况说明</w:t>
      </w:r>
    </w:p>
    <w:p w14:paraId="156BF553">
      <w:pPr>
        <w:pStyle w:val="13"/>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一、收入支出决算总体情况说明</w:t>
      </w:r>
    </w:p>
    <w:p w14:paraId="27CB5D8E">
      <w:pPr>
        <w:spacing w:line="500" w:lineRule="exact"/>
        <w:ind w:firstLine="700" w:firstLineChars="250"/>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二、收入决算情况说明</w:t>
      </w:r>
    </w:p>
    <w:p w14:paraId="68FB5E2F">
      <w:pPr>
        <w:autoSpaceDE w:val="0"/>
        <w:autoSpaceDN w:val="0"/>
        <w:adjustRightInd w:val="0"/>
        <w:spacing w:line="500" w:lineRule="exact"/>
        <w:ind w:firstLine="700" w:firstLineChars="250"/>
        <w:jc w:val="left"/>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三、支出决算情况说明</w:t>
      </w:r>
    </w:p>
    <w:p w14:paraId="7507BFE2">
      <w:pPr>
        <w:autoSpaceDE w:val="0"/>
        <w:autoSpaceDN w:val="0"/>
        <w:adjustRightInd w:val="0"/>
        <w:spacing w:line="500" w:lineRule="exact"/>
        <w:ind w:firstLine="700" w:firstLineChars="250"/>
        <w:jc w:val="left"/>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四、财政拨款收入支出决算总体情况说明</w:t>
      </w:r>
    </w:p>
    <w:p w14:paraId="1072D8B1">
      <w:pPr>
        <w:autoSpaceDE w:val="0"/>
        <w:autoSpaceDN w:val="0"/>
        <w:adjustRightInd w:val="0"/>
        <w:spacing w:line="500" w:lineRule="exact"/>
        <w:ind w:firstLine="700" w:firstLineChars="250"/>
        <w:jc w:val="left"/>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五、一般公共预算财政拨款支出决算情况说明</w:t>
      </w:r>
    </w:p>
    <w:p w14:paraId="7109A5F0">
      <w:pPr>
        <w:autoSpaceDE w:val="0"/>
        <w:autoSpaceDN w:val="0"/>
        <w:adjustRightInd w:val="0"/>
        <w:spacing w:line="500" w:lineRule="exact"/>
        <w:ind w:firstLine="700" w:firstLineChars="250"/>
        <w:jc w:val="left"/>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六、一般公共预算财政拨款基本支出决算情况说明</w:t>
      </w:r>
    </w:p>
    <w:p w14:paraId="3FFE3332">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七、政府性基金预算收入支出决算情况</w:t>
      </w:r>
    </w:p>
    <w:p w14:paraId="3B1379DC">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hint="eastAsia" w:ascii="仿宋_GB2312" w:hAnsi="仿宋_GB2312" w:eastAsia="仿宋_GB2312" w:cs="仿宋_GB2312"/>
          <w:color w:val="000000"/>
          <w:kern w:val="0"/>
          <w:sz w:val="28"/>
          <w:szCs w:val="28"/>
          <w:highlight w:val="yellow"/>
        </w:rPr>
      </w:pPr>
      <w:r>
        <w:rPr>
          <w:rFonts w:hint="eastAsia" w:ascii="仿宋_GB2312" w:hAnsi="仿宋_GB2312" w:eastAsia="仿宋_GB2312" w:cs="仿宋_GB2312"/>
          <w:color w:val="000000"/>
          <w:kern w:val="0"/>
          <w:sz w:val="28"/>
          <w:szCs w:val="28"/>
          <w:highlight w:val="none"/>
        </w:rPr>
        <w:t>八、</w:t>
      </w:r>
      <w:r>
        <w:rPr>
          <w:rFonts w:hint="eastAsia" w:ascii="仿宋_GB2312" w:hAnsi="仿宋_GB2312" w:eastAsia="仿宋_GB2312" w:cs="仿宋_GB2312"/>
          <w:sz w:val="28"/>
          <w:szCs w:val="28"/>
          <w:highlight w:val="none"/>
        </w:rPr>
        <w:t>国有资本经营预算财政拨款支出决算</w:t>
      </w:r>
      <w:r>
        <w:rPr>
          <w:rFonts w:hint="eastAsia" w:ascii="仿宋_GB2312" w:hAnsi="仿宋_GB2312" w:eastAsia="仿宋_GB2312" w:cs="仿宋_GB2312"/>
          <w:sz w:val="28"/>
          <w:szCs w:val="28"/>
          <w:highlight w:val="none"/>
          <w:lang w:eastAsia="zh-CN"/>
        </w:rPr>
        <w:t>情况</w:t>
      </w:r>
    </w:p>
    <w:p w14:paraId="6DE93A21">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hint="eastAsia" w:ascii="仿宋_GB2312" w:hAnsi="仿宋_GB2312" w:eastAsia="仿宋_GB2312" w:cs="仿宋_GB2312"/>
          <w:color w:val="000000"/>
          <w:kern w:val="0"/>
          <w:sz w:val="28"/>
          <w:szCs w:val="28"/>
          <w:lang w:eastAsia="zh-CN"/>
        </w:rPr>
      </w:pPr>
      <w:r>
        <w:rPr>
          <w:rFonts w:hint="eastAsia" w:ascii="仿宋_GB2312" w:hAnsi="仿宋_GB2312" w:eastAsia="仿宋_GB2312" w:cs="仿宋_GB2312"/>
          <w:color w:val="000000"/>
          <w:kern w:val="0"/>
          <w:sz w:val="28"/>
          <w:szCs w:val="28"/>
        </w:rPr>
        <w:t>九、财政拨款三公经费支出决算情况说明</w:t>
      </w:r>
    </w:p>
    <w:p w14:paraId="5E47C191">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十、关于机关运行经费支出说明</w:t>
      </w:r>
    </w:p>
    <w:p w14:paraId="71068EA2">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十一、一般性支出情况说明</w:t>
      </w:r>
    </w:p>
    <w:p w14:paraId="5DB798A7">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sz w:val="28"/>
          <w:szCs w:val="28"/>
        </w:rPr>
        <w:t>十二、</w:t>
      </w:r>
      <w:r>
        <w:rPr>
          <w:rFonts w:hint="eastAsia" w:ascii="仿宋_GB2312" w:hAnsi="仿宋_GB2312" w:eastAsia="仿宋_GB2312" w:cs="仿宋_GB2312"/>
          <w:color w:val="000000"/>
          <w:kern w:val="0"/>
          <w:sz w:val="28"/>
          <w:szCs w:val="28"/>
        </w:rPr>
        <w:t>关于政府采购支出说明</w:t>
      </w:r>
    </w:p>
    <w:p w14:paraId="200994D2">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textAlignment w:val="auto"/>
        <w:rPr>
          <w:rFonts w:hint="eastAsia" w:ascii="仿宋_GB2312" w:hAnsi="仿宋_GB2312" w:eastAsia="仿宋_GB2312" w:cs="仿宋_GB2312"/>
          <w:color w:val="000000"/>
          <w:kern w:val="0"/>
          <w:sz w:val="28"/>
          <w:szCs w:val="28"/>
          <w:lang w:val="en-US" w:eastAsia="zh-CN" w:bidi="ar-SA"/>
        </w:rPr>
      </w:pPr>
      <w:r>
        <w:rPr>
          <w:rFonts w:hint="eastAsia" w:ascii="仿宋_GB2312" w:hAnsi="仿宋_GB2312" w:eastAsia="仿宋_GB2312" w:cs="仿宋_GB2312"/>
          <w:color w:val="000000"/>
          <w:kern w:val="0"/>
          <w:sz w:val="28"/>
          <w:szCs w:val="28"/>
          <w:lang w:val="en-US" w:eastAsia="zh-CN" w:bidi="ar-SA"/>
        </w:rPr>
        <w:t>十三、关于国有资产占用情况说明</w:t>
      </w:r>
    </w:p>
    <w:p w14:paraId="0F1C0240">
      <w:pPr>
        <w:pStyle w:val="13"/>
        <w:spacing w:line="500" w:lineRule="exact"/>
        <w:ind w:firstLine="700" w:firstLineChars="250"/>
        <w:rPr>
          <w:rFonts w:hint="eastAsia" w:ascii="仿宋_GB2312" w:hAnsi="仿宋_GB2312" w:eastAsia="仿宋_GB2312" w:cs="仿宋_GB2312"/>
          <w:sz w:val="28"/>
          <w:szCs w:val="28"/>
          <w:highlight w:val="none"/>
        </w:rPr>
      </w:pPr>
      <w:r>
        <w:rPr>
          <w:rFonts w:hint="eastAsia" w:ascii="仿宋_GB2312" w:hAnsi="仿宋_GB2312" w:eastAsia="仿宋_GB2312" w:cs="仿宋_GB2312"/>
          <w:color w:val="000000"/>
          <w:kern w:val="0"/>
          <w:sz w:val="28"/>
          <w:szCs w:val="28"/>
          <w:highlight w:val="none"/>
          <w:lang w:val="en-US" w:eastAsia="zh-CN" w:bidi="ar-SA"/>
        </w:rPr>
        <w:t>十四、</w:t>
      </w:r>
      <w:r>
        <w:rPr>
          <w:rFonts w:hint="eastAsia" w:ascii="仿宋_GB2312" w:hAnsi="仿宋_GB2312" w:eastAsia="仿宋_GB2312" w:cs="仿宋_GB2312"/>
          <w:sz w:val="28"/>
          <w:szCs w:val="28"/>
          <w:highlight w:val="none"/>
        </w:rPr>
        <w:t>关于</w:t>
      </w:r>
      <w:r>
        <w:rPr>
          <w:rFonts w:hint="default" w:ascii="Times New Roman" w:hAnsi="Times New Roman" w:eastAsia="仿宋_GB2312" w:cs="Times New Roman"/>
          <w:sz w:val="28"/>
          <w:szCs w:val="28"/>
          <w:highlight w:val="none"/>
        </w:rPr>
        <w:t>202</w:t>
      </w:r>
      <w:r>
        <w:rPr>
          <w:rFonts w:hint="eastAsia" w:ascii="Times New Roman" w:hAnsi="Times New Roman" w:eastAsia="仿宋_GB2312" w:cs="Times New Roman"/>
          <w:sz w:val="28"/>
          <w:szCs w:val="28"/>
          <w:highlight w:val="none"/>
          <w:lang w:val="en-US" w:eastAsia="zh-CN"/>
        </w:rPr>
        <w:t>4</w:t>
      </w:r>
      <w:r>
        <w:rPr>
          <w:rFonts w:hint="eastAsia" w:ascii="仿宋_GB2312" w:hAnsi="仿宋_GB2312" w:eastAsia="仿宋_GB2312" w:cs="仿宋_GB2312"/>
          <w:sz w:val="28"/>
          <w:szCs w:val="28"/>
          <w:highlight w:val="none"/>
        </w:rPr>
        <w:t>年度</w:t>
      </w:r>
      <w:r>
        <w:rPr>
          <w:rFonts w:hint="eastAsia" w:ascii="仿宋_GB2312" w:hAnsi="仿宋_GB2312" w:eastAsia="仿宋_GB2312" w:cs="仿宋_GB2312"/>
          <w:sz w:val="28"/>
          <w:szCs w:val="28"/>
          <w:highlight w:val="none"/>
          <w:lang w:eastAsia="zh-CN"/>
        </w:rPr>
        <w:t>预算</w:t>
      </w:r>
      <w:r>
        <w:rPr>
          <w:rFonts w:hint="eastAsia" w:ascii="仿宋_GB2312" w:hAnsi="仿宋_GB2312" w:eastAsia="仿宋_GB2312" w:cs="仿宋_GB2312"/>
          <w:sz w:val="28"/>
          <w:szCs w:val="28"/>
          <w:highlight w:val="none"/>
        </w:rPr>
        <w:t>绩效</w:t>
      </w:r>
      <w:r>
        <w:rPr>
          <w:rFonts w:hint="eastAsia" w:ascii="仿宋_GB2312" w:hAnsi="仿宋_GB2312" w:eastAsia="仿宋_GB2312" w:cs="仿宋_GB2312"/>
          <w:sz w:val="28"/>
          <w:szCs w:val="28"/>
          <w:highlight w:val="none"/>
          <w:lang w:eastAsia="zh-CN"/>
        </w:rPr>
        <w:t>管理</w:t>
      </w:r>
      <w:r>
        <w:rPr>
          <w:rFonts w:hint="eastAsia" w:ascii="仿宋_GB2312" w:hAnsi="仿宋_GB2312" w:eastAsia="仿宋_GB2312" w:cs="仿宋_GB2312"/>
          <w:sz w:val="28"/>
          <w:szCs w:val="28"/>
          <w:highlight w:val="none"/>
        </w:rPr>
        <w:t>情况的说明</w:t>
      </w:r>
    </w:p>
    <w:p w14:paraId="6D6C2DE9">
      <w:pPr>
        <w:pStyle w:val="13"/>
        <w:spacing w:line="500" w:lineRule="exact"/>
        <w:rPr>
          <w:rFonts w:hint="eastAsia" w:ascii="黑体" w:hAnsi="黑体" w:eastAsia="黑体" w:cs="黑体"/>
          <w:b w:val="0"/>
          <w:bCs/>
          <w:sz w:val="28"/>
          <w:szCs w:val="28"/>
        </w:rPr>
      </w:pPr>
      <w:r>
        <w:rPr>
          <w:rFonts w:hint="eastAsia" w:ascii="黑体" w:hAnsi="黑体" w:eastAsia="黑体" w:cs="黑体"/>
          <w:b w:val="0"/>
          <w:bCs/>
          <w:sz w:val="28"/>
          <w:szCs w:val="28"/>
        </w:rPr>
        <w:t>第四部分</w:t>
      </w:r>
      <w:r>
        <w:rPr>
          <w:rFonts w:hint="eastAsia" w:ascii="黑体" w:hAnsi="黑体" w:eastAsia="黑体" w:cs="黑体"/>
          <w:b w:val="0"/>
          <w:bCs/>
          <w:sz w:val="28"/>
          <w:szCs w:val="28"/>
          <w:lang w:val="en-US" w:eastAsia="zh-CN"/>
        </w:rPr>
        <w:t xml:space="preserve"> </w:t>
      </w:r>
      <w:r>
        <w:rPr>
          <w:rFonts w:hint="eastAsia" w:ascii="黑体" w:hAnsi="黑体" w:eastAsia="黑体" w:cs="黑体"/>
          <w:b w:val="0"/>
          <w:bCs/>
          <w:sz w:val="28"/>
          <w:szCs w:val="28"/>
        </w:rPr>
        <w:t>名词解释</w:t>
      </w:r>
    </w:p>
    <w:p w14:paraId="6018EF6C">
      <w:pPr>
        <w:pStyle w:val="13"/>
        <w:spacing w:line="500" w:lineRule="exact"/>
        <w:rPr>
          <w:rFonts w:hint="eastAsia" w:ascii="黑体" w:hAnsi="黑体" w:eastAsia="黑体" w:cs="黑体"/>
          <w:b w:val="0"/>
          <w:bCs/>
          <w:sz w:val="28"/>
          <w:szCs w:val="28"/>
          <w:lang w:eastAsia="zh-CN"/>
        </w:rPr>
      </w:pPr>
      <w:r>
        <w:rPr>
          <w:rFonts w:hint="eastAsia" w:ascii="黑体" w:hAnsi="黑体" w:eastAsia="黑体" w:cs="黑体"/>
          <w:b w:val="0"/>
          <w:bCs/>
          <w:sz w:val="28"/>
          <w:szCs w:val="28"/>
        </w:rPr>
        <w:t>第</w:t>
      </w:r>
      <w:r>
        <w:rPr>
          <w:rFonts w:hint="eastAsia" w:hAnsi="黑体" w:cs="黑体"/>
          <w:b w:val="0"/>
          <w:bCs/>
          <w:sz w:val="28"/>
          <w:szCs w:val="28"/>
          <w:lang w:eastAsia="zh-CN"/>
        </w:rPr>
        <w:t>五</w:t>
      </w:r>
      <w:r>
        <w:rPr>
          <w:rFonts w:hint="eastAsia" w:ascii="黑体" w:hAnsi="黑体" w:eastAsia="黑体" w:cs="黑体"/>
          <w:b w:val="0"/>
          <w:bCs/>
          <w:sz w:val="28"/>
          <w:szCs w:val="28"/>
        </w:rPr>
        <w:t>部分</w:t>
      </w:r>
      <w:r>
        <w:rPr>
          <w:rFonts w:hint="eastAsia" w:ascii="黑体" w:hAnsi="黑体" w:eastAsia="黑体" w:cs="黑体"/>
          <w:b w:val="0"/>
          <w:bCs/>
          <w:sz w:val="28"/>
          <w:szCs w:val="28"/>
          <w:lang w:val="en-US" w:eastAsia="zh-CN"/>
        </w:rPr>
        <w:t xml:space="preserve"> </w:t>
      </w:r>
      <w:r>
        <w:rPr>
          <w:rFonts w:hint="eastAsia" w:hAnsi="黑体" w:cs="黑体"/>
          <w:b w:val="0"/>
          <w:bCs/>
          <w:sz w:val="28"/>
          <w:szCs w:val="28"/>
          <w:lang w:eastAsia="zh-CN"/>
        </w:rPr>
        <w:t>附件</w:t>
      </w:r>
    </w:p>
    <w:p w14:paraId="1231ACD5">
      <w:pPr>
        <w:pStyle w:val="13"/>
        <w:jc w:val="center"/>
        <w:rPr>
          <w:rFonts w:hint="eastAsia" w:ascii="方正小标宋_GBK" w:hAnsi="方正小标宋_GBK" w:eastAsia="方正小标宋_GBK" w:cs="方正小标宋_GBK"/>
          <w:sz w:val="84"/>
          <w:szCs w:val="84"/>
        </w:rPr>
      </w:pPr>
    </w:p>
    <w:p w14:paraId="3882F9C4">
      <w:pPr>
        <w:pStyle w:val="13"/>
        <w:jc w:val="center"/>
        <w:rPr>
          <w:rFonts w:hint="eastAsia" w:ascii="方正小标宋_GBK" w:hAnsi="方正小标宋_GBK" w:eastAsia="方正小标宋_GBK" w:cs="方正小标宋_GBK"/>
          <w:sz w:val="84"/>
          <w:szCs w:val="84"/>
        </w:rPr>
      </w:pPr>
    </w:p>
    <w:p w14:paraId="2849268D">
      <w:pPr>
        <w:pStyle w:val="13"/>
        <w:jc w:val="center"/>
        <w:rPr>
          <w:rFonts w:hint="eastAsia" w:ascii="方正小标宋_GBK" w:hAnsi="方正小标宋_GBK" w:eastAsia="方正小标宋_GBK" w:cs="方正小标宋_GBK"/>
          <w:sz w:val="84"/>
          <w:szCs w:val="84"/>
        </w:rPr>
      </w:pPr>
    </w:p>
    <w:p w14:paraId="706F9610">
      <w:pPr>
        <w:pStyle w:val="13"/>
        <w:jc w:val="center"/>
        <w:rPr>
          <w:rFonts w:hint="eastAsia" w:ascii="方正小标宋_GBK" w:hAnsi="方正小标宋_GBK" w:eastAsia="方正小标宋_GBK" w:cs="方正小标宋_GBK"/>
          <w:sz w:val="84"/>
          <w:szCs w:val="84"/>
        </w:rPr>
      </w:pPr>
    </w:p>
    <w:p w14:paraId="6505E69A">
      <w:pPr>
        <w:pStyle w:val="13"/>
        <w:jc w:val="center"/>
        <w:rPr>
          <w:rFonts w:hint="eastAsia" w:ascii="方正小标宋_GBK" w:hAnsi="方正小标宋_GBK" w:eastAsia="方正小标宋_GBK" w:cs="方正小标宋_GBK"/>
          <w:sz w:val="84"/>
          <w:szCs w:val="84"/>
        </w:rPr>
      </w:pPr>
    </w:p>
    <w:p w14:paraId="34540430">
      <w:pPr>
        <w:pStyle w:val="13"/>
        <w:jc w:val="center"/>
        <w:rPr>
          <w:rFonts w:hint="eastAsia" w:ascii="方正小标宋_GBK" w:hAnsi="方正小标宋_GBK" w:eastAsia="方正小标宋_GBK" w:cs="方正小标宋_GBK"/>
          <w:sz w:val="84"/>
          <w:szCs w:val="84"/>
        </w:rPr>
      </w:pPr>
    </w:p>
    <w:p w14:paraId="7872D314">
      <w:pPr>
        <w:pStyle w:val="13"/>
        <w:jc w:val="center"/>
        <w:rPr>
          <w:rFonts w:hint="eastAsia" w:ascii="方正小标宋_GBK" w:hAnsi="方正小标宋_GBK" w:eastAsia="方正小标宋_GBK" w:cs="方正小标宋_GBK"/>
          <w:sz w:val="84"/>
          <w:szCs w:val="84"/>
        </w:rPr>
      </w:pPr>
    </w:p>
    <w:p w14:paraId="3785F2A0">
      <w:pPr>
        <w:pStyle w:val="13"/>
        <w:jc w:val="center"/>
        <w:rPr>
          <w:rFonts w:hint="eastAsia" w:ascii="方正小标宋_GBK" w:hAnsi="方正小标宋_GBK" w:eastAsia="方正小标宋_GBK" w:cs="方正小标宋_GBK"/>
          <w:sz w:val="84"/>
          <w:szCs w:val="84"/>
        </w:rPr>
      </w:pPr>
    </w:p>
    <w:p w14:paraId="0F9AD658">
      <w:pPr>
        <w:pStyle w:val="13"/>
        <w:jc w:val="center"/>
        <w:rPr>
          <w:rFonts w:hint="eastAsia" w:ascii="方正小标宋_GBK" w:hAnsi="方正小标宋_GBK" w:eastAsia="方正小标宋_GBK" w:cs="方正小标宋_GBK"/>
          <w:sz w:val="84"/>
          <w:szCs w:val="84"/>
        </w:rPr>
      </w:pPr>
    </w:p>
    <w:p w14:paraId="13216DA8">
      <w:pPr>
        <w:pStyle w:val="13"/>
        <w:jc w:val="center"/>
        <w:rPr>
          <w:rFonts w:hint="eastAsia" w:ascii="方正小标宋_GBK" w:hAnsi="方正小标宋_GBK" w:eastAsia="方正小标宋_GBK" w:cs="方正小标宋_GBK"/>
          <w:sz w:val="84"/>
          <w:szCs w:val="84"/>
        </w:rPr>
      </w:pPr>
    </w:p>
    <w:p w14:paraId="0EF2FBBD">
      <w:pPr>
        <w:pStyle w:val="13"/>
        <w:jc w:val="center"/>
        <w:rPr>
          <w:rFonts w:hint="eastAsia"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rPr>
        <w:t xml:space="preserve">第一部分 </w:t>
      </w:r>
    </w:p>
    <w:p w14:paraId="3368704D">
      <w:pPr>
        <w:pStyle w:val="13"/>
        <w:jc w:val="center"/>
        <w:rPr>
          <w:rFonts w:hint="eastAsia" w:ascii="方正小标宋_GBK" w:hAnsi="方正小标宋_GBK" w:eastAsia="方正小标宋_GBK" w:cs="方正小标宋_GBK"/>
          <w:sz w:val="84"/>
          <w:szCs w:val="84"/>
        </w:rPr>
      </w:pPr>
    </w:p>
    <w:p w14:paraId="12C50CF2">
      <w:pPr>
        <w:jc w:val="center"/>
        <w:rPr>
          <w:rFonts w:hint="eastAsia" w:ascii="方正小标宋_GBK" w:hAnsi="方正小标宋_GBK" w:eastAsia="方正小标宋_GBK" w:cs="方正小标宋_GBK"/>
          <w:sz w:val="84"/>
          <w:szCs w:val="84"/>
          <w:lang w:eastAsia="zh-CN"/>
        </w:rPr>
      </w:pPr>
      <w:r>
        <w:rPr>
          <w:rFonts w:hint="eastAsia" w:ascii="方正小标宋_GBK" w:hAnsi="方正小标宋_GBK" w:eastAsia="方正小标宋_GBK" w:cs="方正小标宋_GBK"/>
          <w:sz w:val="84"/>
          <w:szCs w:val="84"/>
          <w:lang w:eastAsia="zh-CN"/>
        </w:rPr>
        <w:t>岳阳市房地产交易中心</w:t>
      </w:r>
    </w:p>
    <w:p w14:paraId="745FDAE1">
      <w:pPr>
        <w:jc w:val="center"/>
        <w:rPr>
          <w:rFonts w:hint="eastAsia"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lang w:eastAsia="zh-CN"/>
        </w:rPr>
        <w:t>单位</w:t>
      </w:r>
      <w:r>
        <w:rPr>
          <w:rFonts w:hint="eastAsia" w:ascii="方正小标宋_GBK" w:hAnsi="方正小标宋_GBK" w:eastAsia="方正小标宋_GBK" w:cs="方正小标宋_GBK"/>
          <w:sz w:val="84"/>
          <w:szCs w:val="84"/>
        </w:rPr>
        <w:t>概况</w:t>
      </w:r>
    </w:p>
    <w:p w14:paraId="44FE73D1">
      <w:pPr>
        <w:pStyle w:val="8"/>
        <w:rPr>
          <w:rFonts w:hint="eastAsia" w:ascii="方正小标宋_GBK" w:hAnsi="方正小标宋_GBK" w:eastAsia="方正小标宋_GBK" w:cs="方正小标宋_GBK"/>
          <w:sz w:val="84"/>
          <w:szCs w:val="84"/>
        </w:rPr>
      </w:pPr>
    </w:p>
    <w:p w14:paraId="63BC27D5">
      <w:pPr>
        <w:pStyle w:val="4"/>
        <w:rPr>
          <w:rFonts w:hint="eastAsia" w:ascii="方正小标宋_GBK" w:hAnsi="方正小标宋_GBK" w:eastAsia="方正小标宋_GBK" w:cs="方正小标宋_GBK"/>
          <w:sz w:val="84"/>
          <w:szCs w:val="84"/>
        </w:rPr>
      </w:pPr>
    </w:p>
    <w:p w14:paraId="1A034EAC">
      <w:pPr>
        <w:rPr>
          <w:rFonts w:hint="eastAsia" w:ascii="方正小标宋_GBK" w:hAnsi="方正小标宋_GBK" w:eastAsia="方正小标宋_GBK" w:cs="方正小标宋_GBK"/>
          <w:sz w:val="84"/>
          <w:szCs w:val="84"/>
        </w:rPr>
      </w:pPr>
    </w:p>
    <w:p w14:paraId="76B9D101">
      <w:pPr>
        <w:pStyle w:val="4"/>
        <w:ind w:left="0" w:leftChars="0" w:firstLine="0" w:firstLineChars="0"/>
        <w:rPr>
          <w:rFonts w:hint="eastAsia" w:ascii="方正小标宋_GBK" w:hAnsi="方正小标宋_GBK" w:eastAsia="方正小标宋_GBK" w:cs="方正小标宋_GBK"/>
          <w:sz w:val="84"/>
          <w:szCs w:val="84"/>
        </w:rPr>
      </w:pPr>
    </w:p>
    <w:p w14:paraId="1151AF42">
      <w:pPr>
        <w:pStyle w:val="14"/>
        <w:numPr>
          <w:ilvl w:val="0"/>
          <w:numId w:val="1"/>
        </w:numPr>
        <w:ind w:firstLineChars="0"/>
        <w:jc w:val="left"/>
        <w:rPr>
          <w:rFonts w:hint="eastAsia" w:ascii="黑体" w:hAnsi="黑体" w:eastAsia="黑体" w:cs="黑体"/>
          <w:b w:val="0"/>
          <w:bCs w:val="0"/>
          <w:sz w:val="32"/>
          <w:szCs w:val="32"/>
        </w:rPr>
      </w:pPr>
      <w:r>
        <w:rPr>
          <w:rFonts w:hint="eastAsia" w:ascii="黑体" w:hAnsi="黑体" w:eastAsia="黑体" w:cs="黑体"/>
          <w:b w:val="0"/>
          <w:bCs w:val="0"/>
          <w:sz w:val="32"/>
          <w:szCs w:val="32"/>
        </w:rPr>
        <w:t>部门职责</w:t>
      </w:r>
    </w:p>
    <w:p w14:paraId="01BA72BA">
      <w:pPr>
        <w:ind w:firstLine="640" w:firstLineChars="200"/>
        <w:jc w:val="left"/>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（一）参与拟订房屋交易相关的行政规章、地方性法规、规章和规范性文件的事务性工作。</w:t>
      </w:r>
    </w:p>
    <w:p w14:paraId="46675D71">
      <w:pPr>
        <w:ind w:firstLine="640" w:firstLineChars="200"/>
        <w:jc w:val="left"/>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lang w:eastAsia="zh-CN"/>
        </w:rPr>
        <w:t>（二）</w:t>
      </w:r>
      <w:r>
        <w:rPr>
          <w:rFonts w:hint="eastAsia" w:ascii="Times New Roman" w:hAnsi="Times New Roman" w:eastAsia="仿宋_GB2312" w:cs="仿宋_GB2312"/>
          <w:sz w:val="32"/>
          <w:szCs w:val="32"/>
        </w:rPr>
        <w:t>负责主城区（含岳阳楼区、经济技术开发区、南湖新区、城陵矶新港区，下同）商品房和存量房买卖合同示范文本推广、住房全生命周期管理“一网通办”的行政辅助工作。</w:t>
      </w:r>
    </w:p>
    <w:p w14:paraId="55B8AC1A">
      <w:pPr>
        <w:ind w:firstLine="640" w:firstLineChars="200"/>
        <w:jc w:val="left"/>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lang w:eastAsia="zh-CN"/>
        </w:rPr>
        <w:t>（三）</w:t>
      </w:r>
      <w:r>
        <w:rPr>
          <w:rFonts w:hint="eastAsia" w:ascii="Times New Roman" w:hAnsi="Times New Roman" w:eastAsia="仿宋_GB2312" w:cs="仿宋_GB2312"/>
          <w:sz w:val="32"/>
          <w:szCs w:val="32"/>
        </w:rPr>
        <w:t>负责主城区办理网签备案系统入网认证和商品房项目现房销售备案、房屋面积和楼盘表管理、房屋测绘成果备案的行政辅助工作。</w:t>
      </w:r>
    </w:p>
    <w:p w14:paraId="7E8DAE69">
      <w:pPr>
        <w:ind w:firstLine="640" w:firstLineChars="200"/>
        <w:jc w:val="left"/>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lang w:eastAsia="zh-CN"/>
        </w:rPr>
        <w:t>（四）</w:t>
      </w:r>
      <w:r>
        <w:rPr>
          <w:rFonts w:hint="eastAsia" w:ascii="Times New Roman" w:hAnsi="Times New Roman" w:eastAsia="仿宋_GB2312" w:cs="仿宋_GB2312"/>
          <w:sz w:val="32"/>
          <w:szCs w:val="32"/>
        </w:rPr>
        <w:t>负责主城区房地产中介管理、中介机构备案、房屋租赁管理和房屋租赁备案的行政辅助工作。</w:t>
      </w:r>
    </w:p>
    <w:p w14:paraId="2B90B680">
      <w:pPr>
        <w:ind w:firstLine="640" w:firstLineChars="200"/>
        <w:jc w:val="left"/>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lang w:eastAsia="zh-CN"/>
        </w:rPr>
        <w:t>（五）</w:t>
      </w:r>
      <w:r>
        <w:rPr>
          <w:rFonts w:hint="eastAsia" w:ascii="Times New Roman" w:hAnsi="Times New Roman" w:eastAsia="仿宋_GB2312" w:cs="仿宋_GB2312"/>
          <w:sz w:val="32"/>
          <w:szCs w:val="32"/>
        </w:rPr>
        <w:t>负责主城区房地产交易市场管理、房源信息核验、房地产成交价格申报以及同级别土地上住房交易平均价格的测算和发布等行政辅助工作。</w:t>
      </w:r>
    </w:p>
    <w:p w14:paraId="5EB32381">
      <w:pPr>
        <w:ind w:firstLine="640" w:firstLineChars="200"/>
        <w:jc w:val="left"/>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lang w:eastAsia="zh-CN"/>
        </w:rPr>
        <w:t>（六）</w:t>
      </w:r>
      <w:r>
        <w:rPr>
          <w:rFonts w:hint="eastAsia" w:ascii="Times New Roman" w:hAnsi="Times New Roman" w:eastAsia="仿宋_GB2312" w:cs="仿宋_GB2312"/>
          <w:sz w:val="32"/>
          <w:szCs w:val="32"/>
        </w:rPr>
        <w:t>负责市主城区房屋交易管理以及协助财政、税务部门征收房地产交易环节税费的相关事务性工作。</w:t>
      </w:r>
    </w:p>
    <w:p w14:paraId="5E9426D8">
      <w:pPr>
        <w:ind w:firstLine="640" w:firstLineChars="200"/>
        <w:jc w:val="left"/>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lang w:eastAsia="zh-CN"/>
        </w:rPr>
        <w:t>（七）</w:t>
      </w:r>
      <w:r>
        <w:rPr>
          <w:rFonts w:hint="eastAsia" w:ascii="Times New Roman" w:hAnsi="Times New Roman" w:eastAsia="仿宋_GB2312" w:cs="仿宋_GB2312"/>
          <w:sz w:val="32"/>
          <w:szCs w:val="32"/>
        </w:rPr>
        <w:t>负责市主城区范围内新建商品房买卖合同、存量房买卖合同、房地产租赁合同、房地产抵押合同的网签备案及其变更、撤销等事务性工作。</w:t>
      </w:r>
    </w:p>
    <w:p w14:paraId="318A70E8">
      <w:pPr>
        <w:ind w:firstLine="640" w:firstLineChars="200"/>
        <w:jc w:val="left"/>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lang w:eastAsia="zh-CN"/>
        </w:rPr>
        <w:t>（八）</w:t>
      </w:r>
      <w:r>
        <w:rPr>
          <w:rFonts w:hint="eastAsia" w:ascii="Times New Roman" w:hAnsi="Times New Roman" w:eastAsia="仿宋_GB2312" w:cs="仿宋_GB2312"/>
          <w:sz w:val="32"/>
          <w:szCs w:val="32"/>
        </w:rPr>
        <w:t>负责楼盘表的建立、变更和管理，负责房地产交易网签备案系统建设的事务性工作。</w:t>
      </w:r>
    </w:p>
    <w:p w14:paraId="3ECA126E">
      <w:pPr>
        <w:ind w:firstLine="640" w:firstLineChars="200"/>
        <w:jc w:val="left"/>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lang w:eastAsia="zh-CN"/>
        </w:rPr>
        <w:t>（九）</w:t>
      </w:r>
      <w:r>
        <w:rPr>
          <w:rFonts w:hint="eastAsia" w:ascii="Times New Roman" w:hAnsi="Times New Roman" w:eastAsia="仿宋_GB2312" w:cs="仿宋_GB2312"/>
          <w:sz w:val="32"/>
          <w:szCs w:val="32"/>
        </w:rPr>
        <w:t>负责市主城区存量房交易资金监管的事务性工作。</w:t>
      </w:r>
    </w:p>
    <w:p w14:paraId="341325CE">
      <w:pPr>
        <w:ind w:firstLine="640" w:firstLineChars="200"/>
        <w:jc w:val="left"/>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lang w:eastAsia="zh-CN"/>
        </w:rPr>
        <w:t>（十）</w:t>
      </w:r>
      <w:r>
        <w:rPr>
          <w:rFonts w:hint="eastAsia" w:ascii="Times New Roman" w:hAnsi="Times New Roman" w:eastAsia="仿宋_GB2312" w:cs="仿宋_GB2312"/>
          <w:sz w:val="32"/>
          <w:szCs w:val="32"/>
        </w:rPr>
        <w:t xml:space="preserve">负责与市不动产登记中心建立联席制度，确保信息互联互通，流程清晰顺畅，及时协商解决工作中的问题，确保房屋交易职能运行顺畅、管理有序、部门配合、方便群众。   </w:t>
      </w:r>
    </w:p>
    <w:p w14:paraId="50541CCB">
      <w:pPr>
        <w:widowControl/>
        <w:spacing w:line="600" w:lineRule="exact"/>
        <w:rPr>
          <w:rFonts w:hint="eastAsia" w:ascii="黑体" w:hAnsi="黑体" w:eastAsia="黑体" w:cs="黑体"/>
          <w:b w:val="0"/>
          <w:bCs/>
          <w:kern w:val="0"/>
          <w:sz w:val="32"/>
          <w:szCs w:val="32"/>
        </w:rPr>
      </w:pPr>
      <w:r>
        <w:rPr>
          <w:rFonts w:hint="eastAsia" w:ascii="黑体" w:hAnsi="黑体" w:eastAsia="黑体" w:cs="黑体"/>
          <w:b w:val="0"/>
          <w:bCs/>
          <w:kern w:val="0"/>
          <w:sz w:val="32"/>
          <w:szCs w:val="32"/>
        </w:rPr>
        <w:t>二、机构设置及决算单位构成</w:t>
      </w:r>
    </w:p>
    <w:p w14:paraId="6C7F4263">
      <w:pPr>
        <w:widowControl/>
        <w:spacing w:line="600" w:lineRule="exact"/>
        <w:ind w:firstLine="640" w:firstLineChars="200"/>
        <w:rPr>
          <w:rFonts w:hint="eastAsia" w:ascii="Times New Roman" w:hAnsi="Times New Roman" w:eastAsia="仿宋_GB2312" w:cs="仿宋_GB2312"/>
          <w:bCs/>
          <w:kern w:val="0"/>
          <w:sz w:val="32"/>
          <w:szCs w:val="32"/>
        </w:rPr>
      </w:pPr>
      <w:r>
        <w:rPr>
          <w:rFonts w:hint="eastAsia" w:ascii="Times New Roman" w:hAnsi="Times New Roman" w:eastAsia="仿宋_GB2312" w:cs="仿宋_GB2312"/>
          <w:bCs/>
          <w:kern w:val="0"/>
          <w:sz w:val="32"/>
          <w:szCs w:val="32"/>
        </w:rPr>
        <w:t>（一）内设机构设置。岳阳市房地产交易中心单位内设机构包括：综合室、新建商品房市场管理室和存量房市场管理室。</w:t>
      </w:r>
    </w:p>
    <w:p w14:paraId="6D63B583">
      <w:pPr>
        <w:widowControl/>
        <w:spacing w:line="600" w:lineRule="exact"/>
        <w:ind w:firstLine="640" w:firstLineChars="200"/>
        <w:rPr>
          <w:rFonts w:hint="eastAsia" w:ascii="Times New Roman" w:hAnsi="Times New Roman" w:eastAsia="仿宋_GB2312" w:cs="仿宋_GB2312"/>
          <w:bCs/>
          <w:kern w:val="0"/>
          <w:sz w:val="32"/>
          <w:szCs w:val="32"/>
          <w:lang w:eastAsia="zh-CN"/>
        </w:rPr>
      </w:pPr>
      <w:r>
        <w:rPr>
          <w:rFonts w:hint="eastAsia" w:ascii="Times New Roman" w:hAnsi="Times New Roman" w:eastAsia="仿宋_GB2312" w:cs="仿宋_GB2312"/>
          <w:bCs/>
          <w:kern w:val="0"/>
          <w:sz w:val="32"/>
          <w:szCs w:val="32"/>
        </w:rPr>
        <w:t>（二）决算单位构成。</w:t>
      </w:r>
      <w:r>
        <w:rPr>
          <w:rFonts w:hint="eastAsia" w:ascii="Times New Roman" w:hAnsi="Times New Roman" w:eastAsia="仿宋_GB2312" w:cs="仿宋_GB2312"/>
          <w:bCs/>
          <w:kern w:val="0"/>
          <w:sz w:val="32"/>
          <w:szCs w:val="32"/>
          <w:lang w:eastAsia="zh-CN"/>
        </w:rPr>
        <w:t>本</w:t>
      </w:r>
      <w:r>
        <w:rPr>
          <w:rFonts w:hint="eastAsia" w:ascii="Times New Roman" w:hAnsi="Times New Roman" w:eastAsia="仿宋_GB2312" w:cs="仿宋_GB2312"/>
          <w:bCs/>
          <w:kern w:val="0"/>
          <w:sz w:val="32"/>
          <w:szCs w:val="32"/>
        </w:rPr>
        <w:t>单位</w:t>
      </w:r>
      <w:r>
        <w:rPr>
          <w:rFonts w:hint="eastAsia" w:ascii="Times New Roman" w:hAnsi="Times New Roman" w:eastAsia="仿宋_GB2312" w:cs="仿宋_GB2312"/>
          <w:bCs/>
          <w:kern w:val="0"/>
          <w:sz w:val="32"/>
          <w:szCs w:val="32"/>
          <w:lang w:eastAsia="zh-CN"/>
        </w:rPr>
        <w:t>无独立核算的下属单位，</w:t>
      </w:r>
      <w:r>
        <w:rPr>
          <w:rFonts w:hint="eastAsia" w:ascii="Times New Roman" w:hAnsi="Times New Roman" w:eastAsia="仿宋_GB2312" w:cs="仿宋_GB2312"/>
          <w:bCs/>
          <w:kern w:val="0"/>
          <w:sz w:val="32"/>
          <w:szCs w:val="32"/>
        </w:rPr>
        <w:t>202</w:t>
      </w:r>
      <w:r>
        <w:rPr>
          <w:rFonts w:hint="eastAsia" w:ascii="Times New Roman" w:hAnsi="Times New Roman" w:eastAsia="仿宋_GB2312" w:cs="仿宋_GB2312"/>
          <w:bCs/>
          <w:kern w:val="0"/>
          <w:sz w:val="32"/>
          <w:szCs w:val="32"/>
          <w:lang w:val="en-US" w:eastAsia="zh-CN"/>
        </w:rPr>
        <w:t>4</w:t>
      </w:r>
      <w:r>
        <w:rPr>
          <w:rFonts w:hint="eastAsia" w:ascii="Times New Roman" w:hAnsi="Times New Roman" w:eastAsia="仿宋_GB2312" w:cs="仿宋_GB2312"/>
          <w:bCs/>
          <w:kern w:val="0"/>
          <w:sz w:val="32"/>
          <w:szCs w:val="32"/>
        </w:rPr>
        <w:t>年</w:t>
      </w:r>
      <w:r>
        <w:rPr>
          <w:rFonts w:hint="eastAsia" w:ascii="Times New Roman" w:hAnsi="Times New Roman" w:eastAsia="仿宋_GB2312" w:cs="仿宋_GB2312"/>
          <w:bCs/>
          <w:kern w:val="0"/>
          <w:sz w:val="32"/>
          <w:szCs w:val="32"/>
          <w:lang w:eastAsia="zh-CN"/>
        </w:rPr>
        <w:t>度</w:t>
      </w:r>
      <w:r>
        <w:rPr>
          <w:rFonts w:hint="eastAsia" w:ascii="Times New Roman" w:hAnsi="Times New Roman" w:eastAsia="仿宋_GB2312" w:cs="仿宋_GB2312"/>
          <w:bCs/>
          <w:kern w:val="0"/>
          <w:sz w:val="32"/>
          <w:szCs w:val="32"/>
        </w:rPr>
        <w:t>部门决算汇总公开单位构成</w:t>
      </w:r>
      <w:r>
        <w:rPr>
          <w:rFonts w:hint="eastAsia" w:ascii="Times New Roman" w:hAnsi="Times New Roman" w:eastAsia="仿宋_GB2312" w:cs="仿宋_GB2312"/>
          <w:bCs/>
          <w:kern w:val="0"/>
          <w:sz w:val="32"/>
          <w:szCs w:val="32"/>
          <w:lang w:eastAsia="zh-CN"/>
        </w:rPr>
        <w:t>仅</w:t>
      </w:r>
      <w:r>
        <w:rPr>
          <w:rFonts w:hint="eastAsia" w:ascii="Times New Roman" w:hAnsi="Times New Roman" w:eastAsia="仿宋_GB2312" w:cs="仿宋_GB2312"/>
          <w:bCs/>
          <w:kern w:val="0"/>
          <w:sz w:val="32"/>
          <w:szCs w:val="32"/>
        </w:rPr>
        <w:t>包括</w:t>
      </w:r>
      <w:r>
        <w:rPr>
          <w:rFonts w:hint="eastAsia" w:ascii="Times New Roman" w:hAnsi="Times New Roman" w:eastAsia="仿宋_GB2312" w:cs="仿宋_GB2312"/>
          <w:bCs/>
          <w:kern w:val="0"/>
          <w:sz w:val="32"/>
          <w:szCs w:val="32"/>
          <w:lang w:eastAsia="zh-CN"/>
        </w:rPr>
        <w:t>岳阳市房地产交易中心</w:t>
      </w:r>
      <w:r>
        <w:rPr>
          <w:rFonts w:hint="eastAsia" w:ascii="Times New Roman" w:hAnsi="Times New Roman" w:eastAsia="仿宋_GB2312" w:cs="仿宋_GB2312"/>
          <w:bCs/>
          <w:kern w:val="0"/>
          <w:sz w:val="32"/>
          <w:szCs w:val="32"/>
        </w:rPr>
        <w:t>单位本级</w:t>
      </w:r>
      <w:r>
        <w:rPr>
          <w:rFonts w:hint="eastAsia" w:ascii="Times New Roman" w:hAnsi="Times New Roman" w:eastAsia="仿宋_GB2312" w:cs="仿宋_GB2312"/>
          <w:bCs/>
          <w:kern w:val="0"/>
          <w:sz w:val="32"/>
          <w:szCs w:val="32"/>
          <w:lang w:eastAsia="zh-CN"/>
        </w:rPr>
        <w:t>。</w:t>
      </w:r>
    </w:p>
    <w:p w14:paraId="2A344578"/>
    <w:p w14:paraId="080FD845">
      <w:pPr>
        <w:pStyle w:val="8"/>
      </w:pPr>
    </w:p>
    <w:p w14:paraId="190E2DDD">
      <w:pPr>
        <w:pStyle w:val="4"/>
      </w:pPr>
    </w:p>
    <w:p w14:paraId="24D2F047"/>
    <w:p w14:paraId="779ADDC9">
      <w:pPr>
        <w:pStyle w:val="8"/>
      </w:pPr>
    </w:p>
    <w:p w14:paraId="76C40D9C">
      <w:pPr>
        <w:pStyle w:val="4"/>
      </w:pPr>
    </w:p>
    <w:p w14:paraId="7BB7EE44"/>
    <w:p w14:paraId="2D285ECF">
      <w:pPr>
        <w:pStyle w:val="8"/>
      </w:pPr>
    </w:p>
    <w:p w14:paraId="3FB12678">
      <w:pPr>
        <w:pStyle w:val="4"/>
      </w:pPr>
    </w:p>
    <w:p w14:paraId="5E759BB2"/>
    <w:p w14:paraId="2052DA97">
      <w:pPr>
        <w:pStyle w:val="8"/>
      </w:pPr>
    </w:p>
    <w:p w14:paraId="57DAA039">
      <w:pPr>
        <w:pStyle w:val="4"/>
      </w:pPr>
    </w:p>
    <w:p w14:paraId="64A4532C"/>
    <w:p w14:paraId="7E1B9CFC">
      <w:pPr>
        <w:pStyle w:val="8"/>
      </w:pPr>
    </w:p>
    <w:p w14:paraId="4F34F406">
      <w:pPr>
        <w:pStyle w:val="4"/>
      </w:pPr>
    </w:p>
    <w:p w14:paraId="66EFF351"/>
    <w:p w14:paraId="7B55EAC1">
      <w:pPr>
        <w:pStyle w:val="8"/>
      </w:pPr>
    </w:p>
    <w:p w14:paraId="4E7B2972">
      <w:pPr>
        <w:pStyle w:val="4"/>
      </w:pPr>
    </w:p>
    <w:p w14:paraId="6AD35009"/>
    <w:p w14:paraId="1F1217C7">
      <w:pPr>
        <w:pStyle w:val="8"/>
      </w:pPr>
    </w:p>
    <w:p w14:paraId="10499FE1">
      <w:pPr>
        <w:pStyle w:val="4"/>
      </w:pPr>
    </w:p>
    <w:p w14:paraId="2AC810E2"/>
    <w:p w14:paraId="44D788F5">
      <w:pPr>
        <w:pStyle w:val="8"/>
      </w:pPr>
    </w:p>
    <w:p w14:paraId="76379520">
      <w:pPr>
        <w:pStyle w:val="4"/>
      </w:pPr>
    </w:p>
    <w:p w14:paraId="63AA21DA"/>
    <w:p w14:paraId="0C7C9E7F">
      <w:pPr>
        <w:pStyle w:val="13"/>
        <w:jc w:val="center"/>
        <w:rPr>
          <w:rFonts w:hint="eastAsia" w:ascii="方正小标宋_GBK" w:hAnsi="方正小标宋_GBK" w:eastAsia="方正小标宋_GBK" w:cs="方正小标宋_GBK"/>
          <w:sz w:val="84"/>
          <w:szCs w:val="84"/>
        </w:rPr>
      </w:pPr>
    </w:p>
    <w:p w14:paraId="1B323BEC">
      <w:pPr>
        <w:pStyle w:val="13"/>
        <w:jc w:val="center"/>
        <w:rPr>
          <w:rFonts w:hint="eastAsia" w:ascii="方正小标宋_GBK" w:hAnsi="方正小标宋_GBK" w:eastAsia="方正小标宋_GBK" w:cs="方正小标宋_GBK"/>
          <w:sz w:val="84"/>
          <w:szCs w:val="84"/>
        </w:rPr>
      </w:pPr>
    </w:p>
    <w:p w14:paraId="4BBFEED1">
      <w:pPr>
        <w:pStyle w:val="13"/>
        <w:jc w:val="center"/>
        <w:rPr>
          <w:rFonts w:hint="eastAsia"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rPr>
        <w:t>第二部分</w:t>
      </w:r>
    </w:p>
    <w:p w14:paraId="247ACA8B">
      <w:pPr>
        <w:pStyle w:val="13"/>
        <w:jc w:val="center"/>
        <w:rPr>
          <w:rFonts w:hint="eastAsia" w:ascii="方正小标宋_GBK" w:hAnsi="方正小标宋_GBK" w:eastAsia="方正小标宋_GBK" w:cs="方正小标宋_GBK"/>
          <w:sz w:val="84"/>
          <w:szCs w:val="84"/>
        </w:rPr>
      </w:pPr>
    </w:p>
    <w:p w14:paraId="41F17330">
      <w:pPr>
        <w:pStyle w:val="13"/>
        <w:jc w:val="center"/>
        <w:rPr>
          <w:rFonts w:hint="eastAsia"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rPr>
        <w:t>部门决算表</w:t>
      </w:r>
    </w:p>
    <w:p w14:paraId="4B4A1D29">
      <w:pPr>
        <w:pStyle w:val="13"/>
        <w:jc w:val="center"/>
        <w:rPr>
          <w:rFonts w:hint="eastAsia" w:ascii="仿宋_GB2312" w:hAnsi="仿宋_GB2312" w:eastAsia="仿宋_GB2312" w:cs="仿宋_GB2312"/>
          <w:b w:val="0"/>
          <w:bCs w:val="0"/>
          <w:sz w:val="72"/>
          <w:szCs w:val="72"/>
          <w:lang w:eastAsia="zh-CN"/>
        </w:rPr>
      </w:pPr>
      <w:r>
        <w:rPr>
          <w:rFonts w:hint="eastAsia" w:ascii="仿宋_GB2312" w:hAnsi="仿宋_GB2312" w:eastAsia="仿宋_GB2312" w:cs="仿宋_GB2312"/>
          <w:b w:val="0"/>
          <w:bCs w:val="0"/>
          <w:sz w:val="72"/>
          <w:szCs w:val="72"/>
          <w:lang w:eastAsia="zh-CN"/>
        </w:rPr>
        <w:t>（见附件）</w:t>
      </w:r>
    </w:p>
    <w:p w14:paraId="01ED5AB4">
      <w:pPr>
        <w:pStyle w:val="13"/>
        <w:jc w:val="center"/>
        <w:rPr>
          <w:rFonts w:hint="eastAsia" w:ascii="仿宋_GB2312" w:hAnsi="仿宋_GB2312" w:eastAsia="仿宋_GB2312" w:cs="仿宋_GB2312"/>
          <w:b w:val="0"/>
          <w:bCs w:val="0"/>
          <w:sz w:val="72"/>
          <w:szCs w:val="72"/>
          <w:lang w:eastAsia="zh-CN"/>
        </w:rPr>
      </w:pPr>
    </w:p>
    <w:p w14:paraId="3CC5A486">
      <w:pPr>
        <w:pStyle w:val="13"/>
        <w:jc w:val="center"/>
        <w:rPr>
          <w:rFonts w:hint="eastAsia" w:ascii="仿宋_GB2312" w:hAnsi="仿宋_GB2312" w:eastAsia="仿宋_GB2312" w:cs="仿宋_GB2312"/>
          <w:b w:val="0"/>
          <w:bCs w:val="0"/>
          <w:sz w:val="72"/>
          <w:szCs w:val="72"/>
          <w:lang w:eastAsia="zh-CN"/>
        </w:rPr>
      </w:pPr>
    </w:p>
    <w:p w14:paraId="19EF7F67">
      <w:pPr>
        <w:pStyle w:val="13"/>
        <w:jc w:val="center"/>
        <w:rPr>
          <w:rFonts w:hint="eastAsia" w:ascii="仿宋_GB2312" w:hAnsi="仿宋_GB2312" w:eastAsia="仿宋_GB2312" w:cs="仿宋_GB2312"/>
          <w:b w:val="0"/>
          <w:bCs w:val="0"/>
          <w:sz w:val="72"/>
          <w:szCs w:val="72"/>
          <w:lang w:eastAsia="zh-CN"/>
        </w:rPr>
      </w:pPr>
    </w:p>
    <w:p w14:paraId="777EF411">
      <w:pPr>
        <w:pStyle w:val="13"/>
        <w:jc w:val="center"/>
        <w:rPr>
          <w:rFonts w:hint="eastAsia" w:ascii="仿宋_GB2312" w:hAnsi="仿宋_GB2312" w:eastAsia="仿宋_GB2312" w:cs="仿宋_GB2312"/>
          <w:b w:val="0"/>
          <w:bCs w:val="0"/>
          <w:sz w:val="72"/>
          <w:szCs w:val="72"/>
          <w:lang w:eastAsia="zh-CN"/>
        </w:rPr>
      </w:pPr>
    </w:p>
    <w:p w14:paraId="4752581C">
      <w:pPr>
        <w:pStyle w:val="13"/>
        <w:jc w:val="center"/>
        <w:rPr>
          <w:rFonts w:hint="eastAsia" w:ascii="仿宋_GB2312" w:hAnsi="仿宋_GB2312" w:eastAsia="仿宋_GB2312" w:cs="仿宋_GB2312"/>
          <w:b w:val="0"/>
          <w:bCs w:val="0"/>
          <w:sz w:val="72"/>
          <w:szCs w:val="72"/>
          <w:lang w:eastAsia="zh-CN"/>
        </w:rPr>
      </w:pPr>
    </w:p>
    <w:p w14:paraId="4D8EF1EF">
      <w:pPr>
        <w:pStyle w:val="13"/>
        <w:jc w:val="center"/>
        <w:rPr>
          <w:rFonts w:hint="eastAsia" w:ascii="仿宋_GB2312" w:hAnsi="仿宋_GB2312" w:eastAsia="仿宋_GB2312" w:cs="仿宋_GB2312"/>
          <w:b w:val="0"/>
          <w:bCs w:val="0"/>
          <w:sz w:val="72"/>
          <w:szCs w:val="72"/>
          <w:lang w:eastAsia="zh-CN"/>
        </w:rPr>
      </w:pPr>
    </w:p>
    <w:p w14:paraId="62CBA9C9">
      <w:pPr>
        <w:pStyle w:val="13"/>
        <w:jc w:val="center"/>
        <w:rPr>
          <w:rFonts w:hint="eastAsia" w:ascii="仿宋_GB2312" w:hAnsi="仿宋_GB2312" w:eastAsia="仿宋_GB2312" w:cs="仿宋_GB2312"/>
          <w:b w:val="0"/>
          <w:bCs w:val="0"/>
          <w:sz w:val="72"/>
          <w:szCs w:val="72"/>
          <w:lang w:eastAsia="zh-CN"/>
        </w:rPr>
      </w:pPr>
    </w:p>
    <w:p w14:paraId="63B0C76A">
      <w:pPr>
        <w:pStyle w:val="13"/>
        <w:jc w:val="center"/>
        <w:rPr>
          <w:rFonts w:hint="eastAsia" w:ascii="方正小标宋_GBK" w:hAnsi="方正小标宋_GBK" w:eastAsia="方正小标宋_GBK" w:cs="方正小标宋_GBK"/>
          <w:sz w:val="72"/>
          <w:szCs w:val="72"/>
        </w:rPr>
      </w:pPr>
    </w:p>
    <w:p w14:paraId="0934531C">
      <w:pPr>
        <w:pStyle w:val="13"/>
        <w:jc w:val="center"/>
        <w:rPr>
          <w:rFonts w:hint="eastAsia" w:ascii="方正小标宋_GBK" w:hAnsi="方正小标宋_GBK" w:eastAsia="方正小标宋_GBK" w:cs="方正小标宋_GBK"/>
          <w:sz w:val="72"/>
          <w:szCs w:val="72"/>
        </w:rPr>
      </w:pPr>
    </w:p>
    <w:p w14:paraId="7CBF5D4F">
      <w:pPr>
        <w:pStyle w:val="13"/>
        <w:jc w:val="both"/>
        <w:rPr>
          <w:rFonts w:hint="eastAsia" w:ascii="方正小标宋_GBK" w:hAnsi="方正小标宋_GBK" w:eastAsia="方正小标宋_GBK" w:cs="方正小标宋_GBK"/>
          <w:sz w:val="72"/>
          <w:szCs w:val="72"/>
        </w:rPr>
      </w:pPr>
    </w:p>
    <w:p w14:paraId="3AD67FA5">
      <w:pPr>
        <w:pStyle w:val="13"/>
        <w:jc w:val="center"/>
        <w:rPr>
          <w:rFonts w:hint="eastAsia" w:ascii="方正小标宋_GBK" w:hAnsi="方正小标宋_GBK" w:eastAsia="方正小标宋_GBK" w:cs="方正小标宋_GBK"/>
          <w:sz w:val="72"/>
          <w:szCs w:val="72"/>
        </w:rPr>
      </w:pPr>
      <w:r>
        <w:rPr>
          <w:rFonts w:hint="eastAsia" w:ascii="方正小标宋_GBK" w:hAnsi="方正小标宋_GBK" w:eastAsia="方正小标宋_GBK" w:cs="方正小标宋_GBK"/>
          <w:sz w:val="72"/>
          <w:szCs w:val="72"/>
        </w:rPr>
        <w:t>第三部分</w:t>
      </w:r>
    </w:p>
    <w:p w14:paraId="6B31A10E">
      <w:pPr>
        <w:pStyle w:val="13"/>
        <w:jc w:val="center"/>
        <w:rPr>
          <w:rFonts w:hint="eastAsia" w:ascii="方正小标宋_GBK" w:hAnsi="方正小标宋_GBK" w:eastAsia="方正小标宋_GBK" w:cs="方正小标宋_GBK"/>
          <w:sz w:val="70"/>
          <w:szCs w:val="70"/>
        </w:rPr>
      </w:pPr>
    </w:p>
    <w:p w14:paraId="3D0056AE">
      <w:pPr>
        <w:pStyle w:val="13"/>
        <w:jc w:val="center"/>
        <w:rPr>
          <w:rFonts w:hint="eastAsia" w:ascii="方正小标宋_GBK" w:hAnsi="方正小标宋_GBK" w:eastAsia="方正小标宋_GBK" w:cs="方正小标宋_GBK"/>
          <w:sz w:val="70"/>
          <w:szCs w:val="70"/>
        </w:rPr>
      </w:pPr>
      <w:r>
        <w:rPr>
          <w:rFonts w:hint="eastAsia" w:ascii="方正小标宋_GBK" w:hAnsi="方正小标宋_GBK" w:eastAsia="方正小标宋_GBK" w:cs="方正小标宋_GBK"/>
          <w:sz w:val="70"/>
          <w:szCs w:val="70"/>
        </w:rPr>
        <w:t>202</w:t>
      </w:r>
      <w:r>
        <w:rPr>
          <w:rFonts w:hint="eastAsia" w:ascii="方正小标宋_GBK" w:hAnsi="方正小标宋_GBK" w:eastAsia="方正小标宋_GBK" w:cs="方正小标宋_GBK"/>
          <w:sz w:val="70"/>
          <w:szCs w:val="70"/>
          <w:lang w:val="en-US" w:eastAsia="zh-CN"/>
        </w:rPr>
        <w:t>4</w:t>
      </w:r>
      <w:r>
        <w:rPr>
          <w:rFonts w:hint="eastAsia" w:ascii="方正小标宋_GBK" w:hAnsi="方正小标宋_GBK" w:eastAsia="方正小标宋_GBK" w:cs="方正小标宋_GBK"/>
          <w:sz w:val="70"/>
          <w:szCs w:val="70"/>
        </w:rPr>
        <w:t>年度部门决算情况说明</w:t>
      </w:r>
    </w:p>
    <w:p w14:paraId="081CF39C">
      <w:pPr>
        <w:pStyle w:val="13"/>
        <w:jc w:val="center"/>
        <w:rPr>
          <w:rFonts w:hint="eastAsia" w:ascii="方正小标宋_GBK" w:hAnsi="方正小标宋_GBK" w:eastAsia="方正小标宋_GBK" w:cs="方正小标宋_GBK"/>
          <w:sz w:val="70"/>
          <w:szCs w:val="70"/>
        </w:rPr>
      </w:pPr>
    </w:p>
    <w:p w14:paraId="59C0E296">
      <w:pPr>
        <w:pStyle w:val="13"/>
        <w:jc w:val="center"/>
        <w:rPr>
          <w:rFonts w:hint="eastAsia" w:ascii="方正小标宋_GBK" w:hAnsi="方正小标宋_GBK" w:eastAsia="方正小标宋_GBK" w:cs="方正小标宋_GBK"/>
          <w:sz w:val="70"/>
          <w:szCs w:val="70"/>
        </w:rPr>
      </w:pPr>
    </w:p>
    <w:p w14:paraId="7AFF7BD5">
      <w:pPr>
        <w:pStyle w:val="13"/>
        <w:jc w:val="center"/>
        <w:rPr>
          <w:rFonts w:hint="eastAsia" w:ascii="方正小标宋_GBK" w:hAnsi="方正小标宋_GBK" w:eastAsia="方正小标宋_GBK" w:cs="方正小标宋_GBK"/>
          <w:sz w:val="70"/>
          <w:szCs w:val="70"/>
        </w:rPr>
      </w:pPr>
    </w:p>
    <w:p w14:paraId="088D7D13">
      <w:pPr>
        <w:pStyle w:val="13"/>
        <w:jc w:val="center"/>
        <w:rPr>
          <w:rFonts w:hint="eastAsia" w:ascii="方正小标宋_GBK" w:hAnsi="方正小标宋_GBK" w:eastAsia="方正小标宋_GBK" w:cs="方正小标宋_GBK"/>
          <w:sz w:val="70"/>
          <w:szCs w:val="70"/>
        </w:rPr>
      </w:pPr>
    </w:p>
    <w:p w14:paraId="2C69E9A3">
      <w:pPr>
        <w:pStyle w:val="13"/>
        <w:jc w:val="both"/>
        <w:rPr>
          <w:rFonts w:hint="eastAsia" w:ascii="方正小标宋_GBK" w:hAnsi="方正小标宋_GBK" w:eastAsia="方正小标宋_GBK" w:cs="方正小标宋_GBK"/>
          <w:sz w:val="70"/>
          <w:szCs w:val="70"/>
        </w:rPr>
      </w:pPr>
    </w:p>
    <w:p w14:paraId="3CCE9A81">
      <w:pPr>
        <w:pStyle w:val="13"/>
        <w:jc w:val="both"/>
        <w:rPr>
          <w:rFonts w:hint="eastAsia" w:ascii="方正小标宋_GBK" w:hAnsi="方正小标宋_GBK" w:eastAsia="方正小标宋_GBK" w:cs="方正小标宋_GBK"/>
          <w:sz w:val="70"/>
          <w:szCs w:val="70"/>
        </w:rPr>
      </w:pPr>
    </w:p>
    <w:p w14:paraId="1044C381">
      <w:pPr>
        <w:pStyle w:val="13"/>
        <w:jc w:val="both"/>
        <w:rPr>
          <w:rFonts w:hint="eastAsia" w:ascii="方正小标宋_GBK" w:hAnsi="方正小标宋_GBK" w:eastAsia="方正小标宋_GBK" w:cs="方正小标宋_GBK"/>
          <w:sz w:val="70"/>
          <w:szCs w:val="70"/>
        </w:rPr>
      </w:pPr>
    </w:p>
    <w:p w14:paraId="46A92C7F">
      <w:pPr>
        <w:pStyle w:val="13"/>
        <w:jc w:val="both"/>
        <w:rPr>
          <w:rFonts w:hint="eastAsia" w:ascii="方正小标宋_GBK" w:hAnsi="方正小标宋_GBK" w:eastAsia="方正小标宋_GBK" w:cs="方正小标宋_GBK"/>
          <w:sz w:val="70"/>
          <w:szCs w:val="70"/>
        </w:rPr>
      </w:pPr>
      <w:bookmarkStart w:id="0" w:name="_GoBack"/>
      <w:bookmarkEnd w:id="0"/>
    </w:p>
    <w:p w14:paraId="5866D1A2">
      <w:pPr>
        <w:widowControl/>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说明：</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由于</w:t>
      </w:r>
      <w:r>
        <w:rPr>
          <w:rFonts w:hint="eastAsia" w:ascii="仿宋_GB2312" w:hAnsi="仿宋_GB2312" w:eastAsia="仿宋_GB2312" w:cs="仿宋_GB2312"/>
          <w:sz w:val="32"/>
          <w:szCs w:val="32"/>
          <w:lang w:eastAsia="zh-CN"/>
        </w:rPr>
        <w:t>部门</w:t>
      </w:r>
      <w:r>
        <w:rPr>
          <w:rFonts w:hint="eastAsia" w:ascii="仿宋_GB2312" w:hAnsi="仿宋_GB2312" w:eastAsia="仿宋_GB2312" w:cs="仿宋_GB2312"/>
          <w:sz w:val="32"/>
          <w:szCs w:val="32"/>
        </w:rPr>
        <w:t>决算编制时</w:t>
      </w:r>
      <w:r>
        <w:rPr>
          <w:rFonts w:hint="eastAsia" w:ascii="仿宋_GB2312" w:hAnsi="仿宋_GB2312" w:eastAsia="仿宋_GB2312" w:cs="仿宋_GB2312"/>
          <w:sz w:val="32"/>
          <w:szCs w:val="32"/>
          <w:lang w:eastAsia="zh-CN"/>
        </w:rPr>
        <w:t>数据</w:t>
      </w:r>
      <w:r>
        <w:rPr>
          <w:rFonts w:hint="eastAsia" w:ascii="仿宋_GB2312" w:hAnsi="仿宋_GB2312" w:eastAsia="仿宋_GB2312" w:cs="仿宋_GB2312"/>
          <w:sz w:val="32"/>
          <w:szCs w:val="32"/>
        </w:rPr>
        <w:t>明细</w:t>
      </w:r>
      <w:r>
        <w:rPr>
          <w:rFonts w:hint="eastAsia" w:ascii="仿宋_GB2312" w:hAnsi="仿宋_GB2312" w:eastAsia="仿宋_GB2312" w:cs="仿宋_GB2312"/>
          <w:sz w:val="32"/>
          <w:szCs w:val="32"/>
          <w:lang w:eastAsia="zh-CN"/>
        </w:rPr>
        <w:t>至“金额单位：元</w:t>
      </w:r>
      <w:r>
        <w:rPr>
          <w:rFonts w:hint="eastAsia" w:ascii="仿宋_GB2312" w:hAnsi="仿宋_GB2312" w:eastAsia="仿宋_GB2312" w:cs="仿宋_GB2312"/>
          <w:sz w:val="32"/>
          <w:szCs w:val="32"/>
        </w:rPr>
        <w:t>”，而</w:t>
      </w:r>
      <w:r>
        <w:rPr>
          <w:rFonts w:hint="eastAsia" w:ascii="仿宋_GB2312" w:hAnsi="仿宋_GB2312" w:eastAsia="仿宋_GB2312" w:cs="仿宋_GB2312"/>
          <w:sz w:val="32"/>
          <w:szCs w:val="32"/>
          <w:lang w:eastAsia="zh-CN"/>
        </w:rPr>
        <w:t>本套部门决算文字说明</w:t>
      </w:r>
      <w:r>
        <w:rPr>
          <w:rFonts w:hint="eastAsia" w:ascii="仿宋_GB2312" w:hAnsi="仿宋_GB2312" w:eastAsia="仿宋_GB2312" w:cs="仿宋_GB2312"/>
          <w:sz w:val="32"/>
          <w:szCs w:val="32"/>
        </w:rPr>
        <w:t>和公开表格</w:t>
      </w:r>
      <w:r>
        <w:rPr>
          <w:rFonts w:hint="eastAsia" w:ascii="仿宋_GB2312" w:hAnsi="仿宋_GB2312" w:eastAsia="仿宋_GB2312" w:cs="仿宋_GB2312"/>
          <w:sz w:val="32"/>
          <w:szCs w:val="32"/>
          <w:lang w:eastAsia="zh-CN"/>
        </w:rPr>
        <w:t>数据</w:t>
      </w:r>
      <w:r>
        <w:rPr>
          <w:rFonts w:hint="eastAsia" w:ascii="仿宋_GB2312" w:hAnsi="仿宋_GB2312" w:eastAsia="仿宋_GB2312" w:cs="仿宋_GB2312"/>
          <w:sz w:val="32"/>
          <w:szCs w:val="32"/>
        </w:rPr>
        <w:t>取数</w:t>
      </w:r>
      <w:r>
        <w:rPr>
          <w:rFonts w:hint="eastAsia" w:ascii="仿宋_GB2312" w:hAnsi="仿宋_GB2312" w:eastAsia="仿宋_GB2312" w:cs="仿宋_GB2312"/>
          <w:sz w:val="32"/>
          <w:szCs w:val="32"/>
          <w:lang w:eastAsia="zh-CN"/>
        </w:rPr>
        <w:t>转换为</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金额单位：</w:t>
      </w:r>
      <w:r>
        <w:rPr>
          <w:rFonts w:hint="eastAsia" w:ascii="仿宋_GB2312" w:hAnsi="仿宋_GB2312" w:eastAsia="仿宋_GB2312" w:cs="仿宋_GB2312"/>
          <w:sz w:val="32"/>
          <w:szCs w:val="32"/>
        </w:rPr>
        <w:t>万元”，可能导致</w:t>
      </w:r>
      <w:r>
        <w:rPr>
          <w:rFonts w:hint="eastAsia" w:ascii="仿宋_GB2312" w:hAnsi="仿宋_GB2312" w:eastAsia="仿宋_GB2312" w:cs="仿宋_GB2312"/>
          <w:sz w:val="32"/>
          <w:szCs w:val="32"/>
          <w:lang w:eastAsia="zh-CN"/>
        </w:rPr>
        <w:t>以下文字说明中的各项数据取数以及公开</w:t>
      </w:r>
      <w:r>
        <w:rPr>
          <w:rFonts w:hint="eastAsia" w:ascii="仿宋_GB2312" w:hAnsi="仿宋_GB2312" w:eastAsia="仿宋_GB2312" w:cs="仿宋_GB2312"/>
          <w:sz w:val="32"/>
          <w:szCs w:val="32"/>
        </w:rPr>
        <w:t>表格</w:t>
      </w:r>
      <w:r>
        <w:rPr>
          <w:rFonts w:hint="eastAsia" w:ascii="仿宋_GB2312" w:hAnsi="仿宋_GB2312" w:eastAsia="仿宋_GB2312" w:cs="仿宋_GB2312"/>
          <w:sz w:val="32"/>
          <w:szCs w:val="32"/>
          <w:lang w:eastAsia="zh-CN"/>
        </w:rPr>
        <w:t>中的各项数据取数之间存在</w:t>
      </w:r>
      <w:r>
        <w:rPr>
          <w:rFonts w:hint="eastAsia" w:ascii="仿宋_GB2312" w:hAnsi="仿宋_GB2312" w:eastAsia="仿宋_GB2312" w:cs="仿宋_GB2312"/>
          <w:sz w:val="32"/>
          <w:szCs w:val="32"/>
        </w:rPr>
        <w:t>0.01的尾数差异。</w:t>
      </w:r>
      <w:r>
        <w:rPr>
          <w:rFonts w:hint="eastAsia" w:ascii="仿宋_GB2312" w:hAnsi="仿宋_GB2312" w:eastAsia="仿宋_GB2312" w:cs="仿宋_GB2312"/>
          <w:sz w:val="32"/>
          <w:szCs w:val="32"/>
          <w:lang w:val="en-US" w:eastAsia="zh-CN"/>
        </w:rPr>
        <w:t>2、以下文字说明中，部分科目由于预算数为0，无法计算完成年初预算的百分比，故未描述“</w:t>
      </w:r>
      <w:r>
        <w:rPr>
          <w:rFonts w:hint="eastAsia" w:ascii="仿宋_GB2312" w:hAnsi="仿宋_GB2312" w:eastAsia="仿宋_GB2312" w:cs="仿宋_GB2312"/>
          <w:sz w:val="32"/>
          <w:szCs w:val="32"/>
        </w:rPr>
        <w:t>完成年初预算的XX%</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w:t>
      </w:r>
    </w:p>
    <w:p w14:paraId="348D1A45">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一、收入支出决算总体情况说明</w:t>
      </w:r>
    </w:p>
    <w:p w14:paraId="06F2BD4E">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default"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年度收、支总计</w:t>
      </w:r>
      <w:r>
        <w:rPr>
          <w:rFonts w:hint="eastAsia" w:ascii="仿宋_GB2312" w:hAnsi="仿宋_GB2312" w:eastAsia="仿宋_GB2312" w:cs="仿宋_GB2312"/>
          <w:sz w:val="32"/>
          <w:szCs w:val="32"/>
          <w:lang w:val="en-US" w:eastAsia="zh-CN"/>
        </w:rPr>
        <w:t>292.42</w:t>
      </w:r>
      <w:r>
        <w:rPr>
          <w:rFonts w:hint="eastAsia" w:ascii="仿宋_GB2312" w:hAnsi="仿宋_GB2312" w:eastAsia="仿宋_GB2312" w:cs="仿宋_GB2312"/>
          <w:sz w:val="32"/>
          <w:szCs w:val="32"/>
        </w:rPr>
        <w:t>万元。与上年相比，增加</w:t>
      </w:r>
      <w:r>
        <w:rPr>
          <w:rFonts w:hint="eastAsia" w:ascii="仿宋_GB2312" w:hAnsi="仿宋_GB2312" w:eastAsia="仿宋_GB2312" w:cs="仿宋_GB2312"/>
          <w:sz w:val="32"/>
          <w:szCs w:val="32"/>
          <w:lang w:val="en-US" w:eastAsia="zh-CN"/>
        </w:rPr>
        <w:t>207.26</w:t>
      </w:r>
      <w:r>
        <w:rPr>
          <w:rFonts w:hint="eastAsia" w:ascii="仿宋_GB2312" w:hAnsi="仿宋_GB2312" w:eastAsia="仿宋_GB2312" w:cs="仿宋_GB2312"/>
          <w:sz w:val="32"/>
          <w:szCs w:val="32"/>
        </w:rPr>
        <w:t>万元，增长</w:t>
      </w:r>
      <w:r>
        <w:rPr>
          <w:rFonts w:hint="eastAsia" w:ascii="仿宋_GB2312" w:hAnsi="仿宋_GB2312" w:eastAsia="仿宋_GB2312" w:cs="仿宋_GB2312"/>
          <w:sz w:val="32"/>
          <w:szCs w:val="32"/>
          <w:lang w:val="en-US" w:eastAsia="zh-CN"/>
        </w:rPr>
        <w:t>243.38</w:t>
      </w:r>
      <w:r>
        <w:rPr>
          <w:rFonts w:hint="eastAsia" w:ascii="仿宋_GB2312" w:hAnsi="仿宋_GB2312" w:eastAsia="仿宋_GB2312" w:cs="仿宋_GB2312"/>
          <w:sz w:val="32"/>
          <w:szCs w:val="32"/>
        </w:rPr>
        <w:t>%，主要是因为</w:t>
      </w:r>
      <w:r>
        <w:rPr>
          <w:rFonts w:hint="eastAsia" w:ascii="仿宋_GB2312" w:hAnsi="仿宋_GB2312" w:eastAsia="仿宋_GB2312" w:cs="仿宋_GB2312"/>
          <w:color w:val="000000" w:themeColor="text1"/>
          <w:sz w:val="32"/>
          <w:szCs w:val="32"/>
          <w:lang w:eastAsia="zh-CN"/>
          <w14:textFill>
            <w14:solidFill>
              <w14:schemeClr w14:val="tx1"/>
            </w14:solidFill>
          </w14:textFill>
        </w:rPr>
        <w:t>本单位</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2023年度决算数据仅2个月收支，在职及退休人员共计14人，2024年度决算数据为全年收支，在职及退休人员共计21人，其中7人10月份从开发区调入我单位，1人10月份退伍安置至我单位，两者在核算时长、人员数量上存在显著差异。</w:t>
      </w:r>
    </w:p>
    <w:p w14:paraId="2D935727">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二、收入决算情况说明</w:t>
      </w:r>
    </w:p>
    <w:p w14:paraId="5407BD08">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年度收入合计</w:t>
      </w:r>
      <w:r>
        <w:rPr>
          <w:rFonts w:hint="eastAsia" w:ascii="仿宋_GB2312" w:hAnsi="仿宋_GB2312" w:eastAsia="仿宋_GB2312" w:cs="仿宋_GB2312"/>
          <w:sz w:val="32"/>
          <w:szCs w:val="32"/>
          <w:lang w:val="en-US" w:eastAsia="zh-CN"/>
        </w:rPr>
        <w:t>290.06</w:t>
      </w:r>
      <w:r>
        <w:rPr>
          <w:rFonts w:hint="eastAsia" w:ascii="仿宋_GB2312" w:hAnsi="仿宋_GB2312" w:eastAsia="仿宋_GB2312" w:cs="仿宋_GB2312"/>
          <w:sz w:val="32"/>
          <w:szCs w:val="32"/>
        </w:rPr>
        <w:t>万元，其中：财政拨款收入</w:t>
      </w:r>
      <w:r>
        <w:rPr>
          <w:rFonts w:hint="eastAsia" w:ascii="仿宋_GB2312" w:hAnsi="仿宋_GB2312" w:eastAsia="仿宋_GB2312" w:cs="仿宋_GB2312"/>
          <w:sz w:val="32"/>
          <w:szCs w:val="32"/>
          <w:lang w:val="en-US" w:eastAsia="zh-CN"/>
        </w:rPr>
        <w:t>253.79</w:t>
      </w:r>
      <w:r>
        <w:rPr>
          <w:rFonts w:hint="eastAsia" w:ascii="仿宋_GB2312" w:hAnsi="仿宋_GB2312" w:eastAsia="仿宋_GB2312" w:cs="仿宋_GB2312"/>
          <w:sz w:val="32"/>
          <w:szCs w:val="32"/>
        </w:rPr>
        <w:t>元，占</w:t>
      </w:r>
      <w:r>
        <w:rPr>
          <w:rFonts w:hint="eastAsia" w:ascii="仿宋_GB2312" w:hAnsi="仿宋_GB2312" w:eastAsia="仿宋_GB2312" w:cs="仿宋_GB2312"/>
          <w:sz w:val="32"/>
          <w:szCs w:val="32"/>
          <w:lang w:val="en-US" w:eastAsia="zh-CN"/>
        </w:rPr>
        <w:t>87.5</w:t>
      </w:r>
      <w:r>
        <w:rPr>
          <w:rFonts w:hint="eastAsia" w:ascii="仿宋_GB2312" w:hAnsi="仿宋_GB2312" w:eastAsia="仿宋_GB2312" w:cs="仿宋_GB2312"/>
          <w:sz w:val="32"/>
          <w:szCs w:val="32"/>
        </w:rPr>
        <w:t>%；上级补助收入</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%；事业收入</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元，占</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%；经营收入</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%；附属单位上缴收入</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%；其他收入</w:t>
      </w:r>
      <w:r>
        <w:rPr>
          <w:rFonts w:hint="eastAsia" w:ascii="仿宋_GB2312" w:hAnsi="仿宋_GB2312" w:eastAsia="仿宋_GB2312" w:cs="仿宋_GB2312"/>
          <w:sz w:val="32"/>
          <w:szCs w:val="32"/>
          <w:lang w:val="en-US" w:eastAsia="zh-CN"/>
        </w:rPr>
        <w:t>36.27</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12.5</w:t>
      </w:r>
      <w:r>
        <w:rPr>
          <w:rFonts w:hint="eastAsia" w:ascii="仿宋_GB2312" w:hAnsi="仿宋_GB2312" w:eastAsia="仿宋_GB2312" w:cs="仿宋_GB2312"/>
          <w:sz w:val="32"/>
          <w:szCs w:val="32"/>
        </w:rPr>
        <w:t>%。</w:t>
      </w:r>
    </w:p>
    <w:p w14:paraId="0D88C9DE">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三、支出决算情况说明</w:t>
      </w:r>
    </w:p>
    <w:p w14:paraId="501EE413">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年度支出合计</w:t>
      </w:r>
      <w:r>
        <w:rPr>
          <w:rFonts w:hint="eastAsia" w:ascii="仿宋_GB2312" w:hAnsi="仿宋_GB2312" w:eastAsia="仿宋_GB2312" w:cs="仿宋_GB2312"/>
          <w:sz w:val="32"/>
          <w:szCs w:val="32"/>
          <w:lang w:val="en-US" w:eastAsia="zh-CN"/>
        </w:rPr>
        <w:t>292.42</w:t>
      </w:r>
      <w:r>
        <w:rPr>
          <w:rFonts w:hint="eastAsia" w:ascii="仿宋_GB2312" w:hAnsi="仿宋_GB2312" w:eastAsia="仿宋_GB2312" w:cs="仿宋_GB2312"/>
          <w:sz w:val="32"/>
          <w:szCs w:val="32"/>
        </w:rPr>
        <w:t>万元，其中：基本支出</w:t>
      </w:r>
      <w:r>
        <w:rPr>
          <w:rFonts w:hint="eastAsia" w:ascii="仿宋_GB2312" w:hAnsi="仿宋_GB2312" w:eastAsia="仿宋_GB2312" w:cs="仿宋_GB2312"/>
          <w:sz w:val="32"/>
          <w:szCs w:val="32"/>
          <w:lang w:val="en-US" w:eastAsia="zh-CN"/>
        </w:rPr>
        <w:t>263.2</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90.0</w:t>
      </w:r>
      <w:r>
        <w:rPr>
          <w:rFonts w:hint="eastAsia" w:ascii="仿宋_GB2312" w:hAnsi="仿宋_GB2312" w:eastAsia="仿宋_GB2312" w:cs="仿宋_GB2312"/>
          <w:sz w:val="32"/>
          <w:szCs w:val="32"/>
        </w:rPr>
        <w:t>%；项目支出</w:t>
      </w:r>
      <w:r>
        <w:rPr>
          <w:rFonts w:hint="eastAsia" w:ascii="仿宋_GB2312" w:hAnsi="仿宋_GB2312" w:eastAsia="仿宋_GB2312" w:cs="仿宋_GB2312"/>
          <w:sz w:val="32"/>
          <w:szCs w:val="32"/>
          <w:lang w:val="en-US" w:eastAsia="zh-CN"/>
        </w:rPr>
        <w:t>29.22</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10.0</w:t>
      </w:r>
      <w:r>
        <w:rPr>
          <w:rFonts w:hint="eastAsia" w:ascii="仿宋_GB2312" w:hAnsi="仿宋_GB2312" w:eastAsia="仿宋_GB2312" w:cs="仿宋_GB2312"/>
          <w:sz w:val="32"/>
          <w:szCs w:val="32"/>
        </w:rPr>
        <w:t>%；上缴上级支出</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%；经营支出</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%；对附属单位补助支出</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w:t>
      </w:r>
    </w:p>
    <w:p w14:paraId="4A7F55D3">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四、财政拨款收入支出决算总体情况说明</w:t>
      </w:r>
    </w:p>
    <w:p w14:paraId="2000A517">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default"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年度财政拨款收、支总计</w:t>
      </w:r>
      <w:r>
        <w:rPr>
          <w:rFonts w:hint="eastAsia" w:ascii="仿宋_GB2312" w:hAnsi="仿宋_GB2312" w:eastAsia="仿宋_GB2312" w:cs="仿宋_GB2312"/>
          <w:sz w:val="32"/>
          <w:szCs w:val="32"/>
          <w:lang w:val="en-US" w:eastAsia="zh-CN"/>
        </w:rPr>
        <w:t>253.79</w:t>
      </w:r>
      <w:r>
        <w:rPr>
          <w:rFonts w:hint="eastAsia" w:ascii="仿宋_GB2312" w:hAnsi="仿宋_GB2312" w:eastAsia="仿宋_GB2312" w:cs="仿宋_GB2312"/>
          <w:sz w:val="32"/>
          <w:szCs w:val="32"/>
        </w:rPr>
        <w:t>万元，与上年相比，增加</w:t>
      </w:r>
      <w:r>
        <w:rPr>
          <w:rFonts w:hint="eastAsia" w:ascii="仿宋_GB2312" w:hAnsi="仿宋_GB2312" w:eastAsia="仿宋_GB2312" w:cs="仿宋_GB2312"/>
          <w:sz w:val="32"/>
          <w:szCs w:val="32"/>
          <w:lang w:val="en-US" w:eastAsia="zh-CN"/>
        </w:rPr>
        <w:t>192.68</w:t>
      </w:r>
      <w:r>
        <w:rPr>
          <w:rFonts w:hint="eastAsia" w:ascii="仿宋_GB2312" w:hAnsi="仿宋_GB2312" w:eastAsia="仿宋_GB2312" w:cs="仿宋_GB2312"/>
          <w:sz w:val="32"/>
          <w:szCs w:val="32"/>
        </w:rPr>
        <w:t>万元,增长</w:t>
      </w:r>
      <w:r>
        <w:rPr>
          <w:rFonts w:hint="eastAsia" w:ascii="仿宋_GB2312" w:hAnsi="仿宋_GB2312" w:eastAsia="仿宋_GB2312" w:cs="仿宋_GB2312"/>
          <w:sz w:val="32"/>
          <w:szCs w:val="32"/>
          <w:lang w:val="en-US" w:eastAsia="zh-CN"/>
        </w:rPr>
        <w:t>315.3</w:t>
      </w:r>
      <w:r>
        <w:rPr>
          <w:rFonts w:hint="eastAsia" w:ascii="仿宋_GB2312" w:hAnsi="仿宋_GB2312" w:eastAsia="仿宋_GB2312" w:cs="仿宋_GB2312"/>
          <w:sz w:val="32"/>
          <w:szCs w:val="32"/>
        </w:rPr>
        <w:t>%，主要是因为</w:t>
      </w:r>
      <w:r>
        <w:rPr>
          <w:rFonts w:hint="eastAsia" w:ascii="仿宋_GB2312" w:hAnsi="仿宋_GB2312" w:eastAsia="仿宋_GB2312" w:cs="仿宋_GB2312"/>
          <w:color w:val="000000" w:themeColor="text1"/>
          <w:sz w:val="32"/>
          <w:szCs w:val="32"/>
          <w:lang w:eastAsia="zh-CN"/>
          <w14:textFill>
            <w14:solidFill>
              <w14:schemeClr w14:val="tx1"/>
            </w14:solidFill>
          </w14:textFill>
        </w:rPr>
        <w:t>本单位</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2023年度决算数据仅2个月收支，在职及退休人员共计14人，2024年度决算数据为全年收支，在职及退休人员共计21人，其中7人10月份从开发区调入我单位，1人10月份退伍安置至我单位，两者在核算时长、人员数量上存在显著差异。</w:t>
      </w:r>
    </w:p>
    <w:p w14:paraId="426E7E1D">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五、一般公共预算财政拨款支出决算情况说明</w:t>
      </w:r>
    </w:p>
    <w:p w14:paraId="31598AC0">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b w:val="0"/>
          <w:bCs/>
          <w:sz w:val="32"/>
          <w:szCs w:val="32"/>
        </w:rPr>
      </w:pPr>
      <w:r>
        <w:rPr>
          <w:rFonts w:hint="eastAsia" w:ascii="仿宋_GB2312" w:hAnsi="仿宋_GB2312" w:eastAsia="仿宋_GB2312" w:cs="仿宋_GB2312"/>
          <w:b w:val="0"/>
          <w:bCs/>
          <w:sz w:val="32"/>
          <w:szCs w:val="32"/>
        </w:rPr>
        <w:t>（一）一般公共预算财政拨款支出决算总体情况</w:t>
      </w:r>
    </w:p>
    <w:p w14:paraId="60152D7E">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年度财政拨款支出</w:t>
      </w:r>
      <w:r>
        <w:rPr>
          <w:rFonts w:hint="eastAsia" w:ascii="仿宋_GB2312" w:hAnsi="仿宋_GB2312" w:eastAsia="仿宋_GB2312" w:cs="仿宋_GB2312"/>
          <w:sz w:val="32"/>
          <w:szCs w:val="32"/>
          <w:lang w:val="en-US" w:eastAsia="zh-CN"/>
        </w:rPr>
        <w:t>253.79</w:t>
      </w:r>
      <w:r>
        <w:rPr>
          <w:rFonts w:hint="eastAsia" w:ascii="仿宋_GB2312" w:hAnsi="仿宋_GB2312" w:eastAsia="仿宋_GB2312" w:cs="仿宋_GB2312"/>
          <w:sz w:val="32"/>
          <w:szCs w:val="32"/>
        </w:rPr>
        <w:t>万元，占本年支出合计的</w:t>
      </w:r>
      <w:r>
        <w:rPr>
          <w:rFonts w:hint="eastAsia" w:ascii="仿宋_GB2312" w:hAnsi="仿宋_GB2312" w:eastAsia="仿宋_GB2312" w:cs="仿宋_GB2312"/>
          <w:sz w:val="32"/>
          <w:szCs w:val="32"/>
          <w:lang w:val="en-US" w:eastAsia="zh-CN"/>
        </w:rPr>
        <w:t>86.79</w:t>
      </w:r>
      <w:r>
        <w:rPr>
          <w:rFonts w:hint="eastAsia" w:ascii="仿宋_GB2312" w:hAnsi="仿宋_GB2312" w:eastAsia="仿宋_GB2312" w:cs="仿宋_GB2312"/>
          <w:sz w:val="32"/>
          <w:szCs w:val="32"/>
        </w:rPr>
        <w:t>%，与上年相比，财政拨款支出增加</w:t>
      </w:r>
      <w:r>
        <w:rPr>
          <w:rFonts w:hint="eastAsia" w:ascii="仿宋_GB2312" w:hAnsi="仿宋_GB2312" w:eastAsia="仿宋_GB2312" w:cs="仿宋_GB2312"/>
          <w:sz w:val="32"/>
          <w:szCs w:val="32"/>
          <w:lang w:val="en-US" w:eastAsia="zh-CN"/>
        </w:rPr>
        <w:t>192.68</w:t>
      </w:r>
      <w:r>
        <w:rPr>
          <w:rFonts w:hint="eastAsia" w:ascii="仿宋_GB2312" w:hAnsi="仿宋_GB2312" w:eastAsia="仿宋_GB2312" w:cs="仿宋_GB2312"/>
          <w:sz w:val="32"/>
          <w:szCs w:val="32"/>
        </w:rPr>
        <w:t>万元，增长</w:t>
      </w:r>
      <w:r>
        <w:rPr>
          <w:rFonts w:hint="eastAsia" w:ascii="仿宋_GB2312" w:hAnsi="仿宋_GB2312" w:eastAsia="仿宋_GB2312" w:cs="仿宋_GB2312"/>
          <w:sz w:val="32"/>
          <w:szCs w:val="32"/>
          <w:lang w:val="en-US" w:eastAsia="zh-CN"/>
        </w:rPr>
        <w:t>315.3</w:t>
      </w:r>
      <w:r>
        <w:rPr>
          <w:rFonts w:hint="eastAsia" w:ascii="仿宋_GB2312" w:hAnsi="仿宋_GB2312" w:eastAsia="仿宋_GB2312" w:cs="仿宋_GB2312"/>
          <w:sz w:val="32"/>
          <w:szCs w:val="32"/>
        </w:rPr>
        <w:t>%，主要是因为</w:t>
      </w:r>
      <w:r>
        <w:rPr>
          <w:rFonts w:hint="eastAsia" w:ascii="仿宋_GB2312" w:hAnsi="仿宋_GB2312" w:eastAsia="仿宋_GB2312" w:cs="仿宋_GB2312"/>
          <w:color w:val="000000" w:themeColor="text1"/>
          <w:sz w:val="32"/>
          <w:szCs w:val="32"/>
          <w:lang w:eastAsia="zh-CN"/>
          <w14:textFill>
            <w14:solidFill>
              <w14:schemeClr w14:val="tx1"/>
            </w14:solidFill>
          </w14:textFill>
        </w:rPr>
        <w:t>本单位</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2023年度决算数据仅2个月收支，在职及退休人员共计14人，2024年度决算数据为全年收支，在职及退休人员共计21人，其中7人10月份从开发区调入我单位，1人10月份退伍安置至我单位，两者在核算时长、人员数量上存在显著差异。</w:t>
      </w:r>
    </w:p>
    <w:p w14:paraId="6D728762">
      <w:pPr>
        <w:pStyle w:val="13"/>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b w:val="0"/>
          <w:bCs/>
          <w:sz w:val="32"/>
          <w:szCs w:val="32"/>
        </w:rPr>
      </w:pPr>
      <w:r>
        <w:rPr>
          <w:rFonts w:hint="eastAsia" w:ascii="仿宋_GB2312" w:hAnsi="仿宋_GB2312" w:eastAsia="仿宋_GB2312" w:cs="仿宋_GB2312"/>
          <w:b w:val="0"/>
          <w:bCs/>
          <w:sz w:val="32"/>
          <w:szCs w:val="32"/>
        </w:rPr>
        <w:t>（二）一般公共预算财政拨款支出决算结构情况</w:t>
      </w:r>
    </w:p>
    <w:p w14:paraId="75202863">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年度财政拨款支出</w:t>
      </w:r>
      <w:r>
        <w:rPr>
          <w:rFonts w:hint="eastAsia" w:ascii="仿宋_GB2312" w:hAnsi="仿宋_GB2312" w:eastAsia="仿宋_GB2312" w:cs="仿宋_GB2312"/>
          <w:sz w:val="32"/>
          <w:szCs w:val="32"/>
          <w:lang w:val="en-US" w:eastAsia="zh-CN"/>
        </w:rPr>
        <w:t>253.79</w:t>
      </w:r>
      <w:r>
        <w:rPr>
          <w:rFonts w:hint="eastAsia" w:ascii="仿宋_GB2312" w:hAnsi="仿宋_GB2312" w:eastAsia="仿宋_GB2312" w:cs="仿宋_GB2312"/>
          <w:sz w:val="32"/>
          <w:szCs w:val="32"/>
        </w:rPr>
        <w:t>万元，主要用于以下方面：</w:t>
      </w:r>
      <w:r>
        <w:rPr>
          <w:rFonts w:hint="eastAsia" w:ascii="仿宋_GB2312" w:hAnsi="仿宋_GB2312" w:eastAsia="仿宋_GB2312" w:cs="仿宋_GB2312"/>
          <w:sz w:val="32"/>
          <w:szCs w:val="32"/>
          <w:lang w:eastAsia="zh-CN"/>
        </w:rPr>
        <w:t>社会保障和就业</w:t>
      </w:r>
      <w:r>
        <w:rPr>
          <w:rFonts w:hint="eastAsia" w:ascii="仿宋_GB2312" w:hAnsi="仿宋_GB2312" w:eastAsia="仿宋_GB2312" w:cs="仿宋_GB2312"/>
          <w:sz w:val="32"/>
          <w:szCs w:val="32"/>
        </w:rPr>
        <w:t>（类）支出</w:t>
      </w:r>
      <w:r>
        <w:rPr>
          <w:rFonts w:hint="eastAsia" w:ascii="仿宋_GB2312" w:hAnsi="仿宋_GB2312" w:eastAsia="仿宋_GB2312" w:cs="仿宋_GB2312"/>
          <w:sz w:val="32"/>
          <w:szCs w:val="32"/>
          <w:lang w:val="en-US" w:eastAsia="zh-CN"/>
        </w:rPr>
        <w:t>20.67</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8.14</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城乡社区</w:t>
      </w:r>
      <w:r>
        <w:rPr>
          <w:rFonts w:hint="eastAsia" w:ascii="仿宋_GB2312" w:hAnsi="仿宋_GB2312" w:eastAsia="仿宋_GB2312" w:cs="仿宋_GB2312"/>
          <w:sz w:val="32"/>
          <w:szCs w:val="32"/>
        </w:rPr>
        <w:t>（类）支出</w:t>
      </w:r>
      <w:r>
        <w:rPr>
          <w:rFonts w:hint="eastAsia" w:ascii="仿宋_GB2312" w:hAnsi="仿宋_GB2312" w:eastAsia="仿宋_GB2312" w:cs="仿宋_GB2312"/>
          <w:sz w:val="32"/>
          <w:szCs w:val="32"/>
          <w:lang w:val="en-US" w:eastAsia="zh-CN"/>
        </w:rPr>
        <w:t>58.23</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22.94</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资源勘探工业信息等</w:t>
      </w:r>
      <w:r>
        <w:rPr>
          <w:rFonts w:hint="eastAsia" w:ascii="仿宋_GB2312" w:hAnsi="仿宋_GB2312" w:eastAsia="仿宋_GB2312" w:cs="仿宋_GB2312"/>
          <w:sz w:val="32"/>
          <w:szCs w:val="32"/>
        </w:rPr>
        <w:t>（类）支出</w:t>
      </w:r>
      <w:r>
        <w:rPr>
          <w:rFonts w:hint="eastAsia" w:ascii="仿宋_GB2312" w:hAnsi="仿宋_GB2312" w:eastAsia="仿宋_GB2312" w:cs="仿宋_GB2312"/>
          <w:sz w:val="32"/>
          <w:szCs w:val="32"/>
          <w:lang w:val="en-US" w:eastAsia="zh-CN"/>
        </w:rPr>
        <w:t>160.92</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63.41</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住房保障</w:t>
      </w:r>
      <w:r>
        <w:rPr>
          <w:rFonts w:hint="eastAsia" w:ascii="仿宋_GB2312" w:hAnsi="仿宋_GB2312" w:eastAsia="仿宋_GB2312" w:cs="仿宋_GB2312"/>
          <w:sz w:val="32"/>
          <w:szCs w:val="32"/>
        </w:rPr>
        <w:t>（类）支出</w:t>
      </w:r>
      <w:r>
        <w:rPr>
          <w:rFonts w:hint="eastAsia" w:ascii="仿宋_GB2312" w:hAnsi="仿宋_GB2312" w:eastAsia="仿宋_GB2312" w:cs="仿宋_GB2312"/>
          <w:sz w:val="32"/>
          <w:szCs w:val="32"/>
          <w:lang w:val="en-US" w:eastAsia="zh-CN"/>
        </w:rPr>
        <w:t>13.97</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5.51</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w:t>
      </w:r>
    </w:p>
    <w:p w14:paraId="66E663E0">
      <w:pPr>
        <w:pStyle w:val="13"/>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b w:val="0"/>
          <w:bCs/>
          <w:sz w:val="32"/>
          <w:szCs w:val="32"/>
        </w:rPr>
      </w:pPr>
      <w:r>
        <w:rPr>
          <w:rFonts w:hint="eastAsia" w:ascii="仿宋_GB2312" w:hAnsi="仿宋_GB2312" w:eastAsia="仿宋_GB2312" w:cs="仿宋_GB2312"/>
          <w:b w:val="0"/>
          <w:bCs/>
          <w:sz w:val="32"/>
          <w:szCs w:val="32"/>
        </w:rPr>
        <w:t>（三）一般公共预算财政拨款支出决算具体情况</w:t>
      </w:r>
    </w:p>
    <w:p w14:paraId="75327C03">
      <w:pPr>
        <w:pStyle w:val="13"/>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年度财政拨款支出年初预算数为</w:t>
      </w:r>
      <w:r>
        <w:rPr>
          <w:rFonts w:hint="eastAsia" w:ascii="仿宋_GB2312" w:hAnsi="仿宋_GB2312" w:eastAsia="仿宋_GB2312" w:cs="仿宋_GB2312"/>
          <w:sz w:val="32"/>
          <w:szCs w:val="32"/>
          <w:lang w:val="en-US" w:eastAsia="zh-CN"/>
        </w:rPr>
        <w:t>196.67</w:t>
      </w:r>
      <w:r>
        <w:rPr>
          <w:rFonts w:hint="eastAsia" w:ascii="仿宋_GB2312" w:hAnsi="仿宋_GB2312" w:eastAsia="仿宋_GB2312" w:cs="仿宋_GB2312"/>
          <w:sz w:val="32"/>
          <w:szCs w:val="32"/>
        </w:rPr>
        <w:t>万元，支出决算数为</w:t>
      </w:r>
      <w:r>
        <w:rPr>
          <w:rFonts w:hint="eastAsia" w:ascii="仿宋_GB2312" w:hAnsi="仿宋_GB2312" w:eastAsia="仿宋_GB2312" w:cs="仿宋_GB2312"/>
          <w:sz w:val="32"/>
          <w:szCs w:val="32"/>
          <w:lang w:val="en-US" w:eastAsia="zh-CN"/>
        </w:rPr>
        <w:t>253.79</w:t>
      </w:r>
      <w:r>
        <w:rPr>
          <w:rFonts w:hint="eastAsia" w:ascii="仿宋_GB2312" w:hAnsi="仿宋_GB2312" w:eastAsia="仿宋_GB2312" w:cs="仿宋_GB2312"/>
          <w:sz w:val="32"/>
          <w:szCs w:val="32"/>
        </w:rPr>
        <w:t>万元，完成年初预算的</w:t>
      </w:r>
      <w:r>
        <w:rPr>
          <w:rFonts w:hint="eastAsia" w:ascii="仿宋_GB2312" w:hAnsi="仿宋_GB2312" w:eastAsia="仿宋_GB2312" w:cs="仿宋_GB2312"/>
          <w:sz w:val="32"/>
          <w:szCs w:val="32"/>
          <w:lang w:val="en-US" w:eastAsia="zh-CN"/>
        </w:rPr>
        <w:t>129.04</w:t>
      </w:r>
      <w:r>
        <w:rPr>
          <w:rFonts w:hint="eastAsia" w:ascii="仿宋_GB2312" w:hAnsi="仿宋_GB2312" w:eastAsia="仿宋_GB2312" w:cs="仿宋_GB2312"/>
          <w:sz w:val="32"/>
          <w:szCs w:val="32"/>
        </w:rPr>
        <w:t>%，其中：</w:t>
      </w:r>
    </w:p>
    <w:p w14:paraId="3C369BA7">
      <w:pPr>
        <w:pStyle w:val="13"/>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w:t>
      </w:r>
      <w:r>
        <w:rPr>
          <w:rFonts w:hint="eastAsia" w:ascii="仿宋_GB2312" w:hAnsi="仿宋_GB2312" w:eastAsia="仿宋_GB2312" w:cs="仿宋_GB2312"/>
          <w:sz w:val="32"/>
          <w:szCs w:val="32"/>
          <w:lang w:eastAsia="zh-CN"/>
        </w:rPr>
        <w:t>社会保障和就业支出</w:t>
      </w:r>
      <w:r>
        <w:rPr>
          <w:rFonts w:hint="eastAsia" w:ascii="仿宋_GB2312" w:hAnsi="仿宋_GB2312" w:eastAsia="仿宋_GB2312" w:cs="仿宋_GB2312"/>
          <w:sz w:val="32"/>
          <w:szCs w:val="32"/>
        </w:rPr>
        <w:t>（类）</w:t>
      </w:r>
      <w:r>
        <w:rPr>
          <w:rFonts w:hint="eastAsia" w:ascii="仿宋_GB2312" w:hAnsi="仿宋_GB2312" w:eastAsia="仿宋_GB2312" w:cs="仿宋_GB2312"/>
          <w:sz w:val="32"/>
          <w:szCs w:val="32"/>
          <w:lang w:eastAsia="zh-CN"/>
        </w:rPr>
        <w:t>行政事业单位养老支出</w:t>
      </w:r>
      <w:r>
        <w:rPr>
          <w:rFonts w:hint="eastAsia" w:ascii="仿宋_GB2312" w:hAnsi="仿宋_GB2312" w:eastAsia="仿宋_GB2312" w:cs="仿宋_GB2312"/>
          <w:sz w:val="32"/>
          <w:szCs w:val="32"/>
        </w:rPr>
        <w:t>（款）</w:t>
      </w:r>
      <w:r>
        <w:rPr>
          <w:rFonts w:hint="eastAsia" w:ascii="仿宋_GB2312" w:hAnsi="仿宋_GB2312" w:eastAsia="仿宋_GB2312" w:cs="仿宋_GB2312"/>
          <w:sz w:val="32"/>
          <w:szCs w:val="32"/>
          <w:lang w:eastAsia="zh-CN"/>
        </w:rPr>
        <w:t>机关事业单位基本养老保险缴费支出</w:t>
      </w:r>
      <w:r>
        <w:rPr>
          <w:rFonts w:hint="eastAsia" w:ascii="仿宋_GB2312" w:hAnsi="仿宋_GB2312" w:eastAsia="仿宋_GB2312" w:cs="仿宋_GB2312"/>
          <w:sz w:val="32"/>
          <w:szCs w:val="32"/>
        </w:rPr>
        <w:t>（项）。</w:t>
      </w:r>
    </w:p>
    <w:p w14:paraId="6C24E164">
      <w:pPr>
        <w:pStyle w:val="13"/>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highlight w:val="yellow"/>
          <w:lang w:eastAsia="zh-CN"/>
        </w:rPr>
      </w:pPr>
      <w:r>
        <w:rPr>
          <w:rFonts w:hint="eastAsia" w:ascii="仿宋_GB2312" w:hAnsi="仿宋_GB2312" w:eastAsia="仿宋_GB2312" w:cs="仿宋_GB2312"/>
          <w:sz w:val="32"/>
          <w:szCs w:val="32"/>
        </w:rPr>
        <w:t>年初预算为</w:t>
      </w:r>
      <w:r>
        <w:rPr>
          <w:rFonts w:hint="eastAsia" w:ascii="仿宋_GB2312" w:hAnsi="仿宋_GB2312" w:eastAsia="仿宋_GB2312" w:cs="仿宋_GB2312"/>
          <w:sz w:val="32"/>
          <w:szCs w:val="32"/>
          <w:lang w:val="en-US" w:eastAsia="zh-CN"/>
        </w:rPr>
        <w:t>19.36</w:t>
      </w:r>
      <w:r>
        <w:rPr>
          <w:rFonts w:hint="eastAsia" w:ascii="仿宋_GB2312" w:hAnsi="仿宋_GB2312" w:eastAsia="仿宋_GB2312" w:cs="仿宋_GB2312"/>
          <w:sz w:val="32"/>
          <w:szCs w:val="32"/>
        </w:rPr>
        <w:t>万元，支出决算为</w:t>
      </w:r>
      <w:r>
        <w:rPr>
          <w:rFonts w:hint="eastAsia" w:ascii="仿宋_GB2312" w:hAnsi="仿宋_GB2312" w:eastAsia="仿宋_GB2312" w:cs="仿宋_GB2312"/>
          <w:sz w:val="32"/>
          <w:szCs w:val="32"/>
          <w:lang w:val="en-US" w:eastAsia="zh-CN"/>
        </w:rPr>
        <w:t>18.83</w:t>
      </w:r>
      <w:r>
        <w:rPr>
          <w:rFonts w:hint="eastAsia" w:ascii="仿宋_GB2312" w:hAnsi="仿宋_GB2312" w:eastAsia="仿宋_GB2312" w:cs="仿宋_GB2312"/>
          <w:sz w:val="32"/>
          <w:szCs w:val="32"/>
        </w:rPr>
        <w:t>万元，完成年初预算的</w:t>
      </w:r>
      <w:r>
        <w:rPr>
          <w:rFonts w:hint="eastAsia" w:ascii="仿宋_GB2312" w:hAnsi="仿宋_GB2312" w:eastAsia="仿宋_GB2312" w:cs="仿宋_GB2312"/>
          <w:sz w:val="32"/>
          <w:szCs w:val="32"/>
          <w:lang w:val="en-US" w:eastAsia="zh-CN"/>
        </w:rPr>
        <w:t>97.26</w:t>
      </w:r>
      <w:r>
        <w:rPr>
          <w:rFonts w:hint="eastAsia" w:ascii="仿宋_GB2312" w:hAnsi="仿宋_GB2312" w:eastAsia="仿宋_GB2312" w:cs="仿宋_GB2312"/>
          <w:sz w:val="32"/>
          <w:szCs w:val="32"/>
        </w:rPr>
        <w:t>%，决算数小于年初预算数的主要原因是</w:t>
      </w:r>
      <w:r>
        <w:rPr>
          <w:rFonts w:hint="eastAsia" w:ascii="仿宋_GB2312" w:hAnsi="仿宋_GB2312" w:eastAsia="仿宋_GB2312" w:cs="仿宋_GB2312"/>
          <w:sz w:val="32"/>
          <w:szCs w:val="32"/>
          <w:highlight w:val="none"/>
        </w:rPr>
        <w:t>：</w:t>
      </w:r>
      <w:r>
        <w:rPr>
          <w:rFonts w:hint="eastAsia" w:ascii="仿宋_GB2312" w:hAnsi="仿宋_GB2312" w:eastAsia="仿宋_GB2312" w:cs="仿宋_GB2312"/>
          <w:sz w:val="32"/>
          <w:szCs w:val="32"/>
          <w:highlight w:val="none"/>
          <w:lang w:eastAsia="zh-CN"/>
        </w:rPr>
        <w:t>有人员调动。</w:t>
      </w:r>
    </w:p>
    <w:p w14:paraId="5E3FCF91">
      <w:pPr>
        <w:pStyle w:val="13"/>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w:t>
      </w:r>
      <w:r>
        <w:rPr>
          <w:rFonts w:hint="eastAsia" w:ascii="仿宋_GB2312" w:hAnsi="仿宋_GB2312" w:eastAsia="仿宋_GB2312" w:cs="仿宋_GB2312"/>
          <w:sz w:val="32"/>
          <w:szCs w:val="32"/>
          <w:lang w:eastAsia="zh-CN"/>
        </w:rPr>
        <w:t>社会保障和就业支出</w:t>
      </w:r>
      <w:r>
        <w:rPr>
          <w:rFonts w:hint="eastAsia" w:ascii="仿宋_GB2312" w:hAnsi="仿宋_GB2312" w:eastAsia="仿宋_GB2312" w:cs="仿宋_GB2312"/>
          <w:sz w:val="32"/>
          <w:szCs w:val="32"/>
        </w:rPr>
        <w:t>（类）</w:t>
      </w:r>
      <w:r>
        <w:rPr>
          <w:rFonts w:hint="eastAsia" w:ascii="仿宋_GB2312" w:hAnsi="仿宋_GB2312" w:eastAsia="仿宋_GB2312" w:cs="仿宋_GB2312"/>
          <w:sz w:val="32"/>
          <w:szCs w:val="32"/>
          <w:lang w:eastAsia="zh-CN"/>
        </w:rPr>
        <w:t>残疾人事业</w:t>
      </w:r>
      <w:r>
        <w:rPr>
          <w:rFonts w:hint="eastAsia" w:ascii="仿宋_GB2312" w:hAnsi="仿宋_GB2312" w:eastAsia="仿宋_GB2312" w:cs="仿宋_GB2312"/>
          <w:sz w:val="32"/>
          <w:szCs w:val="32"/>
        </w:rPr>
        <w:t>（款）</w:t>
      </w:r>
      <w:r>
        <w:rPr>
          <w:rFonts w:hint="eastAsia" w:ascii="仿宋_GB2312" w:hAnsi="仿宋_GB2312" w:eastAsia="仿宋_GB2312" w:cs="仿宋_GB2312"/>
          <w:sz w:val="32"/>
          <w:szCs w:val="32"/>
          <w:lang w:eastAsia="zh-CN"/>
        </w:rPr>
        <w:t>其他残疾人事业支出</w:t>
      </w:r>
      <w:r>
        <w:rPr>
          <w:rFonts w:hint="eastAsia" w:ascii="仿宋_GB2312" w:hAnsi="仿宋_GB2312" w:eastAsia="仿宋_GB2312" w:cs="仿宋_GB2312"/>
          <w:sz w:val="32"/>
          <w:szCs w:val="32"/>
        </w:rPr>
        <w:t>（项）。</w:t>
      </w:r>
    </w:p>
    <w:p w14:paraId="733D2194">
      <w:pPr>
        <w:widowControl w:val="0"/>
        <w:autoSpaceDE w:val="0"/>
        <w:autoSpaceDN w:val="0"/>
        <w:adjustRightInd w:val="0"/>
        <w:ind w:firstLine="800" w:firstLineChars="250"/>
        <w:rPr>
          <w:rFonts w:hint="eastAsia"/>
          <w:lang w:val="en-US" w:eastAsia="zh-CN"/>
        </w:rPr>
      </w:pPr>
      <w:r>
        <w:rPr>
          <w:rFonts w:hint="eastAsia" w:ascii="仿宋_GB2312" w:hAnsi="仿宋_GB2312" w:eastAsia="仿宋_GB2312" w:cs="仿宋_GB2312"/>
          <w:sz w:val="32"/>
          <w:szCs w:val="32"/>
        </w:rPr>
        <w:t>年初预算为</w:t>
      </w:r>
      <w:r>
        <w:rPr>
          <w:rFonts w:hint="eastAsia" w:ascii="仿宋_GB2312" w:hAnsi="仿宋_GB2312" w:eastAsia="仿宋_GB2312" w:cs="仿宋_GB2312"/>
          <w:sz w:val="32"/>
          <w:szCs w:val="32"/>
          <w:lang w:val="en-US" w:eastAsia="zh-CN"/>
        </w:rPr>
        <w:t>1.49</w:t>
      </w:r>
      <w:r>
        <w:rPr>
          <w:rFonts w:hint="eastAsia" w:ascii="仿宋_GB2312" w:hAnsi="仿宋_GB2312" w:eastAsia="仿宋_GB2312" w:cs="仿宋_GB2312"/>
          <w:sz w:val="32"/>
          <w:szCs w:val="32"/>
        </w:rPr>
        <w:t>万元，支出决算为</w:t>
      </w:r>
      <w:r>
        <w:rPr>
          <w:rFonts w:hint="eastAsia" w:ascii="仿宋_GB2312" w:hAnsi="仿宋_GB2312" w:eastAsia="仿宋_GB2312" w:cs="仿宋_GB2312"/>
          <w:sz w:val="32"/>
          <w:szCs w:val="32"/>
          <w:lang w:val="en-US" w:eastAsia="zh-CN"/>
        </w:rPr>
        <w:t>1.49</w:t>
      </w:r>
      <w:r>
        <w:rPr>
          <w:rFonts w:hint="eastAsia" w:ascii="仿宋_GB2312" w:hAnsi="仿宋_GB2312" w:eastAsia="仿宋_GB2312" w:cs="仿宋_GB2312"/>
          <w:sz w:val="32"/>
          <w:szCs w:val="32"/>
        </w:rPr>
        <w:t>万元，</w:t>
      </w:r>
      <w:r>
        <w:rPr>
          <w:rFonts w:hint="eastAsia" w:ascii="仿宋_GB2312" w:hAnsi="仿宋_GB2312" w:eastAsia="仿宋_GB2312" w:cs="仿宋_GB2312"/>
          <w:color w:val="000000"/>
          <w:kern w:val="0"/>
          <w:sz w:val="32"/>
          <w:szCs w:val="32"/>
          <w:lang w:val="en-US" w:eastAsia="zh-CN" w:bidi="ar-SA"/>
        </w:rPr>
        <w:t>完成年初预算的100%，决算数等于年初预算数的主要原因是</w:t>
      </w:r>
      <w:r>
        <w:rPr>
          <w:rFonts w:hint="eastAsia" w:ascii="Times New Roman" w:hAnsi="Times New Roman" w:eastAsia="仿宋_GB2312" w:cs="Times New Roman"/>
          <w:sz w:val="32"/>
          <w:szCs w:val="32"/>
          <w:lang w:eastAsia="zh-CN"/>
        </w:rPr>
        <w:t>我单位严格按照预算执行决算</w:t>
      </w:r>
      <w:r>
        <w:rPr>
          <w:rFonts w:hint="eastAsia" w:ascii="仿宋_GB2312" w:hAnsi="仿宋_GB2312" w:eastAsia="仿宋_GB2312" w:cs="仿宋_GB2312"/>
          <w:color w:val="000000"/>
          <w:kern w:val="0"/>
          <w:sz w:val="32"/>
          <w:szCs w:val="32"/>
          <w:lang w:val="en-US" w:eastAsia="zh-CN" w:bidi="ar-SA"/>
        </w:rPr>
        <w:t>。</w:t>
      </w:r>
    </w:p>
    <w:p w14:paraId="00682939">
      <w:pPr>
        <w:pStyle w:val="13"/>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社会保障和就业支出</w:t>
      </w:r>
      <w:r>
        <w:rPr>
          <w:rFonts w:hint="eastAsia" w:ascii="仿宋_GB2312" w:hAnsi="仿宋_GB2312" w:eastAsia="仿宋_GB2312" w:cs="仿宋_GB2312"/>
          <w:sz w:val="32"/>
          <w:szCs w:val="32"/>
        </w:rPr>
        <w:t>（类）</w:t>
      </w:r>
      <w:r>
        <w:rPr>
          <w:rFonts w:hint="eastAsia" w:ascii="仿宋_GB2312" w:hAnsi="仿宋_GB2312" w:eastAsia="仿宋_GB2312" w:cs="仿宋_GB2312"/>
          <w:sz w:val="32"/>
          <w:szCs w:val="32"/>
          <w:lang w:eastAsia="zh-CN"/>
        </w:rPr>
        <w:t>其他社会保障和就业支出</w:t>
      </w:r>
      <w:r>
        <w:rPr>
          <w:rFonts w:hint="eastAsia" w:ascii="仿宋_GB2312" w:hAnsi="仿宋_GB2312" w:eastAsia="仿宋_GB2312" w:cs="仿宋_GB2312"/>
          <w:sz w:val="32"/>
          <w:szCs w:val="32"/>
        </w:rPr>
        <w:t>（款）</w:t>
      </w:r>
      <w:r>
        <w:rPr>
          <w:rFonts w:hint="eastAsia" w:ascii="仿宋_GB2312" w:hAnsi="仿宋_GB2312" w:eastAsia="仿宋_GB2312" w:cs="仿宋_GB2312"/>
          <w:sz w:val="32"/>
          <w:szCs w:val="32"/>
          <w:lang w:eastAsia="zh-CN"/>
        </w:rPr>
        <w:t>其他社会保障和就业支出</w:t>
      </w:r>
      <w:r>
        <w:rPr>
          <w:rFonts w:hint="eastAsia" w:ascii="仿宋_GB2312" w:hAnsi="仿宋_GB2312" w:eastAsia="仿宋_GB2312" w:cs="仿宋_GB2312"/>
          <w:sz w:val="32"/>
          <w:szCs w:val="32"/>
        </w:rPr>
        <w:t>（项）。</w:t>
      </w:r>
    </w:p>
    <w:p w14:paraId="744D5EAA">
      <w:pPr>
        <w:widowControl w:val="0"/>
        <w:autoSpaceDE w:val="0"/>
        <w:autoSpaceDN w:val="0"/>
        <w:adjustRightInd w:val="0"/>
        <w:ind w:firstLine="800" w:firstLineChars="250"/>
        <w:rPr>
          <w:rFonts w:hint="eastAsia" w:ascii="仿宋_GB2312" w:hAnsi="仿宋_GB2312" w:eastAsia="仿宋_GB2312" w:cs="仿宋_GB2312"/>
          <w:color w:val="000000"/>
          <w:kern w:val="0"/>
          <w:sz w:val="32"/>
          <w:szCs w:val="32"/>
          <w:lang w:val="en-US" w:eastAsia="zh-CN" w:bidi="ar-SA"/>
        </w:rPr>
      </w:pPr>
      <w:r>
        <w:rPr>
          <w:rFonts w:hint="eastAsia" w:ascii="仿宋_GB2312" w:hAnsi="仿宋_GB2312" w:eastAsia="仿宋_GB2312" w:cs="仿宋_GB2312"/>
          <w:sz w:val="32"/>
          <w:szCs w:val="32"/>
        </w:rPr>
        <w:t>年初预算为</w:t>
      </w:r>
      <w:r>
        <w:rPr>
          <w:rFonts w:hint="eastAsia" w:ascii="仿宋_GB2312" w:hAnsi="仿宋_GB2312" w:eastAsia="仿宋_GB2312" w:cs="仿宋_GB2312"/>
          <w:sz w:val="32"/>
          <w:szCs w:val="32"/>
          <w:lang w:val="en-US" w:eastAsia="zh-CN"/>
        </w:rPr>
        <w:t>0.35</w:t>
      </w:r>
      <w:r>
        <w:rPr>
          <w:rFonts w:hint="eastAsia" w:ascii="仿宋_GB2312" w:hAnsi="仿宋_GB2312" w:eastAsia="仿宋_GB2312" w:cs="仿宋_GB2312"/>
          <w:sz w:val="32"/>
          <w:szCs w:val="32"/>
        </w:rPr>
        <w:t>万元，支出决算为</w:t>
      </w:r>
      <w:r>
        <w:rPr>
          <w:rFonts w:hint="eastAsia" w:ascii="仿宋_GB2312" w:hAnsi="仿宋_GB2312" w:eastAsia="仿宋_GB2312" w:cs="仿宋_GB2312"/>
          <w:sz w:val="32"/>
          <w:szCs w:val="32"/>
          <w:lang w:val="en-US" w:eastAsia="zh-CN"/>
        </w:rPr>
        <w:t>0.35</w:t>
      </w:r>
      <w:r>
        <w:rPr>
          <w:rFonts w:hint="eastAsia" w:ascii="仿宋_GB2312" w:hAnsi="仿宋_GB2312" w:eastAsia="仿宋_GB2312" w:cs="仿宋_GB2312"/>
          <w:sz w:val="32"/>
          <w:szCs w:val="32"/>
        </w:rPr>
        <w:t>万元，</w:t>
      </w:r>
      <w:r>
        <w:rPr>
          <w:rFonts w:hint="eastAsia" w:ascii="仿宋_GB2312" w:hAnsi="仿宋_GB2312" w:eastAsia="仿宋_GB2312" w:cs="仿宋_GB2312"/>
          <w:color w:val="000000"/>
          <w:kern w:val="0"/>
          <w:sz w:val="32"/>
          <w:szCs w:val="32"/>
          <w:lang w:val="en-US" w:eastAsia="zh-CN" w:bidi="ar-SA"/>
        </w:rPr>
        <w:t>完成年初预算的100%，决算数等于年初预算数的主要原因是</w:t>
      </w:r>
      <w:r>
        <w:rPr>
          <w:rFonts w:hint="eastAsia" w:ascii="Times New Roman" w:hAnsi="Times New Roman" w:eastAsia="仿宋_GB2312" w:cs="Times New Roman"/>
          <w:sz w:val="32"/>
          <w:szCs w:val="32"/>
          <w:lang w:eastAsia="zh-CN"/>
        </w:rPr>
        <w:t>我单位严格按照预算执行决算</w:t>
      </w:r>
      <w:r>
        <w:rPr>
          <w:rFonts w:hint="eastAsia" w:ascii="仿宋_GB2312" w:hAnsi="仿宋_GB2312" w:eastAsia="仿宋_GB2312" w:cs="仿宋_GB2312"/>
          <w:color w:val="000000"/>
          <w:kern w:val="0"/>
          <w:sz w:val="32"/>
          <w:szCs w:val="32"/>
          <w:lang w:val="en-US" w:eastAsia="zh-CN" w:bidi="ar-SA"/>
        </w:rPr>
        <w:t>。</w:t>
      </w:r>
    </w:p>
    <w:p w14:paraId="5DBC2DB1">
      <w:pPr>
        <w:pStyle w:val="13"/>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城乡社区支出</w:t>
      </w:r>
      <w:r>
        <w:rPr>
          <w:rFonts w:hint="eastAsia" w:ascii="仿宋_GB2312" w:hAnsi="仿宋_GB2312" w:eastAsia="仿宋_GB2312" w:cs="仿宋_GB2312"/>
          <w:sz w:val="32"/>
          <w:szCs w:val="32"/>
        </w:rPr>
        <w:t>（类）</w:t>
      </w:r>
      <w:r>
        <w:rPr>
          <w:rFonts w:hint="eastAsia" w:ascii="仿宋_GB2312" w:hAnsi="仿宋_GB2312" w:eastAsia="仿宋_GB2312" w:cs="仿宋_GB2312"/>
          <w:sz w:val="32"/>
          <w:szCs w:val="32"/>
          <w:lang w:eastAsia="zh-CN"/>
        </w:rPr>
        <w:t>城乡社区管理事务</w:t>
      </w:r>
      <w:r>
        <w:rPr>
          <w:rFonts w:hint="eastAsia" w:ascii="仿宋_GB2312" w:hAnsi="仿宋_GB2312" w:eastAsia="仿宋_GB2312" w:cs="仿宋_GB2312"/>
          <w:sz w:val="32"/>
          <w:szCs w:val="32"/>
        </w:rPr>
        <w:t>（款）</w:t>
      </w:r>
      <w:r>
        <w:rPr>
          <w:rFonts w:hint="eastAsia" w:ascii="仿宋_GB2312" w:hAnsi="仿宋_GB2312" w:eastAsia="仿宋_GB2312" w:cs="仿宋_GB2312"/>
          <w:sz w:val="32"/>
          <w:szCs w:val="32"/>
          <w:lang w:eastAsia="zh-CN"/>
        </w:rPr>
        <w:t>其他城乡社区管理事务支出</w:t>
      </w:r>
      <w:r>
        <w:rPr>
          <w:rFonts w:hint="eastAsia" w:ascii="仿宋_GB2312" w:hAnsi="仿宋_GB2312" w:eastAsia="仿宋_GB2312" w:cs="仿宋_GB2312"/>
          <w:sz w:val="32"/>
          <w:szCs w:val="32"/>
        </w:rPr>
        <w:t>（项）。</w:t>
      </w:r>
    </w:p>
    <w:p w14:paraId="63EC6B30">
      <w:pPr>
        <w:ind w:firstLine="640" w:firstLineChars="200"/>
        <w:rPr>
          <w:rFonts w:hint="default"/>
          <w:lang w:val="en-US" w:eastAsia="zh-CN"/>
        </w:rPr>
      </w:pPr>
      <w:r>
        <w:rPr>
          <w:rFonts w:hint="eastAsia" w:ascii="仿宋_GB2312" w:hAnsi="仿宋_GB2312" w:eastAsia="仿宋_GB2312" w:cs="仿宋_GB2312"/>
          <w:color w:val="auto"/>
          <w:sz w:val="32"/>
          <w:szCs w:val="32"/>
        </w:rPr>
        <w:t>年初预算</w:t>
      </w:r>
      <w:r>
        <w:rPr>
          <w:rFonts w:hint="eastAsia" w:ascii="仿宋_GB2312" w:hAnsi="仿宋_GB2312" w:eastAsia="仿宋_GB2312" w:cs="仿宋_GB2312"/>
          <w:sz w:val="32"/>
          <w:szCs w:val="32"/>
        </w:rPr>
        <w:t>为</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万元，支出决算为</w:t>
      </w:r>
      <w:r>
        <w:rPr>
          <w:rFonts w:hint="eastAsia" w:ascii="仿宋_GB2312" w:hAnsi="仿宋_GB2312" w:eastAsia="仿宋_GB2312" w:cs="仿宋_GB2312"/>
          <w:sz w:val="32"/>
          <w:szCs w:val="32"/>
          <w:lang w:val="en-US" w:eastAsia="zh-CN"/>
        </w:rPr>
        <w:t>40.03</w:t>
      </w:r>
      <w:r>
        <w:rPr>
          <w:rFonts w:hint="eastAsia" w:ascii="仿宋_GB2312" w:hAnsi="仿宋_GB2312" w:eastAsia="仿宋_GB2312" w:cs="仿宋_GB2312"/>
          <w:sz w:val="32"/>
          <w:szCs w:val="32"/>
        </w:rPr>
        <w:t>万元，</w:t>
      </w:r>
      <w:r>
        <w:rPr>
          <w:rFonts w:hint="eastAsia" w:ascii="仿宋_GB2312" w:hAnsi="仿宋_GB2312" w:eastAsia="仿宋_GB2312" w:cs="仿宋_GB2312"/>
          <w:color w:val="000000"/>
          <w:kern w:val="0"/>
          <w:sz w:val="32"/>
          <w:szCs w:val="32"/>
          <w:lang w:val="en-US" w:eastAsia="zh-CN" w:bidi="ar-SA"/>
        </w:rPr>
        <w:t>决算数大于年初预算数的主要原因是年中追加</w:t>
      </w:r>
      <w:r>
        <w:rPr>
          <w:rFonts w:hint="eastAsia" w:ascii="Times New Roman" w:hAnsi="Times New Roman" w:eastAsia="仿宋_GB2312"/>
          <w:sz w:val="32"/>
          <w:szCs w:val="32"/>
          <w:lang w:val="en-US" w:eastAsia="zh-CN"/>
        </w:rPr>
        <w:t>项目经费</w:t>
      </w:r>
      <w:r>
        <w:rPr>
          <w:rFonts w:hint="eastAsia" w:ascii="仿宋_GB2312" w:hAnsi="仿宋_GB2312" w:eastAsia="仿宋_GB2312" w:cs="仿宋_GB2312"/>
          <w:sz w:val="32"/>
          <w:szCs w:val="32"/>
          <w:highlight w:val="none"/>
          <w:lang w:val="en-US" w:eastAsia="zh-CN"/>
        </w:rPr>
        <w:t>以及财政追加安排人员经费补差费用。</w:t>
      </w:r>
    </w:p>
    <w:p w14:paraId="1E23FECB">
      <w:pPr>
        <w:pStyle w:val="13"/>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城乡社区支出</w:t>
      </w:r>
      <w:r>
        <w:rPr>
          <w:rFonts w:hint="eastAsia" w:ascii="仿宋_GB2312" w:hAnsi="仿宋_GB2312" w:eastAsia="仿宋_GB2312" w:cs="仿宋_GB2312"/>
          <w:sz w:val="32"/>
          <w:szCs w:val="32"/>
        </w:rPr>
        <w:t>（类）</w:t>
      </w:r>
      <w:r>
        <w:rPr>
          <w:rFonts w:hint="eastAsia" w:ascii="仿宋_GB2312" w:hAnsi="仿宋_GB2312" w:eastAsia="仿宋_GB2312" w:cs="仿宋_GB2312"/>
          <w:sz w:val="32"/>
          <w:szCs w:val="32"/>
          <w:lang w:eastAsia="zh-CN"/>
        </w:rPr>
        <w:t>其他城乡社区支出</w:t>
      </w:r>
      <w:r>
        <w:rPr>
          <w:rFonts w:hint="eastAsia" w:ascii="仿宋_GB2312" w:hAnsi="仿宋_GB2312" w:eastAsia="仿宋_GB2312" w:cs="仿宋_GB2312"/>
          <w:sz w:val="32"/>
          <w:szCs w:val="32"/>
        </w:rPr>
        <w:t>（款）</w:t>
      </w:r>
      <w:r>
        <w:rPr>
          <w:rFonts w:hint="eastAsia" w:ascii="仿宋_GB2312" w:hAnsi="仿宋_GB2312" w:eastAsia="仿宋_GB2312" w:cs="仿宋_GB2312"/>
          <w:sz w:val="32"/>
          <w:szCs w:val="32"/>
          <w:lang w:eastAsia="zh-CN"/>
        </w:rPr>
        <w:t>其他城乡社区支出</w:t>
      </w:r>
      <w:r>
        <w:rPr>
          <w:rFonts w:hint="eastAsia" w:ascii="仿宋_GB2312" w:hAnsi="仿宋_GB2312" w:eastAsia="仿宋_GB2312" w:cs="仿宋_GB2312"/>
          <w:sz w:val="32"/>
          <w:szCs w:val="32"/>
        </w:rPr>
        <w:t>（项）。</w:t>
      </w:r>
    </w:p>
    <w:p w14:paraId="1FD3D800">
      <w:pPr>
        <w:ind w:firstLine="640" w:firstLineChars="200"/>
        <w:rPr>
          <w:rFonts w:hint="eastAsia"/>
          <w:lang w:val="en-US" w:eastAsia="zh-CN"/>
        </w:rPr>
      </w:pPr>
      <w:r>
        <w:rPr>
          <w:rFonts w:hint="eastAsia" w:ascii="仿宋_GB2312" w:hAnsi="仿宋_GB2312" w:eastAsia="仿宋_GB2312" w:cs="仿宋_GB2312"/>
          <w:color w:val="auto"/>
          <w:sz w:val="32"/>
          <w:szCs w:val="32"/>
        </w:rPr>
        <w:t>年初预算</w:t>
      </w:r>
      <w:r>
        <w:rPr>
          <w:rFonts w:hint="eastAsia" w:ascii="仿宋_GB2312" w:hAnsi="仿宋_GB2312" w:eastAsia="仿宋_GB2312" w:cs="仿宋_GB2312"/>
          <w:sz w:val="32"/>
          <w:szCs w:val="32"/>
        </w:rPr>
        <w:t>为</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万元，支出决算为</w:t>
      </w:r>
      <w:r>
        <w:rPr>
          <w:rFonts w:hint="eastAsia" w:ascii="仿宋_GB2312" w:hAnsi="仿宋_GB2312" w:eastAsia="仿宋_GB2312" w:cs="仿宋_GB2312"/>
          <w:sz w:val="32"/>
          <w:szCs w:val="32"/>
          <w:lang w:val="en-US" w:eastAsia="zh-CN"/>
        </w:rPr>
        <w:t>18.2</w:t>
      </w:r>
      <w:r>
        <w:rPr>
          <w:rFonts w:hint="eastAsia" w:ascii="仿宋_GB2312" w:hAnsi="仿宋_GB2312" w:eastAsia="仿宋_GB2312" w:cs="仿宋_GB2312"/>
          <w:sz w:val="32"/>
          <w:szCs w:val="32"/>
        </w:rPr>
        <w:t>万元，</w:t>
      </w:r>
      <w:r>
        <w:rPr>
          <w:rFonts w:hint="eastAsia" w:ascii="仿宋_GB2312" w:hAnsi="仿宋_GB2312" w:eastAsia="仿宋_GB2312" w:cs="仿宋_GB2312"/>
          <w:color w:val="000000"/>
          <w:kern w:val="0"/>
          <w:sz w:val="32"/>
          <w:szCs w:val="32"/>
          <w:lang w:val="en-US" w:eastAsia="zh-CN" w:bidi="ar-SA"/>
        </w:rPr>
        <w:t>决算数大于年初预算数的主要原因是</w:t>
      </w:r>
      <w:r>
        <w:rPr>
          <w:rFonts w:hint="eastAsia" w:ascii="Times New Roman" w:hAnsi="Times New Roman" w:eastAsia="仿宋_GB2312"/>
          <w:sz w:val="32"/>
          <w:szCs w:val="32"/>
          <w:lang w:val="en-US" w:eastAsia="zh-CN"/>
        </w:rPr>
        <w:t>财政追加安排单位人员上年度年度考核奖金经费，以及单位退休人员第</w:t>
      </w:r>
      <w:r>
        <w:rPr>
          <w:rFonts w:hint="eastAsia" w:ascii="仿宋_GB2312" w:hAnsi="仿宋_GB2312" w:eastAsia="仿宋_GB2312" w:cs="仿宋_GB2312"/>
          <w:sz w:val="32"/>
          <w:szCs w:val="32"/>
          <w:lang w:val="en-US" w:eastAsia="zh-CN"/>
        </w:rPr>
        <w:t>13</w:t>
      </w:r>
      <w:r>
        <w:rPr>
          <w:rFonts w:hint="eastAsia" w:ascii="Times New Roman" w:hAnsi="Times New Roman" w:eastAsia="仿宋_GB2312"/>
          <w:sz w:val="32"/>
          <w:szCs w:val="32"/>
          <w:lang w:val="en-US" w:eastAsia="zh-CN"/>
        </w:rPr>
        <w:t>个月工资。</w:t>
      </w:r>
    </w:p>
    <w:p w14:paraId="0A971F86">
      <w:pPr>
        <w:pStyle w:val="13"/>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6</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资源勘探工业信息等支出</w:t>
      </w:r>
      <w:r>
        <w:rPr>
          <w:rFonts w:hint="eastAsia" w:ascii="仿宋_GB2312" w:hAnsi="仿宋_GB2312" w:eastAsia="仿宋_GB2312" w:cs="仿宋_GB2312"/>
          <w:sz w:val="32"/>
          <w:szCs w:val="32"/>
        </w:rPr>
        <w:t>（类）</w:t>
      </w:r>
      <w:r>
        <w:rPr>
          <w:rFonts w:hint="eastAsia" w:ascii="仿宋_GB2312" w:hAnsi="仿宋_GB2312" w:eastAsia="仿宋_GB2312" w:cs="仿宋_GB2312"/>
          <w:sz w:val="32"/>
          <w:szCs w:val="32"/>
          <w:lang w:eastAsia="zh-CN"/>
        </w:rPr>
        <w:t>建筑业</w:t>
      </w:r>
      <w:r>
        <w:rPr>
          <w:rFonts w:hint="eastAsia" w:ascii="仿宋_GB2312" w:hAnsi="仿宋_GB2312" w:eastAsia="仿宋_GB2312" w:cs="仿宋_GB2312"/>
          <w:sz w:val="32"/>
          <w:szCs w:val="32"/>
        </w:rPr>
        <w:t>（款）</w:t>
      </w:r>
      <w:r>
        <w:rPr>
          <w:rFonts w:hint="eastAsia" w:ascii="仿宋_GB2312" w:hAnsi="仿宋_GB2312" w:eastAsia="仿宋_GB2312" w:cs="仿宋_GB2312"/>
          <w:sz w:val="32"/>
          <w:szCs w:val="32"/>
          <w:lang w:eastAsia="zh-CN"/>
        </w:rPr>
        <w:t>行政运行</w:t>
      </w:r>
      <w:r>
        <w:rPr>
          <w:rFonts w:hint="eastAsia" w:ascii="仿宋_GB2312" w:hAnsi="仿宋_GB2312" w:eastAsia="仿宋_GB2312" w:cs="仿宋_GB2312"/>
          <w:sz w:val="32"/>
          <w:szCs w:val="32"/>
        </w:rPr>
        <w:t>（项）。</w:t>
      </w:r>
    </w:p>
    <w:p w14:paraId="5951D9E6">
      <w:pPr>
        <w:widowControl w:val="0"/>
        <w:autoSpaceDE w:val="0"/>
        <w:autoSpaceDN w:val="0"/>
        <w:adjustRightInd w:val="0"/>
        <w:ind w:firstLine="800" w:firstLineChars="250"/>
        <w:rPr>
          <w:rFonts w:hint="eastAsia" w:ascii="仿宋_GB2312" w:hAnsi="仿宋_GB2312" w:eastAsia="仿宋_GB2312" w:cs="仿宋_GB2312"/>
          <w:color w:val="000000"/>
          <w:kern w:val="0"/>
          <w:sz w:val="32"/>
          <w:szCs w:val="32"/>
          <w:lang w:val="en-US" w:eastAsia="zh-CN" w:bidi="ar-SA"/>
        </w:rPr>
      </w:pPr>
      <w:r>
        <w:rPr>
          <w:rFonts w:hint="eastAsia" w:ascii="仿宋_GB2312" w:hAnsi="仿宋_GB2312" w:eastAsia="仿宋_GB2312" w:cs="仿宋_GB2312"/>
          <w:color w:val="auto"/>
          <w:sz w:val="32"/>
          <w:szCs w:val="32"/>
        </w:rPr>
        <w:t>年初预算</w:t>
      </w:r>
      <w:r>
        <w:rPr>
          <w:rFonts w:hint="eastAsia" w:ascii="仿宋_GB2312" w:hAnsi="仿宋_GB2312" w:eastAsia="仿宋_GB2312" w:cs="仿宋_GB2312"/>
          <w:sz w:val="32"/>
          <w:szCs w:val="32"/>
        </w:rPr>
        <w:t>为</w:t>
      </w:r>
      <w:r>
        <w:rPr>
          <w:rFonts w:hint="eastAsia" w:ascii="仿宋_GB2312" w:hAnsi="仿宋_GB2312" w:eastAsia="仿宋_GB2312" w:cs="仿宋_GB2312"/>
          <w:sz w:val="32"/>
          <w:szCs w:val="32"/>
          <w:lang w:val="en-US" w:eastAsia="zh-CN"/>
        </w:rPr>
        <w:t>161.49</w:t>
      </w:r>
      <w:r>
        <w:rPr>
          <w:rFonts w:hint="eastAsia" w:ascii="仿宋_GB2312" w:hAnsi="仿宋_GB2312" w:eastAsia="仿宋_GB2312" w:cs="仿宋_GB2312"/>
          <w:sz w:val="32"/>
          <w:szCs w:val="32"/>
        </w:rPr>
        <w:t>万元，支出决算为</w:t>
      </w:r>
      <w:r>
        <w:rPr>
          <w:rFonts w:hint="eastAsia" w:ascii="仿宋_GB2312" w:hAnsi="仿宋_GB2312" w:eastAsia="仿宋_GB2312" w:cs="仿宋_GB2312"/>
          <w:sz w:val="32"/>
          <w:szCs w:val="32"/>
          <w:lang w:val="en-US" w:eastAsia="zh-CN"/>
        </w:rPr>
        <w:t>160.92</w:t>
      </w:r>
      <w:r>
        <w:rPr>
          <w:rFonts w:hint="eastAsia" w:ascii="仿宋_GB2312" w:hAnsi="仿宋_GB2312" w:eastAsia="仿宋_GB2312" w:cs="仿宋_GB2312"/>
          <w:sz w:val="32"/>
          <w:szCs w:val="32"/>
        </w:rPr>
        <w:t>万元，</w:t>
      </w:r>
      <w:r>
        <w:rPr>
          <w:rFonts w:hint="eastAsia" w:ascii="仿宋_GB2312" w:hAnsi="仿宋_GB2312" w:eastAsia="仿宋_GB2312" w:cs="仿宋_GB2312"/>
          <w:color w:val="000000"/>
          <w:kern w:val="0"/>
          <w:sz w:val="32"/>
          <w:szCs w:val="32"/>
          <w:lang w:val="en-US" w:eastAsia="zh-CN" w:bidi="ar-SA"/>
        </w:rPr>
        <w:t>完成年初预算的99.65%，决算数小于年初预算数的主要原因是厉行节约压缩经费。</w:t>
      </w:r>
    </w:p>
    <w:p w14:paraId="66651698">
      <w:pPr>
        <w:pStyle w:val="13"/>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7</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住房保障支出</w:t>
      </w:r>
      <w:r>
        <w:rPr>
          <w:rFonts w:hint="eastAsia" w:ascii="仿宋_GB2312" w:hAnsi="仿宋_GB2312" w:eastAsia="仿宋_GB2312" w:cs="仿宋_GB2312"/>
          <w:sz w:val="32"/>
          <w:szCs w:val="32"/>
        </w:rPr>
        <w:t>（类）</w:t>
      </w:r>
      <w:r>
        <w:rPr>
          <w:rFonts w:hint="eastAsia" w:ascii="仿宋_GB2312" w:hAnsi="仿宋_GB2312" w:eastAsia="仿宋_GB2312" w:cs="仿宋_GB2312"/>
          <w:sz w:val="32"/>
          <w:szCs w:val="32"/>
          <w:lang w:eastAsia="zh-CN"/>
        </w:rPr>
        <w:t>住房改革支出</w:t>
      </w:r>
      <w:r>
        <w:rPr>
          <w:rFonts w:hint="eastAsia" w:ascii="仿宋_GB2312" w:hAnsi="仿宋_GB2312" w:eastAsia="仿宋_GB2312" w:cs="仿宋_GB2312"/>
          <w:sz w:val="32"/>
          <w:szCs w:val="32"/>
        </w:rPr>
        <w:t>（款）</w:t>
      </w:r>
      <w:r>
        <w:rPr>
          <w:rFonts w:hint="eastAsia" w:ascii="仿宋_GB2312" w:hAnsi="仿宋_GB2312" w:eastAsia="仿宋_GB2312" w:cs="仿宋_GB2312"/>
          <w:sz w:val="32"/>
          <w:szCs w:val="32"/>
          <w:lang w:eastAsia="zh-CN"/>
        </w:rPr>
        <w:t>住房公积金</w:t>
      </w:r>
      <w:r>
        <w:rPr>
          <w:rFonts w:hint="eastAsia" w:ascii="仿宋_GB2312" w:hAnsi="仿宋_GB2312" w:eastAsia="仿宋_GB2312" w:cs="仿宋_GB2312"/>
          <w:sz w:val="32"/>
          <w:szCs w:val="32"/>
        </w:rPr>
        <w:t>（项）。</w:t>
      </w:r>
    </w:p>
    <w:p w14:paraId="293199F1">
      <w:pPr>
        <w:widowControl w:val="0"/>
        <w:autoSpaceDE w:val="0"/>
        <w:autoSpaceDN w:val="0"/>
        <w:adjustRightInd w:val="0"/>
        <w:ind w:firstLine="800" w:firstLineChars="250"/>
        <w:rPr>
          <w:rFonts w:hint="eastAsia"/>
        </w:rPr>
      </w:pPr>
      <w:r>
        <w:rPr>
          <w:rFonts w:hint="eastAsia" w:ascii="仿宋_GB2312" w:hAnsi="仿宋_GB2312" w:eastAsia="仿宋_GB2312" w:cs="仿宋_GB2312"/>
          <w:color w:val="auto"/>
          <w:sz w:val="32"/>
          <w:szCs w:val="32"/>
        </w:rPr>
        <w:t>年初预算</w:t>
      </w:r>
      <w:r>
        <w:rPr>
          <w:rFonts w:hint="eastAsia" w:ascii="仿宋_GB2312" w:hAnsi="仿宋_GB2312" w:eastAsia="仿宋_GB2312" w:cs="仿宋_GB2312"/>
          <w:sz w:val="32"/>
          <w:szCs w:val="32"/>
        </w:rPr>
        <w:t>为</w:t>
      </w:r>
      <w:r>
        <w:rPr>
          <w:rFonts w:hint="eastAsia" w:ascii="仿宋_GB2312" w:hAnsi="仿宋_GB2312" w:eastAsia="仿宋_GB2312" w:cs="仿宋_GB2312"/>
          <w:sz w:val="32"/>
          <w:szCs w:val="32"/>
          <w:lang w:val="en-US" w:eastAsia="zh-CN"/>
        </w:rPr>
        <w:t>13.97</w:t>
      </w:r>
      <w:r>
        <w:rPr>
          <w:rFonts w:hint="eastAsia" w:ascii="仿宋_GB2312" w:hAnsi="仿宋_GB2312" w:eastAsia="仿宋_GB2312" w:cs="仿宋_GB2312"/>
          <w:sz w:val="32"/>
          <w:szCs w:val="32"/>
        </w:rPr>
        <w:t>万元，支出决算为</w:t>
      </w:r>
      <w:r>
        <w:rPr>
          <w:rFonts w:hint="eastAsia" w:ascii="仿宋_GB2312" w:hAnsi="仿宋_GB2312" w:eastAsia="仿宋_GB2312" w:cs="仿宋_GB2312"/>
          <w:sz w:val="32"/>
          <w:szCs w:val="32"/>
          <w:lang w:val="en-US" w:eastAsia="zh-CN"/>
        </w:rPr>
        <w:t>13.97</w:t>
      </w:r>
      <w:r>
        <w:rPr>
          <w:rFonts w:hint="eastAsia" w:ascii="仿宋_GB2312" w:hAnsi="仿宋_GB2312" w:eastAsia="仿宋_GB2312" w:cs="仿宋_GB2312"/>
          <w:sz w:val="32"/>
          <w:szCs w:val="32"/>
        </w:rPr>
        <w:t>万元，</w:t>
      </w:r>
      <w:r>
        <w:rPr>
          <w:rFonts w:hint="eastAsia" w:ascii="仿宋_GB2312" w:hAnsi="仿宋_GB2312" w:eastAsia="仿宋_GB2312" w:cs="仿宋_GB2312"/>
          <w:color w:val="000000"/>
          <w:kern w:val="0"/>
          <w:sz w:val="32"/>
          <w:szCs w:val="32"/>
          <w:lang w:val="en-US" w:eastAsia="zh-CN" w:bidi="ar-SA"/>
        </w:rPr>
        <w:t>完成年初预算的100%，决算数等于年初预算数的主要原因是</w:t>
      </w:r>
      <w:r>
        <w:rPr>
          <w:rFonts w:hint="eastAsia" w:ascii="Times New Roman" w:hAnsi="Times New Roman" w:eastAsia="仿宋_GB2312" w:cs="Times New Roman"/>
          <w:sz w:val="32"/>
          <w:szCs w:val="32"/>
          <w:lang w:eastAsia="zh-CN"/>
        </w:rPr>
        <w:t>我单位严格按照预算执行决算</w:t>
      </w:r>
      <w:r>
        <w:rPr>
          <w:rFonts w:hint="eastAsia" w:ascii="仿宋_GB2312" w:hAnsi="仿宋_GB2312" w:eastAsia="仿宋_GB2312" w:cs="仿宋_GB2312"/>
          <w:color w:val="000000"/>
          <w:kern w:val="0"/>
          <w:sz w:val="32"/>
          <w:szCs w:val="32"/>
          <w:lang w:val="en-US" w:eastAsia="zh-CN" w:bidi="ar-SA"/>
        </w:rPr>
        <w:t>。</w:t>
      </w:r>
    </w:p>
    <w:p w14:paraId="6DE4C150">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六、一般公共预算财政拨款基本支出决算情况说明</w:t>
      </w:r>
    </w:p>
    <w:p w14:paraId="57F143F5">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年度</w:t>
      </w:r>
      <w:r>
        <w:rPr>
          <w:rFonts w:hint="eastAsia" w:ascii="仿宋_GB2312" w:hAnsi="仿宋_GB2312" w:eastAsia="仿宋_GB2312" w:cs="仿宋_GB2312"/>
          <w:sz w:val="32"/>
          <w:szCs w:val="32"/>
          <w:lang w:eastAsia="zh-CN"/>
        </w:rPr>
        <w:t>一般公共预算</w:t>
      </w:r>
      <w:r>
        <w:rPr>
          <w:rFonts w:hint="eastAsia" w:ascii="仿宋_GB2312" w:hAnsi="仿宋_GB2312" w:eastAsia="仿宋_GB2312" w:cs="仿宋_GB2312"/>
          <w:sz w:val="32"/>
          <w:szCs w:val="32"/>
        </w:rPr>
        <w:t>财政拨款基本支出</w:t>
      </w:r>
      <w:r>
        <w:rPr>
          <w:rFonts w:hint="eastAsia" w:ascii="仿宋_GB2312" w:hAnsi="仿宋_GB2312" w:eastAsia="仿宋_GB2312" w:cs="仿宋_GB2312"/>
          <w:sz w:val="32"/>
          <w:szCs w:val="32"/>
          <w:lang w:val="en-US" w:eastAsia="zh-CN"/>
        </w:rPr>
        <w:t>226.93</w:t>
      </w:r>
      <w:r>
        <w:rPr>
          <w:rFonts w:hint="eastAsia" w:ascii="仿宋_GB2312" w:hAnsi="仿宋_GB2312" w:eastAsia="仿宋_GB2312" w:cs="仿宋_GB2312"/>
          <w:sz w:val="32"/>
          <w:szCs w:val="32"/>
        </w:rPr>
        <w:t>万元，其中：</w:t>
      </w:r>
    </w:p>
    <w:p w14:paraId="68098B0B">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b/>
          <w:bCs/>
          <w:sz w:val="32"/>
          <w:szCs w:val="32"/>
        </w:rPr>
        <w:t>人员经费</w:t>
      </w:r>
      <w:r>
        <w:rPr>
          <w:rFonts w:hint="eastAsia" w:ascii="仿宋_GB2312" w:hAnsi="仿宋_GB2312" w:eastAsia="仿宋_GB2312" w:cs="仿宋_GB2312"/>
          <w:b w:val="0"/>
          <w:bCs w:val="0"/>
          <w:sz w:val="32"/>
          <w:szCs w:val="32"/>
          <w:lang w:val="en-US" w:eastAsia="zh-CN"/>
        </w:rPr>
        <w:t>211.25</w:t>
      </w:r>
      <w:r>
        <w:rPr>
          <w:rFonts w:hint="eastAsia" w:ascii="仿宋_GB2312" w:hAnsi="仿宋_GB2312" w:eastAsia="仿宋_GB2312" w:cs="仿宋_GB2312"/>
          <w:sz w:val="32"/>
          <w:szCs w:val="32"/>
        </w:rPr>
        <w:t>万元，占基本支出的</w:t>
      </w:r>
      <w:r>
        <w:rPr>
          <w:rFonts w:hint="eastAsia" w:ascii="仿宋_GB2312" w:hAnsi="仿宋_GB2312" w:eastAsia="仿宋_GB2312" w:cs="仿宋_GB2312"/>
          <w:sz w:val="32"/>
          <w:szCs w:val="32"/>
          <w:lang w:val="en-US" w:eastAsia="zh-CN"/>
        </w:rPr>
        <w:t>93.09</w:t>
      </w:r>
      <w:r>
        <w:rPr>
          <w:rFonts w:hint="eastAsia" w:ascii="仿宋_GB2312" w:hAnsi="仿宋_GB2312" w:eastAsia="仿宋_GB2312" w:cs="仿宋_GB2312"/>
          <w:sz w:val="32"/>
          <w:szCs w:val="32"/>
        </w:rPr>
        <w:t>%,主要包括基本工资、津贴补贴、奖金、伙食补助费</w:t>
      </w:r>
      <w:r>
        <w:rPr>
          <w:rFonts w:hint="eastAsia" w:ascii="仿宋_GB2312" w:hAnsi="仿宋_GB2312" w:eastAsia="仿宋_GB2312" w:cs="仿宋_GB2312"/>
          <w:sz w:val="32"/>
          <w:szCs w:val="32"/>
          <w:lang w:eastAsia="zh-CN"/>
        </w:rPr>
        <w:t>、绩效工资、机关事业单位基本养老保险缴费、职工基本医疗保险缴费、其他社会保障缴费、住房公积金、医疗费、其他工资福利支出、退休费、医疗费补助、其他对个人和家庭的补助。</w:t>
      </w:r>
    </w:p>
    <w:p w14:paraId="50F6F6F8">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b w:val="0"/>
          <w:bCs/>
          <w:sz w:val="32"/>
          <w:szCs w:val="32"/>
        </w:rPr>
      </w:pPr>
      <w:r>
        <w:rPr>
          <w:rFonts w:hint="eastAsia" w:ascii="仿宋_GB2312" w:hAnsi="仿宋_GB2312" w:eastAsia="仿宋_GB2312" w:cs="仿宋_GB2312"/>
          <w:b/>
          <w:bCs/>
          <w:sz w:val="32"/>
          <w:szCs w:val="32"/>
        </w:rPr>
        <w:t>公用经费</w:t>
      </w:r>
      <w:r>
        <w:rPr>
          <w:rFonts w:hint="eastAsia" w:ascii="仿宋_GB2312" w:hAnsi="仿宋_GB2312" w:eastAsia="仿宋_GB2312" w:cs="仿宋_GB2312"/>
          <w:sz w:val="32"/>
          <w:szCs w:val="32"/>
          <w:lang w:val="en-US" w:eastAsia="zh-CN"/>
        </w:rPr>
        <w:t>15.68</w:t>
      </w:r>
      <w:r>
        <w:rPr>
          <w:rFonts w:hint="eastAsia" w:ascii="仿宋_GB2312" w:hAnsi="仿宋_GB2312" w:eastAsia="仿宋_GB2312" w:cs="仿宋_GB2312"/>
          <w:sz w:val="32"/>
          <w:szCs w:val="32"/>
        </w:rPr>
        <w:t>万元，占基本支出的</w:t>
      </w:r>
      <w:r>
        <w:rPr>
          <w:rFonts w:hint="eastAsia" w:ascii="仿宋_GB2312" w:hAnsi="仿宋_GB2312" w:eastAsia="仿宋_GB2312" w:cs="仿宋_GB2312"/>
          <w:sz w:val="32"/>
          <w:szCs w:val="32"/>
          <w:lang w:val="en-US" w:eastAsia="zh-CN"/>
        </w:rPr>
        <w:t>6.91</w:t>
      </w:r>
      <w:r>
        <w:rPr>
          <w:rFonts w:hint="eastAsia" w:ascii="仿宋_GB2312" w:hAnsi="仿宋_GB2312" w:eastAsia="仿宋_GB2312" w:cs="仿宋_GB2312"/>
          <w:sz w:val="32"/>
          <w:szCs w:val="32"/>
        </w:rPr>
        <w:t>%，主要包括办公费、印刷费、</w:t>
      </w:r>
      <w:r>
        <w:rPr>
          <w:rFonts w:hint="eastAsia" w:ascii="仿宋_GB2312" w:hAnsi="仿宋_GB2312" w:eastAsia="仿宋_GB2312" w:cs="仿宋_GB2312"/>
          <w:sz w:val="32"/>
          <w:szCs w:val="32"/>
          <w:lang w:eastAsia="zh-CN"/>
        </w:rPr>
        <w:t>水费、电费、邮电费、物业管理费、差旅费、维修（护）费、劳务费、工会经费、福利费、其他交通费用、其他商品和服务支出</w:t>
      </w:r>
      <w:r>
        <w:rPr>
          <w:rFonts w:hint="eastAsia" w:ascii="仿宋_GB2312" w:hAnsi="仿宋_GB2312" w:eastAsia="仿宋_GB2312" w:cs="仿宋_GB2312"/>
          <w:sz w:val="32"/>
          <w:szCs w:val="32"/>
        </w:rPr>
        <w:t>。</w:t>
      </w:r>
    </w:p>
    <w:p w14:paraId="59E14307">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七、政府性基金预算收入支出决算情况</w:t>
      </w:r>
    </w:p>
    <w:p w14:paraId="31C86A6A">
      <w:pPr>
        <w:keepNext w:val="0"/>
        <w:keepLines w:val="0"/>
        <w:pageBreakBefore w:val="0"/>
        <w:widowControl w:val="0"/>
        <w:kinsoku/>
        <w:wordWrap/>
        <w:overflowPunct/>
        <w:topLinePunct w:val="0"/>
        <w:autoSpaceDE w:val="0"/>
        <w:autoSpaceDN w:val="0"/>
        <w:bidi w:val="0"/>
        <w:adjustRightInd w:val="0"/>
        <w:snapToGrid/>
        <w:spacing w:line="600" w:lineRule="exact"/>
        <w:textAlignment w:val="auto"/>
        <w:rPr>
          <w:rFonts w:hint="eastAsia" w:ascii="黑体" w:hAnsi="黑体" w:eastAsia="黑体" w:cs="黑体"/>
          <w:b w:val="0"/>
          <w:bCs/>
          <w:color w:val="000000"/>
          <w:kern w:val="0"/>
          <w:sz w:val="32"/>
          <w:szCs w:val="32"/>
          <w:highlight w:val="none"/>
          <w:lang w:val="en-US" w:eastAsia="zh-CN" w:bidi="ar-SA"/>
        </w:rPr>
      </w:pPr>
      <w:r>
        <w:rPr>
          <w:rFonts w:hint="eastAsia" w:ascii="Times New Roman" w:hAnsi="Times New Roman" w:eastAsia="仿宋_GB2312"/>
          <w:sz w:val="32"/>
          <w:szCs w:val="32"/>
        </w:rPr>
        <w:t xml:space="preserve">     </w:t>
      </w: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年度政府性基金预算财政拨款收入</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万元；年初结转和结余</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万元；支出</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万元，其中基本支出</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万元，项目支出</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万元；年末结转和结余</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w:t>
      </w:r>
    </w:p>
    <w:p w14:paraId="2A22E5D1">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eastAsia" w:ascii="黑体" w:hAnsi="黑体" w:eastAsia="黑体" w:cs="黑体"/>
          <w:b w:val="0"/>
          <w:bCs/>
          <w:color w:val="000000"/>
          <w:kern w:val="0"/>
          <w:sz w:val="32"/>
          <w:szCs w:val="32"/>
          <w:lang w:val="en-US" w:eastAsia="zh-CN" w:bidi="ar-SA"/>
        </w:rPr>
      </w:pPr>
      <w:r>
        <w:rPr>
          <w:rFonts w:hint="eastAsia" w:ascii="黑体" w:hAnsi="黑体" w:eastAsia="黑体" w:cs="黑体"/>
          <w:b w:val="0"/>
          <w:bCs/>
          <w:color w:val="000000"/>
          <w:kern w:val="0"/>
          <w:sz w:val="32"/>
          <w:szCs w:val="32"/>
          <w:lang w:val="en-US" w:eastAsia="zh-CN" w:bidi="ar-SA"/>
        </w:rPr>
        <w:t>八、国有资本经营预算财政拨款支出决算情况</w:t>
      </w:r>
    </w:p>
    <w:p w14:paraId="5D52BECA">
      <w:pPr>
        <w:keepNext w:val="0"/>
        <w:keepLines w:val="0"/>
        <w:pageBreakBefore w:val="0"/>
        <w:widowControl w:val="0"/>
        <w:numPr>
          <w:ilvl w:val="0"/>
          <w:numId w:val="0"/>
        </w:numPr>
        <w:kinsoku/>
        <w:wordWrap/>
        <w:overflowPunct/>
        <w:topLinePunct w:val="0"/>
        <w:autoSpaceDE w:val="0"/>
        <w:autoSpaceDN w:val="0"/>
        <w:bidi w:val="0"/>
        <w:adjustRightInd w:val="0"/>
        <w:snapToGrid/>
        <w:spacing w:line="600" w:lineRule="exact"/>
        <w:ind w:firstLine="640" w:firstLineChars="200"/>
        <w:textAlignment w:val="auto"/>
        <w:rPr>
          <w:rFonts w:hint="eastAsia"/>
        </w:rPr>
      </w:pPr>
      <w:r>
        <w:rPr>
          <w:rFonts w:hint="eastAsia" w:ascii="仿宋_GB2312" w:hAnsi="仿宋_GB2312" w:eastAsia="仿宋_GB2312" w:cs="仿宋_GB2312"/>
          <w:color w:val="000000"/>
          <w:kern w:val="0"/>
          <w:sz w:val="32"/>
          <w:szCs w:val="32"/>
          <w:highlight w:val="none"/>
          <w:lang w:val="en-US" w:eastAsia="zh-CN" w:bidi="ar-SA"/>
        </w:rPr>
        <w:t>2024年度国有资本经营预算财政拨款收入0万元；年初结转和结余0万元；支出0万元，</w:t>
      </w:r>
      <w:r>
        <w:rPr>
          <w:rFonts w:hint="eastAsia" w:ascii="仿宋_GB2312" w:hAnsi="仿宋_GB2312" w:eastAsia="仿宋_GB2312" w:cs="仿宋_GB2312"/>
          <w:i w:val="0"/>
          <w:iCs/>
          <w:color w:val="000000" w:themeColor="text1"/>
          <w:kern w:val="0"/>
          <w:sz w:val="32"/>
          <w:szCs w:val="32"/>
          <w:highlight w:val="none"/>
          <w:lang w:val="en-US" w:eastAsia="zh-CN" w:bidi="ar-SA"/>
          <w14:textFill>
            <w14:solidFill>
              <w14:schemeClr w14:val="tx1"/>
            </w14:solidFill>
          </w14:textFill>
        </w:rPr>
        <w:t>其中：基本支出0万元，项目支出0万元</w:t>
      </w:r>
      <w:r>
        <w:rPr>
          <w:rFonts w:hint="eastAsia" w:ascii="仿宋_GB2312" w:hAnsi="仿宋_GB2312" w:eastAsia="仿宋_GB2312" w:cs="仿宋_GB2312"/>
          <w:color w:val="000000"/>
          <w:kern w:val="0"/>
          <w:sz w:val="32"/>
          <w:szCs w:val="32"/>
          <w:highlight w:val="none"/>
          <w:lang w:val="en-US" w:eastAsia="zh-CN" w:bidi="ar-SA"/>
        </w:rPr>
        <w:t>；年末结转和结余0万元。</w:t>
      </w:r>
    </w:p>
    <w:p w14:paraId="238AECC0">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hAnsi="黑体" w:cs="黑体"/>
          <w:b w:val="0"/>
          <w:bCs/>
          <w:sz w:val="32"/>
          <w:szCs w:val="32"/>
          <w:lang w:eastAsia="zh-CN"/>
        </w:rPr>
        <w:t>九、</w:t>
      </w:r>
      <w:r>
        <w:rPr>
          <w:rFonts w:hint="eastAsia" w:ascii="黑体" w:hAnsi="黑体" w:eastAsia="黑体" w:cs="黑体"/>
          <w:b w:val="0"/>
          <w:bCs/>
          <w:sz w:val="32"/>
          <w:szCs w:val="32"/>
        </w:rPr>
        <w:t>财政拨款三公经费支出决算情况说明</w:t>
      </w:r>
    </w:p>
    <w:p w14:paraId="4825C18B">
      <w:pPr>
        <w:pStyle w:val="13"/>
        <w:overflowPunct w:val="0"/>
        <w:autoSpaceDE/>
        <w:autoSpaceDN/>
        <w:spacing w:line="600" w:lineRule="exact"/>
        <w:ind w:firstLine="640" w:firstLineChars="200"/>
        <w:jc w:val="both"/>
        <w:rPr>
          <w:rFonts w:ascii="Times New Roman" w:hAnsi="Times New Roman" w:eastAsia="楷体_GB2312" w:cs="Times New Roman"/>
          <w:b/>
          <w:sz w:val="32"/>
          <w:szCs w:val="32"/>
        </w:rPr>
      </w:pPr>
      <w:r>
        <w:rPr>
          <w:rFonts w:ascii="Times New Roman" w:hAnsi="Times New Roman" w:eastAsia="楷体_GB2312" w:cs="Times New Roman"/>
          <w:b/>
          <w:sz w:val="32"/>
          <w:szCs w:val="32"/>
        </w:rPr>
        <w:t>（一）</w:t>
      </w:r>
      <w:r>
        <w:rPr>
          <w:rFonts w:hint="eastAsia" w:ascii="Times New Roman" w:hAnsi="Times New Roman" w:eastAsia="楷体_GB2312" w:cs="Times New Roman"/>
          <w:b/>
          <w:sz w:val="32"/>
          <w:szCs w:val="32"/>
          <w:lang w:eastAsia="zh-CN"/>
        </w:rPr>
        <w:t>“三公”</w:t>
      </w:r>
      <w:r>
        <w:rPr>
          <w:rFonts w:ascii="Times New Roman" w:hAnsi="Times New Roman" w:eastAsia="楷体_GB2312" w:cs="Times New Roman"/>
          <w:b/>
          <w:sz w:val="32"/>
          <w:szCs w:val="32"/>
        </w:rPr>
        <w:t>经费财政拨款支出决算总体情况说明</w:t>
      </w:r>
    </w:p>
    <w:p w14:paraId="32E42564">
      <w:pPr>
        <w:pStyle w:val="13"/>
        <w:overflowPunct w:val="0"/>
        <w:autoSpaceDE/>
        <w:autoSpaceDN/>
        <w:spacing w:line="600" w:lineRule="exact"/>
        <w:ind w:firstLine="640" w:firstLineChars="200"/>
        <w:jc w:val="both"/>
        <w:rPr>
          <w:rFonts w:ascii="Times New Roman" w:hAnsi="Times New Roman" w:eastAsia="仿宋_GB2312" w:cs="Times New Roman"/>
          <w:sz w:val="32"/>
          <w:szCs w:val="32"/>
          <w:highlight w:val="yellow"/>
        </w:rPr>
      </w:pPr>
      <w:r>
        <w:rPr>
          <w:rFonts w:ascii="Times New Roman" w:hAnsi="Times New Roman" w:eastAsia="仿宋_GB2312" w:cs="Times New Roman"/>
          <w:sz w:val="32"/>
          <w:szCs w:val="32"/>
        </w:rPr>
        <w:t>2024年度“三公”经费财政拨款支出预算为</w:t>
      </w:r>
      <w:r>
        <w:rPr>
          <w:rFonts w:hint="eastAsia" w:ascii="Times New Roman" w:hAnsi="Times New Roman" w:eastAsia="仿宋_GB2312" w:cs="Times New Roman"/>
          <w:sz w:val="32"/>
          <w:szCs w:val="32"/>
          <w:lang w:val="en-US" w:eastAsia="zh-CN"/>
        </w:rPr>
        <w:t>0</w:t>
      </w:r>
      <w:r>
        <w:rPr>
          <w:rFonts w:ascii="Times New Roman" w:hAnsi="Times New Roman" w:eastAsia="仿宋_GB2312" w:cs="Times New Roman"/>
          <w:sz w:val="32"/>
          <w:szCs w:val="32"/>
        </w:rPr>
        <w:t>万元，支出决算为</w:t>
      </w:r>
      <w:r>
        <w:rPr>
          <w:rFonts w:hint="eastAsia" w:ascii="Times New Roman" w:hAnsi="Times New Roman" w:eastAsia="仿宋_GB2312" w:cs="Times New Roman"/>
          <w:sz w:val="32"/>
          <w:szCs w:val="32"/>
          <w:lang w:val="en-US" w:eastAsia="zh-CN"/>
        </w:rPr>
        <w:t>0</w:t>
      </w:r>
      <w:r>
        <w:rPr>
          <w:rFonts w:ascii="Times New Roman" w:hAnsi="Times New Roman" w:eastAsia="仿宋_GB2312" w:cs="Times New Roman"/>
          <w:sz w:val="32"/>
          <w:szCs w:val="32"/>
        </w:rPr>
        <w:t>万元，决算数</w:t>
      </w:r>
      <w:r>
        <w:rPr>
          <w:rFonts w:hint="eastAsia" w:ascii="Times New Roman" w:hAnsi="Times New Roman" w:eastAsia="仿宋_GB2312" w:cs="Times New Roman"/>
          <w:sz w:val="32"/>
          <w:szCs w:val="32"/>
          <w:lang w:eastAsia="zh-CN"/>
        </w:rPr>
        <w:t>等于</w:t>
      </w:r>
      <w:r>
        <w:rPr>
          <w:rFonts w:ascii="Times New Roman" w:hAnsi="Times New Roman" w:eastAsia="仿宋_GB2312" w:cs="Times New Roman"/>
          <w:sz w:val="32"/>
          <w:szCs w:val="32"/>
        </w:rPr>
        <w:t>预算数</w:t>
      </w:r>
      <w:r>
        <w:rPr>
          <w:rFonts w:hint="eastAsia" w:ascii="Times New Roman" w:hAnsi="Times New Roman" w:eastAsia="仿宋_GB2312" w:cs="Times New Roman"/>
          <w:sz w:val="32"/>
          <w:szCs w:val="32"/>
          <w:lang w:eastAsia="zh-CN"/>
        </w:rPr>
        <w:t>，</w:t>
      </w:r>
      <w:r>
        <w:rPr>
          <w:rFonts w:ascii="Times New Roman" w:hAnsi="Times New Roman" w:eastAsia="仿宋_GB2312" w:cs="Times New Roman"/>
          <w:sz w:val="32"/>
          <w:szCs w:val="32"/>
        </w:rPr>
        <w:t>主要原因是</w:t>
      </w:r>
      <w:r>
        <w:rPr>
          <w:rFonts w:hint="eastAsia" w:ascii="Times New Roman" w:hAnsi="Times New Roman" w:eastAsia="仿宋_GB2312" w:cs="Times New Roman"/>
          <w:sz w:val="32"/>
          <w:szCs w:val="32"/>
          <w:lang w:eastAsia="zh-CN"/>
        </w:rPr>
        <w:t>我单位严格按照预算执行决算；与上年一致，无增减变动，主要原因是按有关政策厉行节约，严控“三公经费”支出</w:t>
      </w:r>
      <w:r>
        <w:rPr>
          <w:rFonts w:ascii="Times New Roman" w:hAnsi="Times New Roman" w:eastAsia="仿宋_GB2312" w:cs="Times New Roman"/>
          <w:sz w:val="32"/>
          <w:szCs w:val="32"/>
        </w:rPr>
        <w:t>。</w:t>
      </w:r>
    </w:p>
    <w:p w14:paraId="08F7AAC9">
      <w:pPr>
        <w:pStyle w:val="13"/>
        <w:overflowPunct w:val="0"/>
        <w:autoSpaceDE/>
        <w:autoSpaceDN/>
        <w:spacing w:line="600" w:lineRule="exact"/>
        <w:ind w:firstLine="640" w:firstLineChars="200"/>
        <w:jc w:val="both"/>
        <w:rPr>
          <w:rFonts w:ascii="Times New Roman" w:hAnsi="Times New Roman" w:eastAsia="楷体_GB2312" w:cs="Times New Roman"/>
          <w:b/>
          <w:sz w:val="32"/>
          <w:szCs w:val="32"/>
        </w:rPr>
      </w:pPr>
      <w:r>
        <w:rPr>
          <w:rFonts w:ascii="Times New Roman" w:hAnsi="Times New Roman" w:eastAsia="楷体_GB2312" w:cs="Times New Roman"/>
          <w:b/>
          <w:sz w:val="32"/>
          <w:szCs w:val="32"/>
        </w:rPr>
        <w:t>（二）</w:t>
      </w:r>
      <w:r>
        <w:rPr>
          <w:rFonts w:hint="eastAsia" w:ascii="Times New Roman" w:hAnsi="Times New Roman" w:eastAsia="楷体_GB2312" w:cs="Times New Roman"/>
          <w:b/>
          <w:sz w:val="32"/>
          <w:szCs w:val="32"/>
          <w:lang w:eastAsia="zh-CN"/>
        </w:rPr>
        <w:t>“三公”</w:t>
      </w:r>
      <w:r>
        <w:rPr>
          <w:rFonts w:ascii="Times New Roman" w:hAnsi="Times New Roman" w:eastAsia="楷体_GB2312" w:cs="Times New Roman"/>
          <w:b/>
          <w:sz w:val="32"/>
          <w:szCs w:val="32"/>
        </w:rPr>
        <w:t>经费财政拨款支出决算具体情况说明</w:t>
      </w:r>
    </w:p>
    <w:p w14:paraId="14AE60E1">
      <w:pPr>
        <w:pStyle w:val="13"/>
        <w:overflowPunct w:val="0"/>
        <w:autoSpaceDE/>
        <w:autoSpaceDN/>
        <w:spacing w:line="600" w:lineRule="exact"/>
        <w:ind w:firstLine="640" w:firstLineChars="200"/>
        <w:jc w:val="both"/>
        <w:rPr>
          <w:rFonts w:ascii="Times New Roman" w:hAnsi="Times New Roman" w:eastAsia="楷体" w:cs="Times New Roman"/>
          <w:b/>
          <w:bCs/>
          <w:i/>
          <w:color w:val="auto"/>
          <w:sz w:val="32"/>
          <w:szCs w:val="32"/>
        </w:rPr>
      </w:pPr>
      <w:r>
        <w:rPr>
          <w:rFonts w:ascii="Times New Roman" w:hAnsi="Times New Roman" w:eastAsia="仿宋_GB2312" w:cs="Times New Roman"/>
          <w:sz w:val="32"/>
          <w:szCs w:val="32"/>
        </w:rPr>
        <w:t>1.因公出国（境）费支出预算为</w:t>
      </w:r>
      <w:r>
        <w:rPr>
          <w:rFonts w:hint="eastAsia" w:ascii="Times New Roman" w:hAnsi="Times New Roman" w:eastAsia="仿宋_GB2312" w:cs="Times New Roman"/>
          <w:sz w:val="32"/>
          <w:szCs w:val="32"/>
          <w:lang w:val="en-US" w:eastAsia="zh-CN"/>
        </w:rPr>
        <w:t>0</w:t>
      </w:r>
      <w:r>
        <w:rPr>
          <w:rFonts w:ascii="Times New Roman" w:hAnsi="Times New Roman" w:eastAsia="仿宋_GB2312" w:cs="Times New Roman"/>
          <w:sz w:val="32"/>
          <w:szCs w:val="32"/>
        </w:rPr>
        <w:t>万元，支出决算为</w:t>
      </w:r>
      <w:r>
        <w:rPr>
          <w:rFonts w:hint="eastAsia" w:ascii="Times New Roman" w:hAnsi="Times New Roman" w:eastAsia="仿宋_GB2312" w:cs="Times New Roman"/>
          <w:sz w:val="32"/>
          <w:szCs w:val="32"/>
          <w:lang w:val="en-US" w:eastAsia="zh-CN"/>
        </w:rPr>
        <w:t>0</w:t>
      </w:r>
      <w:r>
        <w:rPr>
          <w:rFonts w:ascii="Times New Roman" w:hAnsi="Times New Roman" w:eastAsia="仿宋_GB2312" w:cs="Times New Roman"/>
          <w:sz w:val="32"/>
          <w:szCs w:val="32"/>
        </w:rPr>
        <w:t>万元，决算数</w:t>
      </w:r>
      <w:r>
        <w:rPr>
          <w:rFonts w:hint="eastAsia" w:ascii="Times New Roman" w:hAnsi="Times New Roman" w:eastAsia="仿宋_GB2312" w:cs="Times New Roman"/>
          <w:sz w:val="32"/>
          <w:szCs w:val="32"/>
          <w:lang w:eastAsia="zh-CN"/>
        </w:rPr>
        <w:t>等于</w:t>
      </w:r>
      <w:r>
        <w:rPr>
          <w:rFonts w:ascii="Times New Roman" w:hAnsi="Times New Roman" w:eastAsia="仿宋_GB2312" w:cs="Times New Roman"/>
          <w:sz w:val="32"/>
          <w:szCs w:val="32"/>
        </w:rPr>
        <w:t>预算数</w:t>
      </w:r>
      <w:r>
        <w:rPr>
          <w:rFonts w:hint="eastAsia" w:ascii="Times New Roman" w:hAnsi="Times New Roman" w:eastAsia="仿宋_GB2312" w:cs="Times New Roman"/>
          <w:sz w:val="32"/>
          <w:szCs w:val="32"/>
          <w:lang w:eastAsia="zh-CN"/>
        </w:rPr>
        <w:t>，</w:t>
      </w:r>
      <w:r>
        <w:rPr>
          <w:rFonts w:ascii="Times New Roman" w:hAnsi="Times New Roman" w:eastAsia="仿宋_GB2312" w:cs="Times New Roman"/>
          <w:sz w:val="32"/>
          <w:szCs w:val="32"/>
        </w:rPr>
        <w:t>主要原因是</w:t>
      </w:r>
      <w:r>
        <w:rPr>
          <w:rFonts w:hint="eastAsia" w:ascii="Times New Roman" w:hAnsi="Times New Roman" w:eastAsia="仿宋_GB2312" w:cs="Times New Roman"/>
          <w:sz w:val="32"/>
          <w:szCs w:val="32"/>
          <w:lang w:eastAsia="zh-CN"/>
        </w:rPr>
        <w:t>我单位严格按照预算执行决算；与上年一致，无增减变动，主要原因是未安排因公出国（境）活动。</w:t>
      </w:r>
      <w:r>
        <w:rPr>
          <w:rFonts w:ascii="Times New Roman" w:hAnsi="Times New Roman" w:eastAsia="仿宋_GB2312" w:cs="Times New Roman"/>
          <w:sz w:val="32"/>
          <w:szCs w:val="32"/>
        </w:rPr>
        <w:t>2024年度安排因公出国（境）团组</w:t>
      </w:r>
      <w:r>
        <w:rPr>
          <w:rFonts w:hint="eastAsia" w:ascii="Times New Roman" w:hAnsi="Times New Roman" w:eastAsia="仿宋_GB2312" w:cs="Times New Roman"/>
          <w:sz w:val="32"/>
          <w:szCs w:val="32"/>
          <w:lang w:val="en-US" w:eastAsia="zh-CN"/>
        </w:rPr>
        <w:t>0</w:t>
      </w:r>
      <w:r>
        <w:rPr>
          <w:rFonts w:ascii="Times New Roman" w:hAnsi="Times New Roman" w:eastAsia="仿宋_GB2312" w:cs="Times New Roman"/>
          <w:sz w:val="32"/>
          <w:szCs w:val="32"/>
        </w:rPr>
        <w:t>个，累计</w:t>
      </w:r>
      <w:r>
        <w:rPr>
          <w:rFonts w:hint="eastAsia" w:ascii="Times New Roman" w:hAnsi="Times New Roman" w:eastAsia="仿宋_GB2312" w:cs="Times New Roman"/>
          <w:sz w:val="32"/>
          <w:szCs w:val="32"/>
          <w:lang w:val="en-US" w:eastAsia="zh-CN"/>
        </w:rPr>
        <w:t>0</w:t>
      </w:r>
      <w:r>
        <w:rPr>
          <w:rFonts w:ascii="Times New Roman" w:hAnsi="Times New Roman" w:eastAsia="仿宋_GB2312" w:cs="Times New Roman"/>
          <w:sz w:val="32"/>
          <w:szCs w:val="32"/>
        </w:rPr>
        <w:t>人次</w:t>
      </w:r>
      <w:r>
        <w:rPr>
          <w:rFonts w:hint="eastAsia" w:ascii="Times New Roman" w:hAnsi="Times New Roman" w:eastAsia="仿宋_GB2312" w:cs="Times New Roman"/>
          <w:sz w:val="32"/>
          <w:szCs w:val="32"/>
          <w:lang w:eastAsia="zh-CN"/>
        </w:rPr>
        <w:t>。</w:t>
      </w:r>
    </w:p>
    <w:p w14:paraId="20F5A01F">
      <w:pPr>
        <w:pStyle w:val="13"/>
        <w:overflowPunct w:val="0"/>
        <w:autoSpaceDE/>
        <w:autoSpaceDN/>
        <w:spacing w:line="600" w:lineRule="exact"/>
        <w:ind w:firstLine="640" w:firstLineChars="20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2.公务用车购置费及运行维护费支出预算为</w:t>
      </w:r>
      <w:r>
        <w:rPr>
          <w:rFonts w:hint="eastAsia" w:ascii="Times New Roman" w:hAnsi="Times New Roman" w:eastAsia="仿宋_GB2312" w:cs="Times New Roman"/>
          <w:sz w:val="32"/>
          <w:szCs w:val="32"/>
          <w:lang w:val="en-US" w:eastAsia="zh-CN"/>
        </w:rPr>
        <w:t>0</w:t>
      </w:r>
      <w:r>
        <w:rPr>
          <w:rFonts w:ascii="Times New Roman" w:hAnsi="Times New Roman" w:eastAsia="仿宋_GB2312" w:cs="Times New Roman"/>
          <w:sz w:val="32"/>
          <w:szCs w:val="32"/>
        </w:rPr>
        <w:t>万元，支出决算为</w:t>
      </w:r>
      <w:r>
        <w:rPr>
          <w:rFonts w:hint="eastAsia" w:ascii="Times New Roman" w:hAnsi="Times New Roman" w:eastAsia="仿宋_GB2312" w:cs="Times New Roman"/>
          <w:sz w:val="32"/>
          <w:szCs w:val="32"/>
          <w:lang w:val="en-US" w:eastAsia="zh-CN"/>
        </w:rPr>
        <w:t>0</w:t>
      </w:r>
      <w:r>
        <w:rPr>
          <w:rFonts w:ascii="Times New Roman" w:hAnsi="Times New Roman" w:eastAsia="仿宋_GB2312" w:cs="Times New Roman"/>
          <w:sz w:val="32"/>
          <w:szCs w:val="32"/>
        </w:rPr>
        <w:t>万元，决算数</w:t>
      </w:r>
      <w:r>
        <w:rPr>
          <w:rFonts w:hint="eastAsia" w:ascii="Times New Roman" w:hAnsi="Times New Roman" w:eastAsia="仿宋_GB2312" w:cs="Times New Roman"/>
          <w:sz w:val="32"/>
          <w:szCs w:val="32"/>
          <w:lang w:eastAsia="zh-CN"/>
        </w:rPr>
        <w:t>等于</w:t>
      </w:r>
      <w:r>
        <w:rPr>
          <w:rFonts w:ascii="Times New Roman" w:hAnsi="Times New Roman" w:eastAsia="仿宋_GB2312" w:cs="Times New Roman"/>
          <w:sz w:val="32"/>
          <w:szCs w:val="32"/>
        </w:rPr>
        <w:t>预算数</w:t>
      </w:r>
      <w:r>
        <w:rPr>
          <w:rFonts w:hint="eastAsia" w:ascii="Times New Roman" w:hAnsi="Times New Roman" w:eastAsia="仿宋_GB2312" w:cs="Times New Roman"/>
          <w:sz w:val="32"/>
          <w:szCs w:val="32"/>
          <w:lang w:eastAsia="zh-CN"/>
        </w:rPr>
        <w:t>；与上年一致，无增减变动</w:t>
      </w:r>
      <w:r>
        <w:rPr>
          <w:rFonts w:ascii="Times New Roman" w:hAnsi="Times New Roman" w:eastAsia="仿宋_GB2312" w:cs="Times New Roman"/>
          <w:sz w:val="32"/>
          <w:szCs w:val="32"/>
        </w:rPr>
        <w:t>。其中：</w:t>
      </w:r>
    </w:p>
    <w:p w14:paraId="64BE7341">
      <w:pPr>
        <w:pStyle w:val="13"/>
        <w:overflowPunct w:val="0"/>
        <w:autoSpaceDE/>
        <w:autoSpaceDN/>
        <w:spacing w:line="600" w:lineRule="exact"/>
        <w:ind w:firstLine="640" w:firstLineChars="20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公务用车购置费支出预算为</w:t>
      </w:r>
      <w:r>
        <w:rPr>
          <w:rFonts w:hint="eastAsia" w:ascii="Times New Roman" w:hAnsi="Times New Roman" w:eastAsia="仿宋_GB2312" w:cs="Times New Roman"/>
          <w:sz w:val="32"/>
          <w:szCs w:val="32"/>
          <w:lang w:val="en-US" w:eastAsia="zh-CN"/>
        </w:rPr>
        <w:t>0</w:t>
      </w:r>
      <w:r>
        <w:rPr>
          <w:rFonts w:ascii="Times New Roman" w:hAnsi="Times New Roman" w:eastAsia="仿宋_GB2312" w:cs="Times New Roman"/>
          <w:sz w:val="32"/>
          <w:szCs w:val="32"/>
        </w:rPr>
        <w:t>万元，支出决算为</w:t>
      </w:r>
      <w:r>
        <w:rPr>
          <w:rFonts w:hint="eastAsia" w:ascii="Times New Roman" w:hAnsi="Times New Roman" w:eastAsia="仿宋_GB2312" w:cs="Times New Roman"/>
          <w:sz w:val="32"/>
          <w:szCs w:val="32"/>
          <w:lang w:val="en-US" w:eastAsia="zh-CN"/>
        </w:rPr>
        <w:t>0</w:t>
      </w:r>
      <w:r>
        <w:rPr>
          <w:rFonts w:ascii="Times New Roman" w:hAnsi="Times New Roman" w:eastAsia="仿宋_GB2312" w:cs="Times New Roman"/>
          <w:sz w:val="32"/>
          <w:szCs w:val="32"/>
        </w:rPr>
        <w:t>万元，决算数</w:t>
      </w:r>
      <w:r>
        <w:rPr>
          <w:rFonts w:hint="eastAsia" w:ascii="Times New Roman" w:hAnsi="Times New Roman" w:eastAsia="仿宋_GB2312" w:cs="Times New Roman"/>
          <w:sz w:val="32"/>
          <w:szCs w:val="32"/>
          <w:lang w:eastAsia="zh-CN"/>
        </w:rPr>
        <w:t>等于</w:t>
      </w:r>
      <w:r>
        <w:rPr>
          <w:rFonts w:ascii="Times New Roman" w:hAnsi="Times New Roman" w:eastAsia="仿宋_GB2312" w:cs="Times New Roman"/>
          <w:sz w:val="32"/>
          <w:szCs w:val="32"/>
        </w:rPr>
        <w:t>预算数</w:t>
      </w:r>
      <w:r>
        <w:rPr>
          <w:rFonts w:hint="eastAsia" w:ascii="Times New Roman" w:hAnsi="Times New Roman" w:eastAsia="仿宋_GB2312" w:cs="Times New Roman"/>
          <w:sz w:val="32"/>
          <w:szCs w:val="32"/>
          <w:lang w:eastAsia="zh-CN"/>
        </w:rPr>
        <w:t>，</w:t>
      </w:r>
      <w:r>
        <w:rPr>
          <w:rFonts w:ascii="Times New Roman" w:hAnsi="Times New Roman" w:eastAsia="仿宋_GB2312" w:cs="Times New Roman"/>
          <w:sz w:val="32"/>
          <w:szCs w:val="32"/>
        </w:rPr>
        <w:t>主要原因是</w:t>
      </w:r>
      <w:r>
        <w:rPr>
          <w:rFonts w:hint="eastAsia" w:ascii="Times New Roman" w:hAnsi="Times New Roman" w:eastAsia="仿宋_GB2312" w:cs="Times New Roman"/>
          <w:sz w:val="32"/>
          <w:szCs w:val="32"/>
          <w:lang w:eastAsia="zh-CN"/>
        </w:rPr>
        <w:t>我单位严格按照预算执行决算；与上年一致，无增减变动，主要原因是两年均为购置公务用车</w:t>
      </w:r>
      <w:r>
        <w:rPr>
          <w:rFonts w:ascii="Times New Roman" w:hAnsi="Times New Roman" w:eastAsia="仿宋_GB2312" w:cs="Times New Roman"/>
          <w:sz w:val="32"/>
          <w:szCs w:val="32"/>
        </w:rPr>
        <w:t>。</w:t>
      </w:r>
      <w:r>
        <w:rPr>
          <w:rFonts w:hint="eastAsia" w:ascii="Times New Roman" w:hAnsi="Times New Roman" w:eastAsia="仿宋_GB2312" w:cs="Times New Roman"/>
          <w:sz w:val="32"/>
          <w:szCs w:val="32"/>
          <w:lang w:eastAsia="zh-CN"/>
        </w:rPr>
        <w:t>本单位</w:t>
      </w:r>
      <w:r>
        <w:rPr>
          <w:rFonts w:ascii="Times New Roman" w:hAnsi="Times New Roman" w:eastAsia="仿宋_GB2312" w:cs="Times New Roman"/>
          <w:sz w:val="32"/>
          <w:szCs w:val="32"/>
        </w:rPr>
        <w:t>更新公务用车</w:t>
      </w:r>
      <w:r>
        <w:rPr>
          <w:rFonts w:hint="eastAsia" w:ascii="Times New Roman" w:hAnsi="Times New Roman" w:eastAsia="仿宋_GB2312" w:cs="Times New Roman"/>
          <w:sz w:val="32"/>
          <w:szCs w:val="32"/>
          <w:lang w:val="en-US" w:eastAsia="zh-CN"/>
        </w:rPr>
        <w:t>0</w:t>
      </w:r>
      <w:r>
        <w:rPr>
          <w:rFonts w:ascii="Times New Roman" w:hAnsi="Times New Roman" w:eastAsia="仿宋_GB2312" w:cs="Times New Roman"/>
          <w:sz w:val="32"/>
          <w:szCs w:val="32"/>
        </w:rPr>
        <w:t>辆</w:t>
      </w:r>
      <w:r>
        <w:rPr>
          <w:rFonts w:ascii="Times New Roman" w:hAnsi="Times New Roman" w:eastAsia="仿宋_GB2312" w:cs="Times New Roman"/>
          <w:color w:val="000000" w:themeColor="text1"/>
          <w:sz w:val="32"/>
          <w:szCs w:val="32"/>
          <w14:textFill>
            <w14:solidFill>
              <w14:schemeClr w14:val="tx1"/>
            </w14:solidFill>
          </w14:textFill>
        </w:rPr>
        <w:t>。</w:t>
      </w:r>
    </w:p>
    <w:p w14:paraId="2B6B0F6D">
      <w:pPr>
        <w:pStyle w:val="13"/>
        <w:overflowPunct w:val="0"/>
        <w:autoSpaceDE/>
        <w:autoSpaceDN/>
        <w:spacing w:line="600" w:lineRule="exact"/>
        <w:ind w:firstLine="640" w:firstLineChars="200"/>
        <w:jc w:val="both"/>
        <w:rPr>
          <w:rFonts w:ascii="Times New Roman" w:hAnsi="Times New Roman" w:eastAsia="楷体" w:cs="Times New Roman"/>
          <w:b/>
          <w:bCs/>
          <w:i/>
          <w:color w:val="FF0000"/>
          <w:sz w:val="32"/>
          <w:szCs w:val="32"/>
        </w:rPr>
      </w:pPr>
      <w:r>
        <w:rPr>
          <w:rFonts w:ascii="Times New Roman" w:hAnsi="Times New Roman" w:eastAsia="仿宋_GB2312" w:cs="Times New Roman"/>
          <w:sz w:val="32"/>
          <w:szCs w:val="32"/>
        </w:rPr>
        <w:t>公务用车运行维护费支出预算为</w:t>
      </w:r>
      <w:r>
        <w:rPr>
          <w:rFonts w:hint="eastAsia" w:ascii="Times New Roman" w:hAnsi="Times New Roman" w:eastAsia="仿宋_GB2312" w:cs="Times New Roman"/>
          <w:sz w:val="32"/>
          <w:szCs w:val="32"/>
          <w:lang w:val="en-US" w:eastAsia="zh-CN"/>
        </w:rPr>
        <w:t>0</w:t>
      </w:r>
      <w:r>
        <w:rPr>
          <w:rFonts w:ascii="Times New Roman" w:hAnsi="Times New Roman" w:eastAsia="仿宋_GB2312" w:cs="Times New Roman"/>
          <w:sz w:val="32"/>
          <w:szCs w:val="32"/>
        </w:rPr>
        <w:t>万元，支出决算为</w:t>
      </w:r>
      <w:r>
        <w:rPr>
          <w:rFonts w:hint="eastAsia" w:ascii="Times New Roman" w:hAnsi="Times New Roman" w:eastAsia="仿宋_GB2312" w:cs="Times New Roman"/>
          <w:sz w:val="32"/>
          <w:szCs w:val="32"/>
          <w:lang w:val="en-US" w:eastAsia="zh-CN"/>
        </w:rPr>
        <w:t>0</w:t>
      </w:r>
      <w:r>
        <w:rPr>
          <w:rFonts w:ascii="Times New Roman" w:hAnsi="Times New Roman" w:eastAsia="仿宋_GB2312" w:cs="Times New Roman"/>
          <w:sz w:val="32"/>
          <w:szCs w:val="32"/>
        </w:rPr>
        <w:t>万元，决算数</w:t>
      </w:r>
      <w:r>
        <w:rPr>
          <w:rFonts w:hint="eastAsia" w:ascii="Times New Roman" w:hAnsi="Times New Roman" w:eastAsia="仿宋_GB2312" w:cs="Times New Roman"/>
          <w:sz w:val="32"/>
          <w:szCs w:val="32"/>
          <w:lang w:eastAsia="zh-CN"/>
        </w:rPr>
        <w:t>等于</w:t>
      </w:r>
      <w:r>
        <w:rPr>
          <w:rFonts w:ascii="Times New Roman" w:hAnsi="Times New Roman" w:eastAsia="仿宋_GB2312" w:cs="Times New Roman"/>
          <w:sz w:val="32"/>
          <w:szCs w:val="32"/>
        </w:rPr>
        <w:t>预算数</w:t>
      </w:r>
      <w:r>
        <w:rPr>
          <w:rFonts w:hint="eastAsia" w:ascii="Times New Roman" w:hAnsi="Times New Roman" w:eastAsia="仿宋_GB2312" w:cs="Times New Roman"/>
          <w:sz w:val="32"/>
          <w:szCs w:val="32"/>
          <w:lang w:eastAsia="zh-CN"/>
        </w:rPr>
        <w:t>，</w:t>
      </w:r>
      <w:r>
        <w:rPr>
          <w:rFonts w:ascii="Times New Roman" w:hAnsi="Times New Roman" w:eastAsia="仿宋_GB2312" w:cs="Times New Roman"/>
          <w:sz w:val="32"/>
          <w:szCs w:val="32"/>
        </w:rPr>
        <w:t>主要原因是</w:t>
      </w:r>
      <w:r>
        <w:rPr>
          <w:rFonts w:hint="eastAsia" w:ascii="Times New Roman" w:hAnsi="Times New Roman" w:eastAsia="仿宋_GB2312" w:cs="Times New Roman"/>
          <w:sz w:val="32"/>
          <w:szCs w:val="32"/>
          <w:lang w:eastAsia="zh-CN"/>
        </w:rPr>
        <w:t>我单位严格按照预算执行决算；与上年一致，无增减变动，主要原因是两年均无公务用车需要运行维护。</w:t>
      </w:r>
      <w:r>
        <w:rPr>
          <w:rFonts w:ascii="Times New Roman" w:hAnsi="Times New Roman" w:eastAsia="仿宋_GB2312" w:cs="Times New Roman"/>
          <w:sz w:val="32"/>
          <w:szCs w:val="32"/>
          <w:highlight w:val="none"/>
        </w:rPr>
        <w:t>截止</w:t>
      </w:r>
      <w:r>
        <w:rPr>
          <w:rFonts w:hint="eastAsia" w:ascii="Times New Roman" w:hAnsi="Times New Roman" w:eastAsia="仿宋_GB2312" w:cs="Times New Roman"/>
          <w:sz w:val="32"/>
          <w:szCs w:val="32"/>
          <w:highlight w:val="none"/>
          <w:lang w:eastAsia="zh-CN"/>
        </w:rPr>
        <w:t>到</w:t>
      </w:r>
      <w:r>
        <w:rPr>
          <w:rFonts w:ascii="Times New Roman" w:hAnsi="Times New Roman" w:eastAsia="仿宋_GB2312" w:cs="Times New Roman"/>
          <w:sz w:val="32"/>
          <w:szCs w:val="32"/>
        </w:rPr>
        <w:t>2024年12月31日，我单位开支财政拨款的公务用车保有量为</w:t>
      </w:r>
      <w:r>
        <w:rPr>
          <w:rFonts w:hint="eastAsia" w:ascii="Times New Roman" w:hAnsi="Times New Roman" w:eastAsia="仿宋_GB2312" w:cs="Times New Roman"/>
          <w:sz w:val="32"/>
          <w:szCs w:val="32"/>
          <w:lang w:val="en-US" w:eastAsia="zh-CN"/>
        </w:rPr>
        <w:t>0</w:t>
      </w:r>
      <w:r>
        <w:rPr>
          <w:rFonts w:ascii="Times New Roman" w:hAnsi="Times New Roman" w:eastAsia="仿宋_GB2312" w:cs="Times New Roman"/>
          <w:sz w:val="32"/>
          <w:szCs w:val="32"/>
        </w:rPr>
        <w:t>辆。</w:t>
      </w:r>
    </w:p>
    <w:p w14:paraId="319FBFCD">
      <w:pPr>
        <w:numPr>
          <w:ilvl w:val="0"/>
          <w:numId w:val="0"/>
        </w:numPr>
        <w:ind w:firstLine="640" w:firstLineChars="200"/>
        <w:rPr>
          <w:rFonts w:hint="eastAsia" w:ascii="Times New Roman" w:hAnsi="Times New Roman" w:eastAsia="仿宋_GB2312"/>
          <w:b/>
          <w:color w:val="auto"/>
          <w:sz w:val="32"/>
          <w:szCs w:val="32"/>
          <w:lang w:eastAsia="zh-CN"/>
        </w:rPr>
      </w:pPr>
      <w:r>
        <w:rPr>
          <w:rFonts w:hint="eastAsia" w:ascii="Times New Roman" w:hAnsi="Times New Roman" w:eastAsia="仿宋_GB2312" w:cs="Times New Roman"/>
          <w:sz w:val="32"/>
          <w:szCs w:val="32"/>
          <w:lang w:val="en-US" w:eastAsia="zh-CN"/>
        </w:rPr>
        <w:t>3</w:t>
      </w:r>
      <w:r>
        <w:rPr>
          <w:rFonts w:ascii="Times New Roman" w:hAnsi="Times New Roman" w:eastAsia="仿宋_GB2312" w:cs="Times New Roman"/>
          <w:sz w:val="32"/>
          <w:szCs w:val="32"/>
        </w:rPr>
        <w:t>.公务接待费支出预算为</w:t>
      </w:r>
      <w:r>
        <w:rPr>
          <w:rFonts w:hint="eastAsia" w:ascii="Times New Roman" w:hAnsi="Times New Roman" w:eastAsia="仿宋_GB2312" w:cs="Times New Roman"/>
          <w:sz w:val="32"/>
          <w:szCs w:val="32"/>
          <w:lang w:val="en-US" w:eastAsia="zh-CN"/>
        </w:rPr>
        <w:t>0</w:t>
      </w:r>
      <w:r>
        <w:rPr>
          <w:rFonts w:ascii="Times New Roman" w:hAnsi="Times New Roman" w:eastAsia="仿宋_GB2312" w:cs="Times New Roman"/>
          <w:sz w:val="32"/>
          <w:szCs w:val="32"/>
        </w:rPr>
        <w:t>万元，支出决算为</w:t>
      </w:r>
      <w:r>
        <w:rPr>
          <w:rFonts w:hint="eastAsia" w:ascii="Times New Roman" w:hAnsi="Times New Roman" w:eastAsia="仿宋_GB2312" w:cs="Times New Roman"/>
          <w:sz w:val="32"/>
          <w:szCs w:val="32"/>
          <w:lang w:val="en-US" w:eastAsia="zh-CN"/>
        </w:rPr>
        <w:t>0</w:t>
      </w:r>
      <w:r>
        <w:rPr>
          <w:rFonts w:ascii="Times New Roman" w:hAnsi="Times New Roman" w:eastAsia="仿宋_GB2312" w:cs="Times New Roman"/>
          <w:sz w:val="32"/>
          <w:szCs w:val="32"/>
        </w:rPr>
        <w:t>万元，决算数</w:t>
      </w:r>
      <w:r>
        <w:rPr>
          <w:rFonts w:hint="eastAsia" w:ascii="Times New Roman" w:hAnsi="Times New Roman" w:eastAsia="仿宋_GB2312" w:cs="Times New Roman"/>
          <w:sz w:val="32"/>
          <w:szCs w:val="32"/>
          <w:lang w:eastAsia="zh-CN"/>
        </w:rPr>
        <w:t>等于</w:t>
      </w:r>
      <w:r>
        <w:rPr>
          <w:rFonts w:ascii="Times New Roman" w:hAnsi="Times New Roman" w:eastAsia="仿宋_GB2312" w:cs="Times New Roman"/>
          <w:sz w:val="32"/>
          <w:szCs w:val="32"/>
        </w:rPr>
        <w:t>预算数</w:t>
      </w:r>
      <w:r>
        <w:rPr>
          <w:rFonts w:hint="eastAsia" w:ascii="Times New Roman" w:hAnsi="Times New Roman" w:eastAsia="仿宋_GB2312" w:cs="Times New Roman"/>
          <w:sz w:val="32"/>
          <w:szCs w:val="32"/>
          <w:lang w:eastAsia="zh-CN"/>
        </w:rPr>
        <w:t>，</w:t>
      </w:r>
      <w:r>
        <w:rPr>
          <w:rFonts w:ascii="Times New Roman" w:hAnsi="Times New Roman" w:eastAsia="仿宋_GB2312" w:cs="Times New Roman"/>
          <w:sz w:val="32"/>
          <w:szCs w:val="32"/>
        </w:rPr>
        <w:t>主要</w:t>
      </w:r>
      <w:r>
        <w:rPr>
          <w:rFonts w:hint="eastAsia" w:ascii="Times New Roman" w:hAnsi="Times New Roman" w:eastAsia="仿宋_GB2312" w:cs="Times New Roman"/>
          <w:sz w:val="32"/>
          <w:szCs w:val="32"/>
          <w:lang w:eastAsia="zh-CN"/>
        </w:rPr>
        <w:t>原因是严格执行中央八项规定；与上年一致，无增减变动，主要原因是按有关政策厉行节约，严控公务接待支出。</w:t>
      </w:r>
      <w:r>
        <w:rPr>
          <w:rFonts w:ascii="Times New Roman" w:hAnsi="Times New Roman" w:eastAsia="仿宋_GB2312" w:cs="Times New Roman"/>
          <w:sz w:val="32"/>
          <w:szCs w:val="32"/>
        </w:rPr>
        <w:t>2024年度共接待来访团组</w:t>
      </w:r>
      <w:r>
        <w:rPr>
          <w:rFonts w:hint="eastAsia" w:ascii="Times New Roman" w:hAnsi="Times New Roman" w:eastAsia="仿宋_GB2312" w:cs="Times New Roman"/>
          <w:sz w:val="32"/>
          <w:szCs w:val="32"/>
          <w:lang w:val="en-US" w:eastAsia="zh-CN"/>
        </w:rPr>
        <w:t>0</w:t>
      </w:r>
      <w:r>
        <w:rPr>
          <w:rFonts w:ascii="Times New Roman" w:hAnsi="Times New Roman" w:eastAsia="仿宋_GB2312" w:cs="Times New Roman"/>
          <w:sz w:val="32"/>
          <w:szCs w:val="32"/>
        </w:rPr>
        <w:t>个、来宾</w:t>
      </w:r>
      <w:r>
        <w:rPr>
          <w:rFonts w:hint="eastAsia" w:ascii="Times New Roman" w:hAnsi="Times New Roman" w:eastAsia="仿宋_GB2312" w:cs="Times New Roman"/>
          <w:sz w:val="32"/>
          <w:szCs w:val="32"/>
          <w:lang w:val="en-US" w:eastAsia="zh-CN"/>
        </w:rPr>
        <w:t>0</w:t>
      </w:r>
      <w:r>
        <w:rPr>
          <w:rFonts w:ascii="Times New Roman" w:hAnsi="Times New Roman" w:eastAsia="仿宋_GB2312" w:cs="Times New Roman"/>
          <w:sz w:val="32"/>
          <w:szCs w:val="32"/>
        </w:rPr>
        <w:t>人次。</w:t>
      </w:r>
    </w:p>
    <w:p w14:paraId="6BB58B7B">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ascii="Times New Roman" w:hAnsi="Times New Roman" w:eastAsia="仿宋_GB2312"/>
          <w:b/>
          <w:color w:val="auto"/>
          <w:sz w:val="32"/>
          <w:szCs w:val="32"/>
        </w:rPr>
      </w:pPr>
      <w:r>
        <w:rPr>
          <w:rFonts w:hint="eastAsia" w:ascii="Times New Roman" w:hAnsi="Times New Roman" w:eastAsia="仿宋_GB2312"/>
          <w:b/>
          <w:color w:val="auto"/>
          <w:sz w:val="32"/>
          <w:szCs w:val="32"/>
          <w:lang w:eastAsia="zh-CN"/>
        </w:rPr>
        <w:t>十</w:t>
      </w:r>
      <w:r>
        <w:rPr>
          <w:rFonts w:hint="eastAsia" w:ascii="Times New Roman" w:hAnsi="Times New Roman" w:eastAsia="仿宋_GB2312"/>
          <w:b/>
          <w:color w:val="auto"/>
          <w:sz w:val="32"/>
          <w:szCs w:val="32"/>
        </w:rPr>
        <w:t>、关于机关运行经费支出说明</w:t>
      </w:r>
    </w:p>
    <w:p w14:paraId="117779AF">
      <w:pPr>
        <w:pStyle w:val="13"/>
        <w:ind w:firstLine="640" w:firstLineChars="200"/>
        <w:rPr>
          <w:rFonts w:hint="eastAsia" w:ascii="楷体" w:hAnsi="楷体" w:eastAsia="楷体" w:cs="楷体"/>
          <w:sz w:val="32"/>
          <w:szCs w:val="32"/>
        </w:rPr>
      </w:pPr>
      <w:r>
        <w:rPr>
          <w:rFonts w:hint="eastAsia" w:ascii="仿宋_GB2312" w:hAnsi="仿宋_GB2312" w:eastAsia="仿宋_GB2312" w:cs="仿宋_GB2312"/>
          <w:sz w:val="32"/>
          <w:szCs w:val="32"/>
        </w:rPr>
        <w:t>本部门202</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年度机关运行经费支出0万元，与年初预算数一致。主要原因是：本单位为事业单位，按照机关运行经费的口径，本年度机关运行经费为0。</w:t>
      </w:r>
    </w:p>
    <w:p w14:paraId="20EBC35E">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十</w:t>
      </w:r>
      <w:r>
        <w:rPr>
          <w:rFonts w:hint="eastAsia" w:hAnsi="黑体" w:cs="黑体"/>
          <w:b w:val="0"/>
          <w:bCs/>
          <w:sz w:val="32"/>
          <w:szCs w:val="32"/>
          <w:lang w:eastAsia="zh-CN"/>
        </w:rPr>
        <w:t>一</w:t>
      </w:r>
      <w:r>
        <w:rPr>
          <w:rFonts w:hint="eastAsia" w:ascii="黑体" w:hAnsi="黑体" w:eastAsia="黑体" w:cs="黑体"/>
          <w:b w:val="0"/>
          <w:bCs/>
          <w:sz w:val="32"/>
          <w:szCs w:val="32"/>
        </w:rPr>
        <w:t>、一般性支出情况说明</w:t>
      </w:r>
    </w:p>
    <w:p w14:paraId="796B34E1">
      <w:pPr>
        <w:pStyle w:val="13"/>
        <w:ind w:firstLine="640" w:firstLineChars="200"/>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lang w:val="en-US" w:eastAsia="zh-CN"/>
        </w:rPr>
        <w:t>年度，会议费年初预算</w:t>
      </w:r>
      <w:r>
        <w:rPr>
          <w:rFonts w:hint="default"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lang w:val="en-US" w:eastAsia="zh-CN"/>
        </w:rPr>
        <w:t>万元，支出决算为</w:t>
      </w:r>
      <w:r>
        <w:rPr>
          <w:rFonts w:hint="default"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lang w:val="en-US" w:eastAsia="zh-CN"/>
        </w:rPr>
        <w:t>万元，</w:t>
      </w:r>
      <w:r>
        <w:rPr>
          <w:rFonts w:hint="eastAsia" w:ascii="仿宋_GB2312" w:hAnsi="仿宋_GB2312" w:eastAsia="仿宋_GB2312" w:cs="仿宋_GB2312"/>
          <w:sz w:val="32"/>
          <w:szCs w:val="32"/>
        </w:rPr>
        <w:t>用于召开会议，人数0人，内容为无。</w:t>
      </w:r>
    </w:p>
    <w:p w14:paraId="0D19F529">
      <w:pPr>
        <w:autoSpaceDE w:val="0"/>
        <w:autoSpaceDN w:val="0"/>
        <w:adjustRightInd w:val="0"/>
        <w:ind w:firstLine="640" w:firstLineChars="200"/>
        <w:rPr>
          <w:rFonts w:hint="eastAsia" w:ascii="仿宋_GB2312" w:hAnsi="仿宋_GB2312" w:eastAsia="仿宋_GB2312" w:cs="仿宋_GB2312"/>
          <w:color w:val="000000"/>
          <w:kern w:val="0"/>
          <w:sz w:val="32"/>
          <w:szCs w:val="32"/>
          <w:lang w:val="en-US" w:eastAsia="zh-CN" w:bidi="ar-SA"/>
        </w:rPr>
      </w:pPr>
      <w:r>
        <w:rPr>
          <w:rFonts w:hint="eastAsia" w:ascii="仿宋_GB2312" w:hAnsi="仿宋_GB2312" w:eastAsia="仿宋_GB2312" w:cs="仿宋_GB2312"/>
          <w:color w:val="000000"/>
          <w:kern w:val="0"/>
          <w:sz w:val="32"/>
          <w:szCs w:val="32"/>
          <w:lang w:val="en-US" w:eastAsia="zh-CN" w:bidi="ar-SA"/>
        </w:rPr>
        <w:t>培训费年初预算</w:t>
      </w:r>
      <w:r>
        <w:rPr>
          <w:rFonts w:hint="default" w:ascii="仿宋_GB2312" w:hAnsi="仿宋_GB2312" w:eastAsia="仿宋_GB2312" w:cs="仿宋_GB2312"/>
          <w:color w:val="000000"/>
          <w:kern w:val="0"/>
          <w:sz w:val="32"/>
          <w:szCs w:val="32"/>
          <w:lang w:val="en-US" w:eastAsia="zh-CN" w:bidi="ar-SA"/>
        </w:rPr>
        <w:t>0</w:t>
      </w:r>
      <w:r>
        <w:rPr>
          <w:rFonts w:hint="eastAsia" w:ascii="仿宋_GB2312" w:hAnsi="仿宋_GB2312" w:eastAsia="仿宋_GB2312" w:cs="仿宋_GB2312"/>
          <w:color w:val="000000"/>
          <w:kern w:val="0"/>
          <w:sz w:val="32"/>
          <w:szCs w:val="32"/>
          <w:lang w:val="en-US" w:eastAsia="zh-CN" w:bidi="ar-SA"/>
        </w:rPr>
        <w:t>万元，支出决算为</w:t>
      </w:r>
      <w:r>
        <w:rPr>
          <w:rFonts w:hint="default" w:ascii="仿宋_GB2312" w:hAnsi="仿宋_GB2312" w:eastAsia="仿宋_GB2312" w:cs="仿宋_GB2312"/>
          <w:color w:val="000000"/>
          <w:kern w:val="0"/>
          <w:sz w:val="32"/>
          <w:szCs w:val="32"/>
          <w:lang w:val="en-US" w:eastAsia="zh-CN" w:bidi="ar-SA"/>
        </w:rPr>
        <w:t>0</w:t>
      </w:r>
      <w:r>
        <w:rPr>
          <w:rFonts w:hint="eastAsia" w:ascii="仿宋_GB2312" w:hAnsi="仿宋_GB2312" w:eastAsia="仿宋_GB2312" w:cs="仿宋_GB2312"/>
          <w:color w:val="000000"/>
          <w:kern w:val="0"/>
          <w:sz w:val="32"/>
          <w:szCs w:val="32"/>
          <w:lang w:val="en-US" w:eastAsia="zh-CN" w:bidi="ar-SA"/>
        </w:rPr>
        <w:t>万元。</w:t>
      </w:r>
      <w:r>
        <w:rPr>
          <w:rFonts w:hint="eastAsia" w:ascii="仿宋_GB2312" w:hAnsi="仿宋_GB2312" w:eastAsia="仿宋_GB2312" w:cs="仿宋_GB2312"/>
          <w:color w:val="000000"/>
          <w:kern w:val="0"/>
          <w:sz w:val="32"/>
          <w:szCs w:val="32"/>
        </w:rPr>
        <w:t>用于开展培训，人数0人，内容为无。</w:t>
      </w:r>
    </w:p>
    <w:p w14:paraId="5CF3E29B">
      <w:pPr>
        <w:autoSpaceDE w:val="0"/>
        <w:autoSpaceDN w:val="0"/>
        <w:adjustRightInd w:val="0"/>
        <w:ind w:firstLine="640" w:firstLineChars="200"/>
        <w:rPr>
          <w:rFonts w:hint="eastAsia" w:ascii="仿宋_GB2312" w:hAnsi="仿宋_GB2312" w:eastAsia="仿宋_GB2312" w:cs="仿宋_GB2312"/>
          <w:color w:val="000000"/>
          <w:kern w:val="0"/>
          <w:sz w:val="32"/>
          <w:szCs w:val="32"/>
          <w:lang w:val="en-US" w:eastAsia="zh-CN" w:bidi="ar-SA"/>
        </w:rPr>
      </w:pPr>
      <w:r>
        <w:rPr>
          <w:rFonts w:hint="eastAsia" w:ascii="仿宋_GB2312" w:hAnsi="仿宋_GB2312" w:eastAsia="仿宋_GB2312" w:cs="仿宋_GB2312"/>
          <w:color w:val="000000"/>
          <w:kern w:val="0"/>
          <w:sz w:val="32"/>
          <w:szCs w:val="32"/>
          <w:lang w:val="en-US" w:eastAsia="zh-CN" w:bidi="ar-SA"/>
        </w:rPr>
        <w:t>举办节庆、晚会、论坛、赛事活动年初预算</w:t>
      </w:r>
      <w:r>
        <w:rPr>
          <w:rFonts w:hint="default" w:ascii="仿宋_GB2312" w:hAnsi="仿宋_GB2312" w:eastAsia="仿宋_GB2312" w:cs="仿宋_GB2312"/>
          <w:color w:val="000000"/>
          <w:kern w:val="0"/>
          <w:sz w:val="32"/>
          <w:szCs w:val="32"/>
          <w:lang w:val="en-US" w:eastAsia="zh-CN" w:bidi="ar-SA"/>
        </w:rPr>
        <w:t>0</w:t>
      </w:r>
      <w:r>
        <w:rPr>
          <w:rFonts w:hint="eastAsia" w:ascii="仿宋_GB2312" w:hAnsi="仿宋_GB2312" w:eastAsia="仿宋_GB2312" w:cs="仿宋_GB2312"/>
          <w:color w:val="000000"/>
          <w:kern w:val="0"/>
          <w:sz w:val="32"/>
          <w:szCs w:val="32"/>
          <w:lang w:val="en-US" w:eastAsia="zh-CN" w:bidi="ar-SA"/>
        </w:rPr>
        <w:t>万元，支出决算为</w:t>
      </w:r>
      <w:r>
        <w:rPr>
          <w:rFonts w:hint="default" w:ascii="仿宋_GB2312" w:hAnsi="仿宋_GB2312" w:eastAsia="仿宋_GB2312" w:cs="仿宋_GB2312"/>
          <w:color w:val="000000"/>
          <w:kern w:val="0"/>
          <w:sz w:val="32"/>
          <w:szCs w:val="32"/>
          <w:lang w:val="en-US" w:eastAsia="zh-CN" w:bidi="ar-SA"/>
        </w:rPr>
        <w:t>0</w:t>
      </w:r>
      <w:r>
        <w:rPr>
          <w:rFonts w:hint="eastAsia" w:ascii="仿宋_GB2312" w:hAnsi="仿宋_GB2312" w:eastAsia="仿宋_GB2312" w:cs="仿宋_GB2312"/>
          <w:color w:val="000000"/>
          <w:kern w:val="0"/>
          <w:sz w:val="32"/>
          <w:szCs w:val="32"/>
          <w:lang w:val="en-US" w:eastAsia="zh-CN" w:bidi="ar-SA"/>
        </w:rPr>
        <w:t>万元，</w:t>
      </w:r>
      <w:r>
        <w:rPr>
          <w:rFonts w:hint="eastAsia" w:ascii="仿宋_GB2312" w:hAnsi="仿宋_GB2312" w:eastAsia="仿宋_GB2312" w:cs="仿宋_GB2312"/>
          <w:color w:val="000000"/>
          <w:kern w:val="0"/>
          <w:sz w:val="32"/>
          <w:szCs w:val="32"/>
        </w:rPr>
        <w:t>主要是无。</w:t>
      </w:r>
    </w:p>
    <w:p w14:paraId="657B87CB">
      <w:pPr>
        <w:widowControl w:val="0"/>
        <w:autoSpaceDE w:val="0"/>
        <w:autoSpaceDN w:val="0"/>
        <w:adjustRightInd w:val="0"/>
        <w:ind w:firstLine="640" w:firstLineChars="200"/>
        <w:rPr>
          <w:rFonts w:hint="default" w:ascii="仿宋_GB2312" w:hAnsi="仿宋_GB2312" w:eastAsia="仿宋_GB2312" w:cs="仿宋_GB2312"/>
          <w:b/>
          <w:bCs/>
          <w:i/>
          <w:color w:val="FF0000"/>
          <w:kern w:val="0"/>
          <w:sz w:val="32"/>
          <w:szCs w:val="32"/>
          <w:highlight w:val="yellow"/>
          <w:lang w:val="en-US" w:eastAsia="zh-CN" w:bidi="ar-SA"/>
        </w:rPr>
      </w:pPr>
      <w:r>
        <w:rPr>
          <w:rFonts w:hint="eastAsia" w:ascii="仿宋_GB2312" w:hAnsi="仿宋_GB2312" w:eastAsia="仿宋_GB2312" w:cs="仿宋_GB2312"/>
          <w:color w:val="000000"/>
          <w:kern w:val="0"/>
          <w:sz w:val="32"/>
          <w:szCs w:val="32"/>
          <w:lang w:val="en-US" w:eastAsia="zh-CN" w:bidi="ar-SA"/>
        </w:rPr>
        <w:t>本单位无会议费的预算和支出决算数；本单位无培训费的预算和支出决算数；本单位无举办节庆、晚会、论坛、赛事等活动的预算和支出决算数。</w:t>
      </w:r>
    </w:p>
    <w:p w14:paraId="1BA8E1E5">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highlight w:val="none"/>
        </w:rPr>
      </w:pPr>
      <w:r>
        <w:rPr>
          <w:rFonts w:hint="eastAsia" w:ascii="黑体" w:hAnsi="黑体" w:eastAsia="黑体" w:cs="黑体"/>
          <w:b w:val="0"/>
          <w:bCs/>
          <w:sz w:val="32"/>
          <w:szCs w:val="32"/>
        </w:rPr>
        <w:t>十</w:t>
      </w:r>
      <w:r>
        <w:rPr>
          <w:rFonts w:hint="eastAsia" w:hAnsi="黑体" w:cs="黑体"/>
          <w:b w:val="0"/>
          <w:bCs/>
          <w:sz w:val="32"/>
          <w:szCs w:val="32"/>
          <w:lang w:eastAsia="zh-CN"/>
        </w:rPr>
        <w:t>二</w:t>
      </w:r>
      <w:r>
        <w:rPr>
          <w:rFonts w:hint="eastAsia" w:ascii="黑体" w:hAnsi="黑体" w:eastAsia="黑体" w:cs="黑体"/>
          <w:b w:val="0"/>
          <w:bCs/>
          <w:sz w:val="32"/>
          <w:szCs w:val="32"/>
        </w:rPr>
        <w:t>、</w:t>
      </w:r>
      <w:r>
        <w:rPr>
          <w:rFonts w:hint="eastAsia" w:ascii="黑体" w:hAnsi="黑体" w:eastAsia="黑体" w:cs="黑体"/>
          <w:b w:val="0"/>
          <w:bCs/>
          <w:sz w:val="32"/>
          <w:szCs w:val="32"/>
          <w:highlight w:val="none"/>
        </w:rPr>
        <w:t>关于政府采购支出说明</w:t>
      </w:r>
    </w:p>
    <w:p w14:paraId="43784C3A">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sz w:val="32"/>
          <w:szCs w:val="32"/>
        </w:rPr>
        <w:t>本部门202</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年度政府采购支出总额</w:t>
      </w:r>
      <w:r>
        <w:rPr>
          <w:rFonts w:hint="eastAsia" w:ascii="仿宋_GB2312" w:hAnsi="仿宋_GB2312" w:eastAsia="仿宋_GB2312" w:cs="仿宋_GB2312"/>
          <w:sz w:val="32"/>
          <w:szCs w:val="32"/>
          <w:lang w:val="en-US" w:eastAsia="zh-CN"/>
        </w:rPr>
        <w:t>16.98</w:t>
      </w:r>
      <w:r>
        <w:rPr>
          <w:rFonts w:hint="eastAsia" w:ascii="仿宋_GB2312" w:hAnsi="仿宋_GB2312" w:eastAsia="仿宋_GB2312" w:cs="仿宋_GB2312"/>
          <w:sz w:val="32"/>
          <w:szCs w:val="32"/>
        </w:rPr>
        <w:t>万元，其中：政府采购货物支出</w:t>
      </w:r>
      <w:r>
        <w:rPr>
          <w:rFonts w:hint="eastAsia" w:ascii="仿宋_GB2312" w:hAnsi="仿宋_GB2312" w:eastAsia="仿宋_GB2312" w:cs="仿宋_GB2312"/>
          <w:sz w:val="32"/>
          <w:szCs w:val="32"/>
          <w:lang w:val="en-US" w:eastAsia="zh-CN"/>
        </w:rPr>
        <w:t>1.22</w:t>
      </w:r>
      <w:r>
        <w:rPr>
          <w:rFonts w:hint="eastAsia" w:ascii="仿宋_GB2312" w:hAnsi="仿宋_GB2312" w:eastAsia="仿宋_GB2312" w:cs="仿宋_GB2312"/>
          <w:sz w:val="32"/>
          <w:szCs w:val="32"/>
        </w:rPr>
        <w:t>万元、政府采购工程支出</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万元、政府采购服务支出</w:t>
      </w:r>
      <w:r>
        <w:rPr>
          <w:rFonts w:hint="eastAsia" w:ascii="仿宋_GB2312" w:hAnsi="仿宋_GB2312" w:eastAsia="仿宋_GB2312" w:cs="仿宋_GB2312"/>
          <w:sz w:val="32"/>
          <w:szCs w:val="32"/>
          <w:lang w:val="en-US" w:eastAsia="zh-CN"/>
        </w:rPr>
        <w:t>15.76</w:t>
      </w:r>
      <w:r>
        <w:rPr>
          <w:rFonts w:hint="eastAsia" w:ascii="仿宋_GB2312" w:hAnsi="仿宋_GB2312" w:eastAsia="仿宋_GB2312" w:cs="仿宋_GB2312"/>
          <w:sz w:val="32"/>
          <w:szCs w:val="32"/>
        </w:rPr>
        <w:t>万元。授予中小企业合同金额</w:t>
      </w:r>
      <w:r>
        <w:rPr>
          <w:rFonts w:hint="eastAsia" w:ascii="仿宋_GB2312" w:hAnsi="仿宋_GB2312" w:eastAsia="仿宋_GB2312" w:cs="仿宋_GB2312"/>
          <w:sz w:val="32"/>
          <w:szCs w:val="32"/>
          <w:lang w:val="en-US" w:eastAsia="zh-CN"/>
        </w:rPr>
        <w:t>16.98</w:t>
      </w:r>
      <w:r>
        <w:rPr>
          <w:rFonts w:hint="eastAsia" w:ascii="仿宋_GB2312" w:hAnsi="仿宋_GB2312" w:eastAsia="仿宋_GB2312" w:cs="仿宋_GB2312"/>
          <w:sz w:val="32"/>
          <w:szCs w:val="32"/>
        </w:rPr>
        <w:t>万元，占政府采购支出总额的</w:t>
      </w:r>
      <w:r>
        <w:rPr>
          <w:rFonts w:hint="eastAsia" w:ascii="仿宋_GB2312" w:hAnsi="仿宋_GB2312" w:eastAsia="仿宋_GB2312" w:cs="仿宋_GB2312"/>
          <w:sz w:val="32"/>
          <w:szCs w:val="32"/>
          <w:lang w:val="en-US" w:eastAsia="zh-CN"/>
        </w:rPr>
        <w:t>100</w:t>
      </w:r>
      <w:r>
        <w:rPr>
          <w:rFonts w:hint="eastAsia" w:ascii="仿宋_GB2312" w:hAnsi="仿宋_GB2312" w:eastAsia="仿宋_GB2312" w:cs="仿宋_GB2312"/>
          <w:sz w:val="32"/>
          <w:szCs w:val="32"/>
        </w:rPr>
        <w:t>%，其中：授予小微企业合同金额</w:t>
      </w:r>
      <w:r>
        <w:rPr>
          <w:rFonts w:hint="eastAsia" w:ascii="仿宋_GB2312" w:hAnsi="仿宋_GB2312" w:eastAsia="仿宋_GB2312" w:cs="仿宋_GB2312"/>
          <w:sz w:val="32"/>
          <w:szCs w:val="32"/>
          <w:lang w:val="en-US" w:eastAsia="zh-CN"/>
        </w:rPr>
        <w:t>16.98</w:t>
      </w:r>
      <w:r>
        <w:rPr>
          <w:rFonts w:hint="eastAsia" w:ascii="仿宋_GB2312" w:hAnsi="仿宋_GB2312" w:eastAsia="仿宋_GB2312" w:cs="仿宋_GB2312"/>
          <w:sz w:val="32"/>
          <w:szCs w:val="32"/>
        </w:rPr>
        <w:t>万元，</w:t>
      </w:r>
      <w:r>
        <w:rPr>
          <w:rFonts w:hint="eastAsia" w:ascii="仿宋_GB2312" w:hAnsi="仿宋_GB2312" w:eastAsia="仿宋_GB2312" w:cs="仿宋_GB2312"/>
          <w:color w:val="auto"/>
          <w:sz w:val="32"/>
          <w:szCs w:val="32"/>
        </w:rPr>
        <w:t>占</w:t>
      </w:r>
      <w:r>
        <w:rPr>
          <w:rFonts w:hint="eastAsia" w:ascii="仿宋_GB2312" w:hAnsi="仿宋_GB2312" w:eastAsia="仿宋_GB2312" w:cs="仿宋_GB2312"/>
          <w:color w:val="auto"/>
          <w:sz w:val="32"/>
          <w:szCs w:val="32"/>
          <w:lang w:eastAsia="zh-CN"/>
        </w:rPr>
        <w:t>授予中小企业合同金额</w:t>
      </w:r>
      <w:r>
        <w:rPr>
          <w:rFonts w:hint="eastAsia" w:ascii="仿宋_GB2312" w:hAnsi="仿宋_GB2312" w:eastAsia="仿宋_GB2312" w:cs="仿宋_GB2312"/>
          <w:color w:val="auto"/>
          <w:sz w:val="32"/>
          <w:szCs w:val="32"/>
        </w:rPr>
        <w:t>的</w:t>
      </w:r>
      <w:r>
        <w:rPr>
          <w:rFonts w:hint="eastAsia" w:ascii="仿宋_GB2312" w:hAnsi="仿宋_GB2312" w:eastAsia="仿宋_GB2312" w:cs="仿宋_GB2312"/>
          <w:color w:val="auto"/>
          <w:sz w:val="32"/>
          <w:szCs w:val="32"/>
          <w:lang w:val="en-US" w:eastAsia="zh-CN"/>
        </w:rPr>
        <w:t>100</w:t>
      </w:r>
      <w:r>
        <w:rPr>
          <w:rFonts w:hint="eastAsia" w:ascii="仿宋_GB2312" w:hAnsi="仿宋_GB2312" w:eastAsia="仿宋_GB2312" w:cs="仿宋_GB2312"/>
          <w:color w:val="auto"/>
          <w:sz w:val="32"/>
          <w:szCs w:val="32"/>
        </w:rPr>
        <w:t>%。货物采购授予中小</w:t>
      </w:r>
      <w:r>
        <w:rPr>
          <w:rFonts w:hint="eastAsia" w:ascii="Times New Roman" w:hAnsi="Times New Roman" w:eastAsia="仿宋_GB2312"/>
          <w:color w:val="auto"/>
          <w:sz w:val="32"/>
          <w:szCs w:val="32"/>
        </w:rPr>
        <w:t>企业合同金</w:t>
      </w:r>
      <w:r>
        <w:rPr>
          <w:rFonts w:hint="eastAsia" w:ascii="仿宋_GB2312" w:hAnsi="仿宋_GB2312" w:eastAsia="仿宋_GB2312" w:cs="仿宋_GB2312"/>
          <w:color w:val="auto"/>
          <w:sz w:val="32"/>
          <w:szCs w:val="32"/>
        </w:rPr>
        <w:t>额占货物支出金额的</w:t>
      </w:r>
      <w:r>
        <w:rPr>
          <w:rFonts w:hint="eastAsia" w:ascii="仿宋_GB2312" w:hAnsi="仿宋_GB2312" w:eastAsia="仿宋_GB2312" w:cs="仿宋_GB2312"/>
          <w:color w:val="auto"/>
          <w:sz w:val="32"/>
          <w:szCs w:val="32"/>
          <w:lang w:val="en-US" w:eastAsia="zh-CN"/>
        </w:rPr>
        <w:t>7.18</w:t>
      </w:r>
      <w:r>
        <w:rPr>
          <w:rFonts w:hint="eastAsia" w:ascii="仿宋_GB2312" w:hAnsi="仿宋_GB2312" w:eastAsia="仿宋_GB2312" w:cs="仿宋_GB2312"/>
          <w:color w:val="auto"/>
          <w:sz w:val="32"/>
          <w:szCs w:val="32"/>
        </w:rPr>
        <w:t>%，工程采购授予中小企业合同金额占工程支出金额的</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rPr>
        <w:t>%，服务采购授予中小企业合同金额占服务支出金额的</w:t>
      </w:r>
      <w:r>
        <w:rPr>
          <w:rFonts w:hint="eastAsia" w:ascii="仿宋_GB2312" w:hAnsi="仿宋_GB2312" w:eastAsia="仿宋_GB2312" w:cs="仿宋_GB2312"/>
          <w:color w:val="auto"/>
          <w:sz w:val="32"/>
          <w:szCs w:val="32"/>
          <w:lang w:val="en-US" w:eastAsia="zh-CN"/>
        </w:rPr>
        <w:t>92.82</w:t>
      </w:r>
      <w:r>
        <w:rPr>
          <w:rFonts w:hint="eastAsia" w:ascii="仿宋_GB2312" w:hAnsi="仿宋_GB2312" w:eastAsia="仿宋_GB2312" w:cs="仿宋_GB2312"/>
          <w:color w:val="auto"/>
          <w:sz w:val="32"/>
          <w:szCs w:val="32"/>
        </w:rPr>
        <w:t>%。</w:t>
      </w:r>
    </w:p>
    <w:p w14:paraId="14446CF5">
      <w:pPr>
        <w:pStyle w:val="13"/>
        <w:keepNext w:val="0"/>
        <w:keepLines w:val="0"/>
        <w:pageBreakBefore w:val="0"/>
        <w:widowControl w:val="0"/>
        <w:kinsoku/>
        <w:wordWrap/>
        <w:overflowPunct/>
        <w:topLinePunct w:val="0"/>
        <w:autoSpaceDE w:val="0"/>
        <w:autoSpaceDN w:val="0"/>
        <w:bidi w:val="0"/>
        <w:adjustRightInd w:val="0"/>
        <w:snapToGrid/>
        <w:spacing w:line="580" w:lineRule="exact"/>
        <w:ind w:firstLine="640" w:firstLineChars="200"/>
        <w:textAlignment w:val="auto"/>
        <w:rPr>
          <w:rFonts w:hint="eastAsia" w:ascii="黑体" w:hAnsi="黑体" w:eastAsia="黑体" w:cs="黑体"/>
          <w:b w:val="0"/>
          <w:bCs/>
          <w:color w:val="auto"/>
          <w:sz w:val="32"/>
          <w:szCs w:val="32"/>
        </w:rPr>
      </w:pPr>
      <w:r>
        <w:rPr>
          <w:rFonts w:hint="eastAsia" w:ascii="黑体" w:hAnsi="黑体" w:eastAsia="黑体" w:cs="黑体"/>
          <w:b w:val="0"/>
          <w:bCs/>
          <w:color w:val="auto"/>
          <w:sz w:val="32"/>
          <w:szCs w:val="32"/>
        </w:rPr>
        <w:t>十</w:t>
      </w:r>
      <w:r>
        <w:rPr>
          <w:rFonts w:hint="eastAsia" w:hAnsi="黑体" w:cs="黑体"/>
          <w:b w:val="0"/>
          <w:bCs/>
          <w:color w:val="auto"/>
          <w:sz w:val="32"/>
          <w:szCs w:val="32"/>
          <w:lang w:eastAsia="zh-CN"/>
        </w:rPr>
        <w:t>三</w:t>
      </w:r>
      <w:r>
        <w:rPr>
          <w:rFonts w:hint="eastAsia" w:ascii="黑体" w:hAnsi="黑体" w:eastAsia="黑体" w:cs="黑体"/>
          <w:b w:val="0"/>
          <w:bCs/>
          <w:color w:val="auto"/>
          <w:sz w:val="32"/>
          <w:szCs w:val="32"/>
        </w:rPr>
        <w:t>、关于国有资产占用情况说明</w:t>
      </w:r>
    </w:p>
    <w:p w14:paraId="12682F8C">
      <w:pPr>
        <w:pStyle w:val="13"/>
        <w:keepNext w:val="0"/>
        <w:keepLines w:val="0"/>
        <w:pageBreakBefore w:val="0"/>
        <w:widowControl w:val="0"/>
        <w:kinsoku/>
        <w:wordWrap/>
        <w:overflowPunct/>
        <w:topLinePunct w:val="0"/>
        <w:autoSpaceDE w:val="0"/>
        <w:autoSpaceDN w:val="0"/>
        <w:bidi w:val="0"/>
        <w:adjustRightInd w:val="0"/>
        <w:snapToGrid/>
        <w:spacing w:line="58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截至202</w:t>
      </w:r>
      <w:r>
        <w:rPr>
          <w:rFonts w:hint="eastAsia" w:ascii="仿宋_GB2312" w:hAnsi="仿宋_GB2312" w:eastAsia="仿宋_GB2312" w:cs="仿宋_GB2312"/>
          <w:color w:val="auto"/>
          <w:sz w:val="32"/>
          <w:szCs w:val="32"/>
          <w:lang w:val="en-US" w:eastAsia="zh-CN"/>
        </w:rPr>
        <w:t>4</w:t>
      </w:r>
      <w:r>
        <w:rPr>
          <w:rFonts w:hint="eastAsia" w:ascii="仿宋_GB2312" w:hAnsi="仿宋_GB2312" w:eastAsia="仿宋_GB2312" w:cs="仿宋_GB2312"/>
          <w:color w:val="auto"/>
          <w:sz w:val="32"/>
          <w:szCs w:val="32"/>
        </w:rPr>
        <w:t>年12月31日，</w:t>
      </w:r>
      <w:r>
        <w:rPr>
          <w:rFonts w:hint="eastAsia" w:ascii="仿宋_GB2312" w:hAnsi="仿宋_GB2312" w:eastAsia="仿宋_GB2312" w:cs="仿宋_GB2312"/>
          <w:color w:val="auto"/>
          <w:sz w:val="32"/>
          <w:szCs w:val="32"/>
          <w:lang w:eastAsia="zh-CN"/>
        </w:rPr>
        <w:t>本单位</w:t>
      </w:r>
      <w:r>
        <w:rPr>
          <w:rFonts w:hint="eastAsia" w:ascii="仿宋_GB2312" w:hAnsi="仿宋_GB2312" w:eastAsia="仿宋_GB2312" w:cs="仿宋_GB2312"/>
          <w:color w:val="auto"/>
          <w:sz w:val="32"/>
          <w:szCs w:val="32"/>
        </w:rPr>
        <w:t>共有车辆</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rPr>
        <w:t>辆，其中</w:t>
      </w:r>
      <w:r>
        <w:rPr>
          <w:rFonts w:hint="eastAsia" w:ascii="仿宋_GB2312" w:hAnsi="仿宋_GB2312" w:eastAsia="仿宋_GB2312" w:cs="仿宋_GB2312"/>
          <w:color w:val="auto"/>
          <w:sz w:val="32"/>
          <w:szCs w:val="32"/>
          <w:lang w:eastAsia="zh-CN"/>
        </w:rPr>
        <w:t>，副部（省）级及以上领导用车</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rPr>
        <w:t>辆</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主要</w:t>
      </w:r>
      <w:r>
        <w:rPr>
          <w:rFonts w:hint="eastAsia" w:ascii="仿宋_GB2312" w:hAnsi="仿宋_GB2312" w:eastAsia="仿宋_GB2312" w:cs="仿宋_GB2312"/>
          <w:color w:val="auto"/>
          <w:sz w:val="32"/>
          <w:szCs w:val="32"/>
          <w:lang w:eastAsia="zh-CN"/>
        </w:rPr>
        <w:t>负责人</w:t>
      </w:r>
      <w:r>
        <w:rPr>
          <w:rFonts w:hint="eastAsia" w:ascii="仿宋_GB2312" w:hAnsi="仿宋_GB2312" w:eastAsia="仿宋_GB2312" w:cs="仿宋_GB2312"/>
          <w:color w:val="auto"/>
          <w:sz w:val="32"/>
          <w:szCs w:val="32"/>
        </w:rPr>
        <w:t>用车</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rPr>
        <w:t>辆</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机要通信用车</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rPr>
        <w:t>辆、应急保障用车</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rPr>
        <w:t>辆、执法执勤用车</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rPr>
        <w:t>辆、特种专业技术用车</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rPr>
        <w:t>辆、</w:t>
      </w:r>
      <w:r>
        <w:rPr>
          <w:rFonts w:hint="eastAsia" w:ascii="仿宋_GB2312" w:hAnsi="仿宋_GB2312" w:eastAsia="仿宋_GB2312" w:cs="仿宋_GB2312"/>
          <w:color w:val="auto"/>
          <w:sz w:val="32"/>
          <w:szCs w:val="32"/>
          <w:lang w:eastAsia="zh-CN"/>
        </w:rPr>
        <w:t>离退休干部服务用车</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rPr>
        <w:t>辆、其他用车</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rPr>
        <w:t>辆；单位价值100万元以上设备</w:t>
      </w:r>
      <w:r>
        <w:rPr>
          <w:rFonts w:hint="eastAsia" w:ascii="仿宋_GB2312" w:hAnsi="仿宋_GB2312" w:eastAsia="仿宋_GB2312" w:cs="仿宋_GB2312"/>
          <w:color w:val="auto"/>
          <w:sz w:val="32"/>
          <w:szCs w:val="32"/>
          <w:lang w:eastAsia="zh-CN"/>
        </w:rPr>
        <w:t>（不含车辆）</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rPr>
        <w:t>台（套）。</w:t>
      </w:r>
    </w:p>
    <w:p w14:paraId="41F954A0">
      <w:pPr>
        <w:pStyle w:val="13"/>
        <w:keepNext w:val="0"/>
        <w:keepLines w:val="0"/>
        <w:pageBreakBefore w:val="0"/>
        <w:widowControl w:val="0"/>
        <w:kinsoku/>
        <w:wordWrap/>
        <w:overflowPunct/>
        <w:topLinePunct w:val="0"/>
        <w:autoSpaceDE w:val="0"/>
        <w:autoSpaceDN w:val="0"/>
        <w:bidi w:val="0"/>
        <w:adjustRightInd w:val="0"/>
        <w:snapToGrid/>
        <w:spacing w:line="580" w:lineRule="exact"/>
        <w:ind w:firstLine="640" w:firstLineChars="200"/>
        <w:textAlignment w:val="auto"/>
        <w:rPr>
          <w:rFonts w:hint="eastAsia" w:ascii="黑体" w:hAnsi="黑体" w:eastAsia="黑体" w:cs="黑体"/>
          <w:b w:val="0"/>
          <w:bCs/>
          <w:color w:val="auto"/>
          <w:sz w:val="32"/>
          <w:szCs w:val="32"/>
          <w:highlight w:val="none"/>
        </w:rPr>
      </w:pPr>
      <w:r>
        <w:rPr>
          <w:rFonts w:hint="eastAsia" w:ascii="黑体" w:hAnsi="黑体" w:eastAsia="黑体" w:cs="黑体"/>
          <w:b w:val="0"/>
          <w:bCs/>
          <w:color w:val="auto"/>
          <w:sz w:val="32"/>
          <w:szCs w:val="32"/>
          <w:highlight w:val="none"/>
        </w:rPr>
        <w:t>十</w:t>
      </w:r>
      <w:r>
        <w:rPr>
          <w:rFonts w:hint="eastAsia" w:hAnsi="黑体" w:cs="黑体"/>
          <w:b w:val="0"/>
          <w:bCs/>
          <w:color w:val="auto"/>
          <w:sz w:val="32"/>
          <w:szCs w:val="32"/>
          <w:highlight w:val="none"/>
          <w:lang w:eastAsia="zh-CN"/>
        </w:rPr>
        <w:t>四</w:t>
      </w:r>
      <w:r>
        <w:rPr>
          <w:rFonts w:hint="eastAsia" w:ascii="黑体" w:hAnsi="黑体" w:eastAsia="黑体" w:cs="黑体"/>
          <w:b w:val="0"/>
          <w:bCs/>
          <w:color w:val="auto"/>
          <w:sz w:val="32"/>
          <w:szCs w:val="32"/>
          <w:highlight w:val="none"/>
        </w:rPr>
        <w:t>、关于</w:t>
      </w:r>
      <w:r>
        <w:rPr>
          <w:rFonts w:hint="eastAsia" w:ascii="Times New Roman" w:hAnsi="Times New Roman" w:eastAsia="仿宋_GB2312"/>
          <w:color w:val="auto"/>
          <w:sz w:val="32"/>
          <w:szCs w:val="32"/>
          <w:highlight w:val="none"/>
        </w:rPr>
        <w:t>202</w:t>
      </w:r>
      <w:r>
        <w:rPr>
          <w:rFonts w:hint="eastAsia" w:ascii="Times New Roman" w:hAnsi="Times New Roman" w:eastAsia="仿宋_GB2312"/>
          <w:color w:val="auto"/>
          <w:sz w:val="32"/>
          <w:szCs w:val="32"/>
          <w:highlight w:val="none"/>
          <w:lang w:val="en-US" w:eastAsia="zh-CN"/>
        </w:rPr>
        <w:t>4</w:t>
      </w:r>
      <w:r>
        <w:rPr>
          <w:rFonts w:hint="eastAsia" w:ascii="黑体" w:hAnsi="黑体" w:eastAsia="黑体" w:cs="黑体"/>
          <w:b w:val="0"/>
          <w:bCs/>
          <w:color w:val="auto"/>
          <w:sz w:val="32"/>
          <w:szCs w:val="32"/>
          <w:highlight w:val="none"/>
        </w:rPr>
        <w:t>年度</w:t>
      </w:r>
      <w:r>
        <w:rPr>
          <w:rFonts w:hint="eastAsia" w:hAnsi="黑体" w:cs="黑体"/>
          <w:b w:val="0"/>
          <w:bCs/>
          <w:color w:val="auto"/>
          <w:sz w:val="32"/>
          <w:szCs w:val="32"/>
          <w:highlight w:val="none"/>
          <w:lang w:eastAsia="zh-CN"/>
        </w:rPr>
        <w:t>预算</w:t>
      </w:r>
      <w:r>
        <w:rPr>
          <w:rFonts w:hint="eastAsia" w:ascii="黑体" w:hAnsi="黑体" w:eastAsia="黑体" w:cs="黑体"/>
          <w:b w:val="0"/>
          <w:bCs/>
          <w:color w:val="auto"/>
          <w:sz w:val="32"/>
          <w:szCs w:val="32"/>
          <w:highlight w:val="none"/>
        </w:rPr>
        <w:t>绩效</w:t>
      </w:r>
      <w:r>
        <w:rPr>
          <w:rFonts w:hint="eastAsia" w:hAnsi="黑体" w:cs="黑体"/>
          <w:b w:val="0"/>
          <w:bCs/>
          <w:color w:val="auto"/>
          <w:sz w:val="32"/>
          <w:szCs w:val="32"/>
          <w:highlight w:val="none"/>
          <w:lang w:eastAsia="zh-CN"/>
        </w:rPr>
        <w:t>管理</w:t>
      </w:r>
      <w:r>
        <w:rPr>
          <w:rFonts w:hint="eastAsia" w:ascii="黑体" w:hAnsi="黑体" w:eastAsia="黑体" w:cs="黑体"/>
          <w:b w:val="0"/>
          <w:bCs/>
          <w:color w:val="auto"/>
          <w:sz w:val="32"/>
          <w:szCs w:val="32"/>
          <w:highlight w:val="none"/>
        </w:rPr>
        <w:t>情况的说明</w:t>
      </w:r>
    </w:p>
    <w:p w14:paraId="1E5B4BE3">
      <w:pPr>
        <w:overflowPunct w:val="0"/>
        <w:spacing w:line="600" w:lineRule="exact"/>
        <w:ind w:firstLine="640" w:firstLineChars="200"/>
        <w:rPr>
          <w:rFonts w:ascii="Times New Roman" w:hAnsi="Times New Roman" w:eastAsia="楷体_GB2312" w:cs="Times New Roman"/>
          <w:b/>
          <w:bCs/>
          <w:sz w:val="32"/>
          <w:szCs w:val="32"/>
        </w:rPr>
      </w:pPr>
      <w:r>
        <w:rPr>
          <w:rFonts w:ascii="Times New Roman" w:hAnsi="Times New Roman" w:eastAsia="楷体_GB2312" w:cs="Times New Roman"/>
          <w:b/>
          <w:bCs/>
          <w:sz w:val="32"/>
          <w:szCs w:val="32"/>
        </w:rPr>
        <w:t>（一）绩效评价工作开展情况</w:t>
      </w:r>
    </w:p>
    <w:p w14:paraId="3C20E492">
      <w:pPr>
        <w:overflowPunct w:val="0"/>
        <w:spacing w:line="600" w:lineRule="exact"/>
        <w:ind w:firstLine="640" w:firstLineChars="200"/>
        <w:rPr>
          <w:rFonts w:ascii="Times New Roman" w:hAnsi="Times New Roman" w:eastAsia="仿宋_GB2312" w:cs="Times New Roman"/>
          <w:kern w:val="0"/>
          <w:sz w:val="32"/>
          <w:szCs w:val="32"/>
          <w:highlight w:val="none"/>
        </w:rPr>
      </w:pPr>
      <w:r>
        <w:rPr>
          <w:rFonts w:hint="eastAsia" w:ascii="Times New Roman" w:hAnsi="Times New Roman" w:eastAsia="仿宋_GB2312" w:cs="Times New Roman"/>
          <w:kern w:val="0"/>
          <w:sz w:val="32"/>
          <w:szCs w:val="32"/>
          <w:highlight w:val="none"/>
          <w:lang w:val="en-US" w:eastAsia="zh-CN"/>
        </w:rPr>
        <w:t>1.</w:t>
      </w:r>
      <w:r>
        <w:rPr>
          <w:rFonts w:hint="eastAsia" w:ascii="Times New Roman" w:hAnsi="Times New Roman" w:eastAsia="仿宋_GB2312" w:cs="Times New Roman"/>
          <w:b/>
          <w:bCs/>
          <w:kern w:val="0"/>
          <w:sz w:val="32"/>
          <w:szCs w:val="32"/>
          <w:lang w:val="en-US" w:eastAsia="zh-CN"/>
        </w:rPr>
        <w:t>绩</w:t>
      </w:r>
      <w:r>
        <w:rPr>
          <w:rFonts w:ascii="Times New Roman" w:hAnsi="Times New Roman" w:eastAsia="仿宋_GB2312" w:cs="Times New Roman"/>
          <w:b/>
          <w:bCs/>
          <w:kern w:val="0"/>
          <w:sz w:val="32"/>
          <w:szCs w:val="32"/>
        </w:rPr>
        <w:t>效自评开展情况。</w:t>
      </w:r>
      <w:r>
        <w:rPr>
          <w:rFonts w:ascii="Times New Roman" w:hAnsi="Times New Roman" w:eastAsia="仿宋_GB2312" w:cs="Times New Roman"/>
          <w:kern w:val="0"/>
          <w:sz w:val="32"/>
          <w:szCs w:val="32"/>
        </w:rPr>
        <w:t>组织对2024年度本部门（单位）整体支出开展绩效自评，涉及项目</w:t>
      </w:r>
      <w:r>
        <w:rPr>
          <w:rFonts w:hint="eastAsia" w:ascii="Times New Roman" w:hAnsi="Times New Roman" w:eastAsia="仿宋_GB2312" w:cs="Times New Roman"/>
          <w:kern w:val="0"/>
          <w:sz w:val="32"/>
          <w:szCs w:val="32"/>
          <w:lang w:val="en-US" w:eastAsia="zh-CN"/>
        </w:rPr>
        <w:t>1</w:t>
      </w:r>
      <w:r>
        <w:rPr>
          <w:rFonts w:ascii="Times New Roman" w:hAnsi="Times New Roman" w:eastAsia="仿宋_GB2312" w:cs="Times New Roman"/>
          <w:kern w:val="0"/>
          <w:sz w:val="32"/>
          <w:szCs w:val="32"/>
        </w:rPr>
        <w:t xml:space="preserve"> 个，共涉及资金</w:t>
      </w:r>
      <w:r>
        <w:rPr>
          <w:rFonts w:hint="eastAsia" w:ascii="Times New Roman" w:hAnsi="Times New Roman" w:eastAsia="仿宋_GB2312" w:cs="Times New Roman"/>
          <w:kern w:val="0"/>
          <w:sz w:val="32"/>
          <w:szCs w:val="32"/>
          <w:lang w:val="en-US" w:eastAsia="zh-CN"/>
        </w:rPr>
        <w:t>292.42</w:t>
      </w:r>
      <w:r>
        <w:rPr>
          <w:rFonts w:ascii="Times New Roman" w:hAnsi="Times New Roman" w:eastAsia="仿宋_GB2312" w:cs="Times New Roman"/>
          <w:kern w:val="0"/>
          <w:sz w:val="32"/>
          <w:szCs w:val="32"/>
        </w:rPr>
        <w:t>万元。其中，一般公共预算项目</w:t>
      </w:r>
      <w:r>
        <w:rPr>
          <w:rFonts w:hint="eastAsia" w:ascii="Times New Roman" w:hAnsi="Times New Roman" w:eastAsia="仿宋_GB2312" w:cs="Times New Roman"/>
          <w:kern w:val="0"/>
          <w:sz w:val="32"/>
          <w:szCs w:val="32"/>
          <w:lang w:val="en-US" w:eastAsia="zh-CN"/>
        </w:rPr>
        <w:t>1</w:t>
      </w:r>
      <w:r>
        <w:rPr>
          <w:rFonts w:ascii="Times New Roman" w:hAnsi="Times New Roman" w:eastAsia="仿宋_GB2312" w:cs="Times New Roman"/>
          <w:kern w:val="0"/>
          <w:sz w:val="32"/>
          <w:szCs w:val="32"/>
        </w:rPr>
        <w:t xml:space="preserve"> 个</w:t>
      </w:r>
      <w:r>
        <w:rPr>
          <w:rFonts w:hint="eastAsia" w:ascii="Times New Roman" w:hAnsi="Times New Roman" w:eastAsia="仿宋_GB2312" w:cs="Times New Roman"/>
          <w:kern w:val="0"/>
          <w:sz w:val="32"/>
          <w:szCs w:val="32"/>
          <w:lang w:val="en-US" w:eastAsia="zh-CN"/>
        </w:rPr>
        <w:t>26.86</w:t>
      </w:r>
      <w:r>
        <w:rPr>
          <w:rFonts w:ascii="Times New Roman" w:hAnsi="Times New Roman" w:eastAsia="仿宋_GB2312" w:cs="Times New Roman"/>
          <w:kern w:val="0"/>
          <w:sz w:val="32"/>
          <w:szCs w:val="32"/>
        </w:rPr>
        <w:t xml:space="preserve"> 万元，占一般公共预算支出总额的</w:t>
      </w:r>
      <w:r>
        <w:rPr>
          <w:rFonts w:hint="eastAsia" w:ascii="Times New Roman" w:hAnsi="Times New Roman" w:eastAsia="仿宋_GB2312" w:cs="Times New Roman"/>
          <w:kern w:val="0"/>
          <w:sz w:val="32"/>
          <w:szCs w:val="32"/>
          <w:lang w:val="en-US" w:eastAsia="zh-CN"/>
        </w:rPr>
        <w:t>9.19</w:t>
      </w:r>
      <w:r>
        <w:rPr>
          <w:rFonts w:ascii="Times New Roman" w:hAnsi="Times New Roman" w:eastAsia="仿宋_GB2312" w:cs="Times New Roman"/>
          <w:kern w:val="0"/>
          <w:sz w:val="32"/>
          <w:szCs w:val="32"/>
        </w:rPr>
        <w:t>%；政府性基金预算项目</w:t>
      </w:r>
      <w:r>
        <w:rPr>
          <w:rFonts w:hint="eastAsia" w:ascii="Times New Roman" w:hAnsi="Times New Roman" w:eastAsia="仿宋_GB2312" w:cs="Times New Roman"/>
          <w:kern w:val="0"/>
          <w:sz w:val="32"/>
          <w:szCs w:val="32"/>
          <w:lang w:val="en-US" w:eastAsia="zh-CN"/>
        </w:rPr>
        <w:t>0</w:t>
      </w:r>
      <w:r>
        <w:rPr>
          <w:rFonts w:ascii="Times New Roman" w:hAnsi="Times New Roman" w:eastAsia="仿宋_GB2312" w:cs="Times New Roman"/>
          <w:kern w:val="0"/>
          <w:sz w:val="32"/>
          <w:szCs w:val="32"/>
        </w:rPr>
        <w:t xml:space="preserve"> 个</w:t>
      </w:r>
      <w:r>
        <w:rPr>
          <w:rFonts w:hint="eastAsia" w:ascii="Times New Roman" w:hAnsi="Times New Roman" w:eastAsia="仿宋_GB2312" w:cs="Times New Roman"/>
          <w:kern w:val="0"/>
          <w:sz w:val="32"/>
          <w:szCs w:val="32"/>
          <w:lang w:val="en-US" w:eastAsia="zh-CN"/>
        </w:rPr>
        <w:t>0</w:t>
      </w:r>
      <w:r>
        <w:rPr>
          <w:rFonts w:ascii="Times New Roman" w:hAnsi="Times New Roman" w:eastAsia="仿宋_GB2312" w:cs="Times New Roman"/>
          <w:kern w:val="0"/>
          <w:sz w:val="32"/>
          <w:szCs w:val="32"/>
        </w:rPr>
        <w:t xml:space="preserve"> 万元，占政府性基金预算支出总额的</w:t>
      </w:r>
      <w:r>
        <w:rPr>
          <w:rFonts w:hint="eastAsia" w:ascii="Times New Roman" w:hAnsi="Times New Roman" w:eastAsia="仿宋_GB2312" w:cs="Times New Roman"/>
          <w:kern w:val="0"/>
          <w:sz w:val="32"/>
          <w:szCs w:val="32"/>
          <w:lang w:val="en-US" w:eastAsia="zh-CN"/>
        </w:rPr>
        <w:t>0</w:t>
      </w:r>
      <w:r>
        <w:rPr>
          <w:rFonts w:ascii="Times New Roman" w:hAnsi="Times New Roman" w:eastAsia="仿宋_GB2312" w:cs="Times New Roman"/>
          <w:kern w:val="0"/>
          <w:sz w:val="32"/>
          <w:szCs w:val="32"/>
        </w:rPr>
        <w:t>%；国有资本经营预算项目</w:t>
      </w:r>
      <w:r>
        <w:rPr>
          <w:rFonts w:hint="eastAsia" w:ascii="Times New Roman" w:hAnsi="Times New Roman" w:eastAsia="仿宋_GB2312" w:cs="Times New Roman"/>
          <w:kern w:val="0"/>
          <w:sz w:val="32"/>
          <w:szCs w:val="32"/>
          <w:lang w:val="en-US" w:eastAsia="zh-CN"/>
        </w:rPr>
        <w:t>0</w:t>
      </w:r>
      <w:r>
        <w:rPr>
          <w:rFonts w:ascii="Times New Roman" w:hAnsi="Times New Roman" w:eastAsia="仿宋_GB2312" w:cs="Times New Roman"/>
          <w:kern w:val="0"/>
          <w:sz w:val="32"/>
          <w:szCs w:val="32"/>
        </w:rPr>
        <w:t xml:space="preserve"> 个</w:t>
      </w:r>
      <w:r>
        <w:rPr>
          <w:rFonts w:hint="eastAsia" w:ascii="Times New Roman" w:hAnsi="Times New Roman" w:eastAsia="仿宋_GB2312" w:cs="Times New Roman"/>
          <w:kern w:val="0"/>
          <w:sz w:val="32"/>
          <w:szCs w:val="32"/>
          <w:lang w:val="en-US" w:eastAsia="zh-CN"/>
        </w:rPr>
        <w:t>0</w:t>
      </w:r>
      <w:r>
        <w:rPr>
          <w:rFonts w:ascii="Times New Roman" w:hAnsi="Times New Roman" w:eastAsia="仿宋_GB2312" w:cs="Times New Roman"/>
          <w:kern w:val="0"/>
          <w:sz w:val="32"/>
          <w:szCs w:val="32"/>
        </w:rPr>
        <w:t>万元，占国有资本经营预算支出总额的</w:t>
      </w:r>
      <w:r>
        <w:rPr>
          <w:rFonts w:hint="eastAsia" w:ascii="Times New Roman" w:hAnsi="Times New Roman" w:eastAsia="仿宋_GB2312" w:cs="Times New Roman"/>
          <w:kern w:val="0"/>
          <w:sz w:val="32"/>
          <w:szCs w:val="32"/>
          <w:lang w:val="en-US" w:eastAsia="zh-CN"/>
        </w:rPr>
        <w:t>0</w:t>
      </w:r>
      <w:r>
        <w:rPr>
          <w:rFonts w:ascii="Times New Roman" w:hAnsi="Times New Roman" w:eastAsia="仿宋_GB2312" w:cs="Times New Roman"/>
          <w:kern w:val="0"/>
          <w:sz w:val="32"/>
          <w:szCs w:val="32"/>
        </w:rPr>
        <w:t>%；</w:t>
      </w:r>
      <w:r>
        <w:rPr>
          <w:rFonts w:ascii="Times New Roman" w:hAnsi="Times New Roman" w:eastAsia="仿宋_GB2312" w:cs="Times New Roman"/>
          <w:kern w:val="0"/>
          <w:sz w:val="32"/>
          <w:szCs w:val="32"/>
          <w:highlight w:val="none"/>
        </w:rPr>
        <w:t>社会保险基金预算项目</w:t>
      </w:r>
      <w:r>
        <w:rPr>
          <w:rFonts w:hint="eastAsia" w:ascii="Times New Roman" w:hAnsi="Times New Roman" w:eastAsia="仿宋_GB2312" w:cs="Times New Roman"/>
          <w:kern w:val="0"/>
          <w:sz w:val="32"/>
          <w:szCs w:val="32"/>
          <w:highlight w:val="none"/>
          <w:lang w:val="en-US" w:eastAsia="zh-CN"/>
        </w:rPr>
        <w:t>0</w:t>
      </w:r>
      <w:r>
        <w:rPr>
          <w:rFonts w:ascii="Times New Roman" w:hAnsi="Times New Roman" w:eastAsia="仿宋_GB2312" w:cs="Times New Roman"/>
          <w:kern w:val="0"/>
          <w:sz w:val="32"/>
          <w:szCs w:val="32"/>
          <w:highlight w:val="none"/>
        </w:rPr>
        <w:t xml:space="preserve"> 个</w:t>
      </w:r>
      <w:r>
        <w:rPr>
          <w:rFonts w:hint="eastAsia" w:ascii="Times New Roman" w:hAnsi="Times New Roman" w:eastAsia="仿宋_GB2312" w:cs="Times New Roman"/>
          <w:kern w:val="0"/>
          <w:sz w:val="32"/>
          <w:szCs w:val="32"/>
          <w:highlight w:val="none"/>
          <w:lang w:val="en-US" w:eastAsia="zh-CN"/>
        </w:rPr>
        <w:t>0</w:t>
      </w:r>
      <w:r>
        <w:rPr>
          <w:rFonts w:ascii="Times New Roman" w:hAnsi="Times New Roman" w:eastAsia="仿宋_GB2312" w:cs="Times New Roman"/>
          <w:kern w:val="0"/>
          <w:sz w:val="32"/>
          <w:szCs w:val="32"/>
          <w:highlight w:val="none"/>
        </w:rPr>
        <w:t>万元，占社会保险基金预算支出总额的</w:t>
      </w:r>
      <w:r>
        <w:rPr>
          <w:rFonts w:hint="eastAsia" w:ascii="Times New Roman" w:hAnsi="Times New Roman" w:eastAsia="仿宋_GB2312" w:cs="Times New Roman"/>
          <w:kern w:val="0"/>
          <w:sz w:val="32"/>
          <w:szCs w:val="32"/>
          <w:highlight w:val="none"/>
          <w:lang w:val="en-US" w:eastAsia="zh-CN"/>
        </w:rPr>
        <w:t>0</w:t>
      </w:r>
      <w:r>
        <w:rPr>
          <w:rFonts w:ascii="Times New Roman" w:hAnsi="Times New Roman" w:eastAsia="仿宋_GB2312" w:cs="Times New Roman"/>
          <w:kern w:val="0"/>
          <w:sz w:val="32"/>
          <w:szCs w:val="32"/>
          <w:highlight w:val="none"/>
        </w:rPr>
        <w:t>%。</w:t>
      </w:r>
    </w:p>
    <w:p w14:paraId="24B731CA">
      <w:pPr>
        <w:pStyle w:val="2"/>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2024年，在市委、市政府的正确领导下，在市住房和城乡建设局的悉心指导下，我单位认真履行职能，持续强化内部管理，顺利完成了各项工作目标。通过加强预算收支管理，完善内部制度建设，严格规范管理流程，部门整体支出管理水平显著提升，现将2024年度绩效情况报告如下：（</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lang w:eastAsia="zh-CN"/>
        </w:rPr>
        <w:t>）运行成本方面，我单位严格按照财政批复预算执行支出，实际支出总额控制在预算额度内，切实做到了精打细算、集约高效，预算执行约束力显著增强。</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lang w:eastAsia="zh-CN"/>
        </w:rPr>
        <w:t>管理效率方面，我单位严格依据财政批复的用款计划，规范、及时支付资金，有效保障了资金支出的有效性、及时性，确保了财政资金使用效益。</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lang w:eastAsia="zh-CN"/>
        </w:rPr>
        <w:t>履职效能方面，我单位全面贯彻落实年初确定的各项目标任务，扎实推进各项工作，任务完成率达到100%，部门绩效自评综合得分99.7分，展现出优异的履职成效和管理水平。</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lang w:eastAsia="zh-CN"/>
        </w:rPr>
        <w:t>社会效应上，我单位坚决贯彻落实市委、市政府决策部署，在稳定市场预期、优化政策环境、防范化解风险等方面精准发力，为推动我市房地产市场健康平稳发展发挥了重要作用。</w:t>
      </w:r>
    </w:p>
    <w:p w14:paraId="3230A727">
      <w:pPr>
        <w:overflowPunct w:val="0"/>
        <w:spacing w:line="600" w:lineRule="exact"/>
        <w:ind w:firstLine="640" w:firstLineChars="200"/>
        <w:rPr>
          <w:rFonts w:hint="eastAsia" w:ascii="Times New Roman" w:hAnsi="Times New Roman" w:eastAsia="仿宋_GB2312" w:cs="Times New Roman"/>
          <w:color w:val="auto"/>
          <w:kern w:val="0"/>
          <w:sz w:val="32"/>
          <w:szCs w:val="32"/>
          <w:lang w:val="en-US" w:eastAsia="zh-CN"/>
        </w:rPr>
      </w:pPr>
      <w:r>
        <w:rPr>
          <w:rFonts w:hint="eastAsia" w:ascii="Times New Roman" w:hAnsi="Times New Roman" w:eastAsia="仿宋_GB2312" w:cs="Times New Roman"/>
          <w:kern w:val="0"/>
          <w:sz w:val="32"/>
          <w:szCs w:val="32"/>
          <w:highlight w:val="none"/>
          <w:lang w:val="en-US" w:eastAsia="zh-CN"/>
        </w:rPr>
        <w:t>2.</w:t>
      </w:r>
      <w:r>
        <w:rPr>
          <w:rFonts w:ascii="Times New Roman" w:hAnsi="Times New Roman" w:eastAsia="仿宋_GB2312" w:cs="Times New Roman"/>
          <w:b/>
          <w:bCs/>
          <w:kern w:val="0"/>
          <w:sz w:val="32"/>
          <w:szCs w:val="32"/>
        </w:rPr>
        <w:t>部门评价开展情况。</w:t>
      </w:r>
      <w:r>
        <w:rPr>
          <w:rFonts w:hint="eastAsia" w:ascii="Times New Roman" w:hAnsi="Times New Roman" w:eastAsia="仿宋_GB2312" w:cs="Times New Roman"/>
          <w:color w:val="auto"/>
          <w:kern w:val="0"/>
          <w:sz w:val="32"/>
          <w:szCs w:val="32"/>
          <w:lang w:val="en-US" w:eastAsia="zh-CN"/>
        </w:rPr>
        <w:t>本单位为二级预算单位，部门评价开展情况可详见上级部门决算公开说明。</w:t>
      </w:r>
    </w:p>
    <w:p w14:paraId="5EC683B7">
      <w:pPr>
        <w:overflowPunct w:val="0"/>
        <w:spacing w:line="600" w:lineRule="exact"/>
        <w:ind w:firstLine="640" w:firstLineChars="200"/>
        <w:rPr>
          <w:rFonts w:ascii="Times New Roman" w:hAnsi="Times New Roman" w:eastAsia="仿宋_GB2312" w:cs="Times New Roman"/>
          <w:b/>
          <w:bCs/>
          <w:color w:val="auto"/>
          <w:kern w:val="0"/>
          <w:sz w:val="32"/>
          <w:szCs w:val="32"/>
        </w:rPr>
      </w:pPr>
      <w:r>
        <w:rPr>
          <w:rFonts w:hint="eastAsia" w:ascii="Times New Roman" w:hAnsi="Times New Roman" w:eastAsia="仿宋_GB2312" w:cs="Times New Roman"/>
          <w:kern w:val="0"/>
          <w:sz w:val="32"/>
          <w:szCs w:val="32"/>
          <w:lang w:val="en-US" w:eastAsia="zh-CN"/>
        </w:rPr>
        <w:t>3.</w:t>
      </w:r>
      <w:r>
        <w:rPr>
          <w:rFonts w:ascii="Times New Roman" w:hAnsi="Times New Roman" w:eastAsia="仿宋_GB2312" w:cs="Times New Roman"/>
          <w:b/>
          <w:bCs/>
          <w:kern w:val="0"/>
          <w:sz w:val="32"/>
          <w:szCs w:val="32"/>
        </w:rPr>
        <w:t>事前绩效评估开展情况。</w:t>
      </w:r>
      <w:r>
        <w:rPr>
          <w:rFonts w:hint="eastAsia" w:ascii="Times New Roman" w:hAnsi="Times New Roman" w:eastAsia="仿宋_GB2312" w:cs="Times New Roman"/>
          <w:color w:val="auto"/>
          <w:kern w:val="0"/>
          <w:sz w:val="32"/>
          <w:szCs w:val="32"/>
          <w:lang w:val="en-US" w:eastAsia="zh-CN"/>
        </w:rPr>
        <w:t>本单位为二级预算单位，事前绩效评估开展情况可详见上级部门决算公开说明。</w:t>
      </w:r>
    </w:p>
    <w:p w14:paraId="22B7272D">
      <w:pPr>
        <w:overflowPunct w:val="0"/>
        <w:spacing w:line="600" w:lineRule="exact"/>
        <w:ind w:firstLine="640" w:firstLineChars="200"/>
        <w:rPr>
          <w:rFonts w:ascii="Times New Roman" w:hAnsi="Times New Roman" w:eastAsia="楷体_GB2312" w:cs="Times New Roman"/>
          <w:b/>
          <w:bCs/>
          <w:sz w:val="32"/>
          <w:szCs w:val="32"/>
        </w:rPr>
      </w:pPr>
      <w:r>
        <w:rPr>
          <w:rFonts w:ascii="Times New Roman" w:hAnsi="Times New Roman" w:eastAsia="楷体_GB2312" w:cs="Times New Roman"/>
          <w:b/>
          <w:bCs/>
          <w:sz w:val="32"/>
          <w:szCs w:val="32"/>
        </w:rPr>
        <w:t>（二）绩效评价结果</w:t>
      </w:r>
    </w:p>
    <w:p w14:paraId="7E9AFBC1">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ascii="Times New Roman" w:hAnsi="Times New Roman" w:eastAsia="仿宋_GB2312" w:cs="Times New Roman"/>
          <w:sz w:val="32"/>
          <w:szCs w:val="32"/>
        </w:rPr>
      </w:pPr>
      <w:r>
        <w:rPr>
          <w:rFonts w:hint="eastAsia" w:ascii="Times New Roman" w:hAnsi="Times New Roman" w:eastAsia="仿宋_GB2312" w:cs="Times New Roman"/>
          <w:kern w:val="0"/>
          <w:sz w:val="32"/>
          <w:szCs w:val="32"/>
          <w:lang w:val="en-US" w:eastAsia="zh-CN"/>
        </w:rPr>
        <w:t>1.</w:t>
      </w:r>
      <w:r>
        <w:rPr>
          <w:rFonts w:ascii="Times New Roman" w:hAnsi="Times New Roman" w:eastAsia="仿宋_GB2312" w:cs="Times New Roman"/>
          <w:b/>
          <w:bCs/>
          <w:kern w:val="0"/>
          <w:sz w:val="32"/>
          <w:szCs w:val="32"/>
        </w:rPr>
        <w:t>绩效自评结果。</w:t>
      </w:r>
      <w:r>
        <w:rPr>
          <w:rFonts w:hint="eastAsia" w:ascii="仿宋_GB2312" w:hAnsi="仿宋_GB2312" w:eastAsia="仿宋_GB2312" w:cs="仿宋_GB2312"/>
          <w:kern w:val="0"/>
          <w:sz w:val="32"/>
          <w:szCs w:val="32"/>
        </w:rPr>
        <w:t>2024年度本部门（单位）整体支出</w:t>
      </w:r>
      <w:r>
        <w:rPr>
          <w:rFonts w:hint="eastAsia" w:ascii="仿宋_GB2312" w:hAnsi="仿宋_GB2312" w:eastAsia="仿宋_GB2312" w:cs="仿宋_GB2312"/>
          <w:sz w:val="32"/>
          <w:szCs w:val="32"/>
        </w:rPr>
        <w:t>全年预算数</w:t>
      </w:r>
      <w:r>
        <w:rPr>
          <w:rFonts w:hint="eastAsia" w:ascii="仿宋_GB2312" w:hAnsi="仿宋_GB2312" w:eastAsia="仿宋_GB2312" w:cs="仿宋_GB2312"/>
          <w:sz w:val="32"/>
          <w:szCs w:val="32"/>
          <w:lang w:val="en-US" w:eastAsia="zh-CN"/>
        </w:rPr>
        <w:t>301.56</w:t>
      </w:r>
      <w:r>
        <w:rPr>
          <w:rFonts w:hint="eastAsia" w:ascii="仿宋_GB2312" w:hAnsi="仿宋_GB2312" w:eastAsia="仿宋_GB2312" w:cs="仿宋_GB2312"/>
          <w:sz w:val="32"/>
          <w:szCs w:val="32"/>
        </w:rPr>
        <w:t>万元，执行数</w:t>
      </w:r>
      <w:r>
        <w:rPr>
          <w:rFonts w:hint="eastAsia" w:ascii="仿宋_GB2312" w:hAnsi="仿宋_GB2312" w:eastAsia="仿宋_GB2312" w:cs="仿宋_GB2312"/>
          <w:sz w:val="32"/>
          <w:szCs w:val="32"/>
          <w:lang w:val="en-US" w:eastAsia="zh-CN"/>
        </w:rPr>
        <w:t>292.42</w:t>
      </w:r>
      <w:r>
        <w:rPr>
          <w:rFonts w:hint="eastAsia" w:ascii="仿宋_GB2312" w:hAnsi="仿宋_GB2312" w:eastAsia="仿宋_GB2312" w:cs="仿宋_GB2312"/>
          <w:sz w:val="32"/>
          <w:szCs w:val="32"/>
        </w:rPr>
        <w:t>万元，完成预算的</w:t>
      </w:r>
      <w:r>
        <w:rPr>
          <w:rFonts w:hint="eastAsia" w:ascii="仿宋_GB2312" w:hAnsi="仿宋_GB2312" w:eastAsia="仿宋_GB2312" w:cs="仿宋_GB2312"/>
          <w:sz w:val="32"/>
          <w:szCs w:val="32"/>
          <w:lang w:val="en-US" w:eastAsia="zh-CN"/>
        </w:rPr>
        <w:t>97.0</w:t>
      </w:r>
      <w:r>
        <w:rPr>
          <w:rFonts w:hint="eastAsia" w:ascii="仿宋_GB2312" w:hAnsi="仿宋_GB2312" w:eastAsia="仿宋_GB2312" w:cs="仿宋_GB2312"/>
          <w:sz w:val="32"/>
          <w:szCs w:val="32"/>
        </w:rPr>
        <w:t>%</w:t>
      </w:r>
      <w:r>
        <w:rPr>
          <w:rFonts w:hint="eastAsia" w:ascii="仿宋_GB2312" w:hAnsi="仿宋_GB2312" w:eastAsia="仿宋_GB2312" w:cs="仿宋_GB2312"/>
          <w:kern w:val="0"/>
          <w:sz w:val="32"/>
          <w:szCs w:val="32"/>
        </w:rPr>
        <w:t>，绩效自评得分</w:t>
      </w:r>
      <w:r>
        <w:rPr>
          <w:rFonts w:hint="eastAsia" w:ascii="仿宋_GB2312" w:hAnsi="仿宋_GB2312" w:eastAsia="仿宋_GB2312" w:cs="仿宋_GB2312"/>
          <w:sz w:val="32"/>
          <w:szCs w:val="32"/>
          <w:lang w:val="en-US" w:eastAsia="zh-CN"/>
        </w:rPr>
        <w:t>99.7</w:t>
      </w:r>
      <w:r>
        <w:rPr>
          <w:rFonts w:hint="eastAsia" w:ascii="仿宋_GB2312" w:hAnsi="仿宋_GB2312" w:eastAsia="仿宋_GB2312" w:cs="仿宋_GB2312"/>
          <w:sz w:val="32"/>
          <w:szCs w:val="32"/>
        </w:rPr>
        <w:t>分</w:t>
      </w:r>
      <w:r>
        <w:rPr>
          <w:rFonts w:hint="eastAsia" w:ascii="仿宋_GB2312" w:hAnsi="仿宋_GB2312" w:eastAsia="仿宋_GB2312" w:cs="仿宋_GB2312"/>
          <w:kern w:val="0"/>
          <w:sz w:val="32"/>
          <w:szCs w:val="32"/>
        </w:rPr>
        <w:t>，评价等级为</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优秀</w:t>
      </w:r>
      <w:r>
        <w:rPr>
          <w:rFonts w:hint="eastAsia" w:ascii="仿宋_GB2312" w:hAnsi="仿宋_GB2312" w:eastAsia="仿宋_GB2312" w:cs="仿宋_GB2312"/>
          <w:sz w:val="32"/>
          <w:szCs w:val="32"/>
        </w:rPr>
        <w:t>”。绩效目标完成情况：</w:t>
      </w:r>
      <w:r>
        <w:rPr>
          <w:rFonts w:hint="eastAsia" w:ascii="仿宋_GB2312" w:hAnsi="仿宋_GB2312" w:eastAsia="仿宋_GB2312" w:cs="仿宋_GB2312"/>
          <w:sz w:val="32"/>
          <w:szCs w:val="32"/>
          <w:lang w:eastAsia="zh-CN"/>
        </w:rPr>
        <w:t>一是</w:t>
      </w:r>
      <w:r>
        <w:rPr>
          <w:rFonts w:hint="eastAsia" w:ascii="仿宋_GB2312" w:hAnsi="仿宋_GB2312" w:eastAsia="仿宋_GB2312" w:cs="仿宋_GB2312"/>
          <w:sz w:val="32"/>
          <w:szCs w:val="32"/>
        </w:rPr>
        <w:t>加强部门配合，协力做好</w:t>
      </w:r>
      <w:r>
        <w:rPr>
          <w:rFonts w:hint="eastAsia" w:ascii="仿宋_GB2312" w:hAnsi="仿宋_GB2312" w:eastAsia="仿宋_GB2312" w:cs="仿宋_GB2312"/>
          <w:sz w:val="32"/>
          <w:szCs w:val="32"/>
          <w:lang w:eastAsia="zh-CN"/>
        </w:rPr>
        <w:t>住房补贴。</w:t>
      </w:r>
      <w:r>
        <w:rPr>
          <w:rFonts w:hint="eastAsia" w:ascii="仿宋_GB2312" w:hAnsi="仿宋_GB2312" w:eastAsia="仿宋_GB2312" w:cs="仿宋_GB2312"/>
          <w:sz w:val="32"/>
          <w:szCs w:val="40"/>
          <w:lang w:val="en-US" w:eastAsia="zh-CN"/>
        </w:rPr>
        <w:t>为了促进我市房地产市场的健康平稳发展，进一步满足居民刚性需求和多样化改善型住房需求，完善“市场+保障”的住房供应体系，我市出台了</w:t>
      </w:r>
      <w:r>
        <w:rPr>
          <w:rFonts w:hint="eastAsia" w:ascii="仿宋_GB2312" w:hAnsi="仿宋_GB2312" w:eastAsia="仿宋_GB2312" w:cs="仿宋_GB2312"/>
          <w:b w:val="0"/>
          <w:bCs w:val="0"/>
          <w:sz w:val="32"/>
          <w:szCs w:val="40"/>
          <w:u w:val="none"/>
          <w:lang w:val="en-US" w:eastAsia="zh-CN"/>
        </w:rPr>
        <w:t>《关于进一步促进岳阳市城区房地产市场平稳健康发展的若干措施》</w:t>
      </w:r>
      <w:r>
        <w:rPr>
          <w:rFonts w:hint="eastAsia" w:ascii="仿宋_GB2312" w:hAnsi="仿宋_GB2312" w:eastAsia="仿宋_GB2312" w:cs="仿宋_GB2312"/>
          <w:sz w:val="32"/>
          <w:szCs w:val="40"/>
          <w:lang w:val="en-US" w:eastAsia="zh-CN"/>
        </w:rPr>
        <w:t>，《进一步支持刚性和改善性住房需求促进岳阳市城区房地产市场平稳健康发展的若干措施(试行)实施细则》。根据文件精神，我中心负责在网签备案的同时，审核购房人是否符合申请购房货币补贴条件。2024年，我中心窗口人员共审核申请货币补贴购房资料2575户，已补贴金额达4142万元，为老百姓实实在在谋福利。二是</w:t>
      </w:r>
      <w:r>
        <w:rPr>
          <w:rFonts w:hint="eastAsia" w:ascii="仿宋_GB2312" w:hAnsi="仿宋_GB2312" w:eastAsia="仿宋_GB2312" w:cs="仿宋_GB2312"/>
          <w:sz w:val="32"/>
          <w:szCs w:val="32"/>
        </w:rPr>
        <w:t>实行多措并举，</w:t>
      </w:r>
      <w:r>
        <w:rPr>
          <w:rFonts w:hint="eastAsia" w:ascii="仿宋_GB2312" w:hAnsi="仿宋_GB2312" w:eastAsia="仿宋_GB2312" w:cs="仿宋_GB2312"/>
          <w:sz w:val="32"/>
          <w:szCs w:val="32"/>
          <w:lang w:eastAsia="zh-CN"/>
        </w:rPr>
        <w:t>逐渐规范市场管理。</w:t>
      </w:r>
      <w:r>
        <w:rPr>
          <w:rFonts w:hint="eastAsia" w:ascii="仿宋_GB2312" w:hAnsi="仿宋_GB2312" w:eastAsia="仿宋_GB2312" w:cs="仿宋_GB2312"/>
          <w:b w:val="0"/>
          <w:bCs w:val="0"/>
          <w:sz w:val="32"/>
          <w:szCs w:val="30"/>
          <w:lang w:val="en-US" w:eastAsia="zh-CN"/>
        </w:rPr>
        <w:t>1.</w:t>
      </w:r>
      <w:r>
        <w:rPr>
          <w:rFonts w:hint="eastAsia" w:ascii="仿宋_GB2312" w:hAnsi="仿宋_GB2312" w:eastAsia="仿宋_GB2312" w:cs="仿宋_GB2312"/>
          <w:b w:val="0"/>
          <w:bCs w:val="0"/>
          <w:sz w:val="32"/>
          <w:szCs w:val="30"/>
          <w:lang w:eastAsia="zh-CN"/>
        </w:rPr>
        <w:t>协助出台相关文件</w:t>
      </w:r>
      <w:r>
        <w:rPr>
          <w:rFonts w:hint="eastAsia" w:ascii="仿宋_GB2312" w:hAnsi="仿宋_GB2312" w:eastAsia="仿宋_GB2312" w:cs="仿宋_GB2312"/>
          <w:b w:val="0"/>
          <w:bCs w:val="0"/>
          <w:sz w:val="32"/>
          <w:szCs w:val="30"/>
        </w:rPr>
        <w:t>。</w:t>
      </w:r>
      <w:r>
        <w:rPr>
          <w:rFonts w:hint="eastAsia" w:ascii="仿宋_GB2312" w:hAnsi="仿宋" w:eastAsia="仿宋_GB2312"/>
          <w:sz w:val="32"/>
          <w:szCs w:val="30"/>
          <w:lang w:eastAsia="zh-CN"/>
        </w:rPr>
        <w:t>首先是出台相关文件。</w:t>
      </w:r>
      <w:r>
        <w:rPr>
          <w:rFonts w:hint="eastAsia" w:ascii="仿宋_GB2312" w:hAnsi="仿宋" w:eastAsia="仿宋_GB2312" w:cs="Times New Roman"/>
          <w:sz w:val="32"/>
          <w:szCs w:val="30"/>
          <w:lang w:eastAsia="zh-CN"/>
        </w:rPr>
        <w:t>我中心出台了《岳阳市存量房交易资金监管办法》（2024 [8]号）规范行业管理</w:t>
      </w:r>
      <w:r>
        <w:rPr>
          <w:rFonts w:hint="eastAsia" w:ascii="仿宋_GB2312" w:hAnsi="仿宋" w:eastAsia="仿宋_GB2312" w:cs="Times New Roman"/>
          <w:sz w:val="32"/>
          <w:szCs w:val="30"/>
          <w:lang w:val="en-US" w:eastAsia="zh-CN"/>
        </w:rPr>
        <w:t>文件，</w:t>
      </w:r>
      <w:r>
        <w:rPr>
          <w:rFonts w:hint="eastAsia" w:ascii="仿宋_GB2312" w:hAnsi="仿宋" w:eastAsia="仿宋_GB2312" w:cs="Times New Roman"/>
          <w:sz w:val="32"/>
          <w:szCs w:val="30"/>
          <w:lang w:eastAsia="zh-CN"/>
        </w:rPr>
        <w:t>旨在进一步规范房地产交易</w:t>
      </w:r>
      <w:r>
        <w:rPr>
          <w:rFonts w:hint="eastAsia" w:ascii="仿宋_GB2312" w:hAnsi="仿宋" w:eastAsia="仿宋_GB2312"/>
          <w:sz w:val="32"/>
          <w:szCs w:val="30"/>
          <w:lang w:eastAsia="zh-CN"/>
        </w:rPr>
        <w:t>市场。其次是约谈中介机构。共约谈了五家中介企业，就相关集中投诉的违规行为责令其整改，同时，与市银监局、市网信办、市市场监管局联动，集中协商处理房地产中介企业涉嫌违规、投诉案件。</w:t>
      </w:r>
      <w:r>
        <w:rPr>
          <w:rFonts w:hint="eastAsia" w:ascii="仿宋_GB2312" w:hAnsi="仿宋" w:eastAsia="仿宋_GB2312"/>
          <w:sz w:val="32"/>
          <w:szCs w:val="30"/>
          <w:lang w:val="en-US" w:eastAsia="zh-CN"/>
        </w:rPr>
        <w:t>2.</w:t>
      </w:r>
      <w:r>
        <w:rPr>
          <w:rFonts w:hint="eastAsia" w:ascii="仿宋_GB2312" w:hAnsi="仿宋" w:eastAsia="仿宋_GB2312"/>
          <w:sz w:val="32"/>
          <w:szCs w:val="30"/>
          <w:lang w:eastAsia="zh-CN"/>
        </w:rPr>
        <w:t>开展“双随机一公开”检查，查处了违规收取评估费</w:t>
      </w:r>
      <w:r>
        <w:rPr>
          <w:rFonts w:hint="eastAsia" w:ascii="仿宋_GB2312" w:hAnsi="仿宋" w:eastAsia="仿宋_GB2312"/>
          <w:sz w:val="32"/>
          <w:szCs w:val="30"/>
          <w:lang w:val="en-US" w:eastAsia="zh-CN"/>
        </w:rPr>
        <w:t>16笔。3.</w:t>
      </w:r>
      <w:r>
        <w:rPr>
          <w:rFonts w:hint="eastAsia" w:ascii="仿宋_GB2312" w:hAnsi="仿宋_GB2312" w:eastAsia="仿宋_GB2312" w:cs="仿宋_GB2312"/>
          <w:b w:val="0"/>
          <w:bCs w:val="0"/>
          <w:sz w:val="32"/>
          <w:szCs w:val="30"/>
        </w:rPr>
        <w:t>积极化解涉房信访问题。</w:t>
      </w:r>
      <w:r>
        <w:rPr>
          <w:rFonts w:hint="eastAsia" w:ascii="仿宋_GB2312" w:hAnsi="仿宋" w:eastAsia="仿宋_GB2312" w:cs="Times New Roman"/>
          <w:sz w:val="32"/>
          <w:szCs w:val="30"/>
          <w:lang w:eastAsia="zh-CN"/>
        </w:rPr>
        <w:t>今年我中心安排分管副主任参与化解办的工作，参加了中华时代广场张满芝两次诉讼案到庭；对红星国际家居生活馆申请人胡素敏等人的行政复议予以答辩；</w:t>
      </w:r>
      <w:r>
        <w:rPr>
          <w:rFonts w:hint="eastAsia" w:ascii="仿宋_GB2312" w:hAnsi="仿宋" w:eastAsia="仿宋_GB2312" w:cs="Times New Roman"/>
          <w:sz w:val="32"/>
          <w:szCs w:val="30"/>
          <w:lang w:val="en-US" w:eastAsia="zh-CN"/>
        </w:rPr>
        <w:t>参与了</w:t>
      </w:r>
      <w:r>
        <w:rPr>
          <w:rFonts w:hint="eastAsia" w:ascii="仿宋_GB2312" w:hAnsi="仿宋" w:eastAsia="仿宋_GB2312" w:cs="Times New Roman"/>
          <w:sz w:val="32"/>
          <w:szCs w:val="30"/>
          <w:lang w:eastAsia="zh-CN"/>
        </w:rPr>
        <w:t>审计局关于宏信评估公司评估报告存在纰漏问题的回复，</w:t>
      </w:r>
      <w:r>
        <w:rPr>
          <w:rFonts w:hint="eastAsia" w:ascii="仿宋_GB2312" w:hAnsi="仿宋" w:eastAsia="仿宋_GB2312"/>
          <w:sz w:val="32"/>
          <w:szCs w:val="30"/>
        </w:rPr>
        <w:t>为维护我市房地产市场的稳定作出了一定贡献。</w:t>
      </w:r>
      <w:r>
        <w:rPr>
          <w:rFonts w:hint="eastAsia" w:ascii="仿宋_GB2312" w:hAnsi="仿宋_GB2312" w:eastAsia="仿宋_GB2312" w:cs="仿宋_GB2312"/>
          <w:sz w:val="32"/>
          <w:szCs w:val="32"/>
          <w:lang w:eastAsia="zh-CN"/>
        </w:rPr>
        <w:t>三是推进系统建设，做好合同管理工作。</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b w:val="0"/>
          <w:bCs w:val="0"/>
          <w:sz w:val="32"/>
          <w:szCs w:val="30"/>
          <w:lang w:val="en-US" w:eastAsia="zh-CN"/>
        </w:rPr>
        <w:t>加强系统数据整理，推进系统建设。</w:t>
      </w:r>
      <w:r>
        <w:rPr>
          <w:rFonts w:hint="eastAsia" w:ascii="仿宋_GB2312" w:hAnsi="仿宋" w:eastAsia="仿宋_GB2312" w:cs="Times New Roman"/>
          <w:sz w:val="32"/>
          <w:szCs w:val="30"/>
          <w:lang w:val="en-US" w:eastAsia="zh-CN"/>
        </w:rPr>
        <w:t>目前，已完成新建商品房网上签约系统楼盘表功能优化，湖南省住房全生命周期管理一网通办平台与新建商品房网签备案系统数据对接优化工作;正在对接完成湖南省新建商品房合同模板建立、变更及撤销等系统功能优化建设。2.</w:t>
      </w:r>
      <w:r>
        <w:rPr>
          <w:rFonts w:hint="eastAsia" w:ascii="仿宋_GB2312" w:hAnsi="仿宋_GB2312" w:eastAsia="仿宋_GB2312" w:cs="仿宋_GB2312"/>
          <w:b w:val="0"/>
          <w:bCs w:val="0"/>
          <w:sz w:val="32"/>
          <w:szCs w:val="30"/>
          <w:lang w:val="en-US" w:eastAsia="zh-CN"/>
        </w:rPr>
        <w:t>加强合同备案登记，规范退房管理。</w:t>
      </w:r>
      <w:r>
        <w:rPr>
          <w:rFonts w:hint="eastAsia" w:ascii="仿宋_GB2312" w:hAnsi="仿宋" w:eastAsia="仿宋_GB2312" w:cs="Times New Roman"/>
          <w:sz w:val="32"/>
          <w:szCs w:val="30"/>
          <w:lang w:val="en-US" w:eastAsia="zh-CN"/>
        </w:rPr>
        <w:t>加强商品房现售备案登记。2024年，我中心共完成新建商品房合同备案9270套。加强房屋交易合同管理。已完成全市新建商品房合同模板审核865份；配合公检法司等职能部门的司法查询工作，完成商品房网签合同信息查询6101套；完成房屋交易内部限制及解除内部限制业务笔数213笔。严格预售商品房退房管理。严格实行商品房实名制，在网上签订商品房买卖合同的，不得擅自变更购房者姓名，防止炒房等违法违规的行为，维护我市房地产市场的正常秩序。</w:t>
      </w:r>
      <w:r>
        <w:rPr>
          <w:rFonts w:hint="eastAsia" w:ascii="仿宋_GB2312" w:hAnsi="仿宋_GB2312" w:eastAsia="仿宋_GB2312" w:cs="仿宋_GB2312"/>
          <w:b w:val="0"/>
          <w:bCs w:val="0"/>
          <w:sz w:val="32"/>
          <w:szCs w:val="30"/>
          <w:lang w:val="en-US" w:eastAsia="zh-CN"/>
        </w:rPr>
        <w:t>3.做好领导干部网签查询工作。</w:t>
      </w:r>
      <w:r>
        <w:rPr>
          <w:rFonts w:hint="eastAsia" w:ascii="仿宋_GB2312" w:hAnsi="仿宋" w:eastAsia="仿宋_GB2312"/>
          <w:sz w:val="32"/>
          <w:szCs w:val="30"/>
          <w:lang w:val="en-US" w:eastAsia="zh-CN"/>
        </w:rPr>
        <w:t>按省住建厅和市委组织部的文件提供的人员名单（处级领导干部及其配偶，子女）查询其在市区内有无房产网签备案，要求两个工作日必须完成。全年已经收到231份文件，共查询人员名单达2079人次。</w:t>
      </w:r>
      <w:r>
        <w:rPr>
          <w:rFonts w:hint="eastAsia" w:ascii="仿宋_GB2312" w:hAnsi="仿宋_GB2312" w:eastAsia="仿宋_GB2312" w:cs="仿宋_GB2312"/>
          <w:b w:val="0"/>
          <w:bCs w:val="0"/>
          <w:sz w:val="32"/>
          <w:szCs w:val="32"/>
          <w:lang w:val="en-US" w:eastAsia="zh-CN"/>
        </w:rPr>
        <w:t>4.开展存量房交易资金监管。</w:t>
      </w:r>
      <w:r>
        <w:rPr>
          <w:rFonts w:hint="eastAsia" w:ascii="仿宋_GB2312" w:hAnsi="仿宋_GB2312" w:eastAsia="仿宋_GB2312" w:cs="仿宋_GB2312"/>
          <w:sz w:val="32"/>
          <w:szCs w:val="32"/>
          <w:lang w:val="en-US" w:eastAsia="zh-CN"/>
        </w:rPr>
        <w:t>2024年已在我市中心城区全面开展存量房交易资金监管工作。交易资金监管机构与开展存量房交易资金监管业务的银行签订存量房交易资金监管委托协议，由委托银行具体办理存量房交易资金监管专户的设立及存量房交易监管资金的存储、划转等手续，进一步规范存量房交易市场秩序，维护存量房交易双方的合法权益，保障存量房交易资金的安全。四是加强多级融合，建立有形交易市场。1.</w:t>
      </w:r>
      <w:r>
        <w:rPr>
          <w:rFonts w:hint="eastAsia" w:ascii="仿宋_GB2312" w:hAnsi="仿宋_GB2312" w:eastAsia="仿宋_GB2312" w:cs="仿宋_GB2312"/>
          <w:b w:val="0"/>
          <w:bCs w:val="0"/>
          <w:sz w:val="32"/>
          <w:szCs w:val="32"/>
          <w:lang w:val="en-US" w:eastAsia="zh-CN"/>
        </w:rPr>
        <w:t>建立房地产交易有形市场。进一步加强房地产交易与不动产登记、房地产交易与开发企业，房地产交易与中介企业、房地产交易与金融机构、房地产交易与公证处等部门的融合，计划将市局一楼大厅进行改造，将房地产开发企业、房地产中介企业、金融机构、公证处等机构引入到大厅，建立房地产中介服务超市、房地产开发楼盘展示、公证业务代办等多功能综合服务大厅，进一步优化营商环境，提供多方面便民利民服务。2.规范管理中介市场。为了保障购</w:t>
      </w:r>
      <w:r>
        <w:rPr>
          <w:rFonts w:hint="eastAsia" w:ascii="仿宋_GB2312" w:hAnsi="仿宋_GB2312" w:eastAsia="仿宋_GB2312" w:cs="仿宋_GB2312"/>
          <w:sz w:val="32"/>
          <w:szCs w:val="32"/>
          <w:lang w:val="en-US" w:eastAsia="zh-CN"/>
        </w:rPr>
        <w:t>房人的合法权益，我中心从加强房地产中介从业主体和从业人员的管理，加强从业人员的培训，启用存量房房源信息核验与发布、交易资金监管等手段，多方面加强对房地产中介市场的规范管理，建立了健康有序的房地产中介市场。2024年，我中心联合市场监管局和网信办对四家网络平台和抖音平台，传达了房源核验要求，发放了房源核验启动通知；多次组织中介企业和银行座谈，完成了企业“住建360找房”系统的部署、调试、培训；联合物业办、房协、银行对岳阳四家大型物业企业11个小区进行走访和政策宣传；组织完成了中介机构2次从业资格培训考核；配合市局完成2024年度双随机检查，对全市7家中介机构，2家评估机构进行突击检查，并对中介机构发布的4560套房源信息是否取得书面委托情况进行逐个核查，并将检查结果移交市局</w:t>
      </w:r>
      <w:r>
        <w:rPr>
          <w:rFonts w:ascii="Times New Roman" w:hAnsi="Times New Roman" w:eastAsia="仿宋_GB2312" w:cs="Times New Roman"/>
          <w:sz w:val="32"/>
          <w:szCs w:val="32"/>
        </w:rPr>
        <w:t>。发现的主要问题及原因：一是</w:t>
      </w:r>
      <w:r>
        <w:rPr>
          <w:rFonts w:hint="eastAsia" w:ascii="Times New Roman" w:hAnsi="Times New Roman" w:eastAsia="仿宋_GB2312" w:cs="Times New Roman"/>
          <w:sz w:val="32"/>
          <w:szCs w:val="32"/>
          <w:highlight w:val="none"/>
          <w:lang w:val="en-US" w:eastAsia="zh-CN"/>
        </w:rPr>
        <w:t>中心财务管理制度尚需优化</w:t>
      </w:r>
      <w:r>
        <w:rPr>
          <w:rFonts w:ascii="Times New Roman" w:hAnsi="Times New Roman" w:eastAsia="仿宋_GB2312" w:cs="Times New Roman"/>
          <w:sz w:val="32"/>
          <w:szCs w:val="32"/>
        </w:rPr>
        <w:t>；二是</w:t>
      </w:r>
      <w:r>
        <w:rPr>
          <w:rFonts w:hint="eastAsia" w:ascii="Times New Roman" w:hAnsi="Times New Roman" w:eastAsia="仿宋_GB2312" w:cs="Times New Roman"/>
          <w:sz w:val="32"/>
          <w:szCs w:val="32"/>
          <w:highlight w:val="none"/>
          <w:lang w:val="en-US" w:eastAsia="zh-CN"/>
        </w:rPr>
        <w:t>财务人员、业务人员对于政府财务相关制度法规的掌握程度仍有提升空间，需开展系统性学习活动，为单位财务活动合规、有序开展筑牢根基</w:t>
      </w:r>
      <w:r>
        <w:rPr>
          <w:rFonts w:ascii="Times New Roman" w:hAnsi="Times New Roman" w:eastAsia="仿宋_GB2312" w:cs="Times New Roman"/>
          <w:sz w:val="32"/>
          <w:szCs w:val="32"/>
        </w:rPr>
        <w:t>。下一步改进措施：一是</w:t>
      </w:r>
      <w:r>
        <w:rPr>
          <w:rFonts w:hint="eastAsia" w:ascii="仿宋_GB2312" w:hAnsi="仿宋_GB2312" w:eastAsia="仿宋_GB2312" w:cs="仿宋_GB2312"/>
          <w:b w:val="0"/>
          <w:bCs w:val="0"/>
          <w:sz w:val="32"/>
          <w:szCs w:val="32"/>
          <w:lang w:val="en-US" w:eastAsia="zh-CN"/>
        </w:rPr>
        <w:t>加强预算编制与执行管理。严格依据《预算法》及其实施条例，参考上年数据，科学、精准编制预算。明确预算管理计划，合理规划执行进度，强化全流程监督，稳步提升预算编制准确率，提高财政资金的使用效率。</w:t>
      </w:r>
      <w:r>
        <w:rPr>
          <w:rFonts w:ascii="Times New Roman" w:hAnsi="Times New Roman" w:eastAsia="仿宋_GB2312" w:cs="Times New Roman"/>
          <w:sz w:val="32"/>
          <w:szCs w:val="32"/>
        </w:rPr>
        <w:t>二是</w:t>
      </w:r>
      <w:r>
        <w:rPr>
          <w:rFonts w:hint="eastAsia" w:ascii="Times New Roman" w:hAnsi="Times New Roman" w:eastAsia="仿宋_GB2312" w:cs="Times New Roman"/>
          <w:sz w:val="32"/>
          <w:szCs w:val="32"/>
          <w:highlight w:val="none"/>
          <w:lang w:val="en-US" w:eastAsia="zh-CN"/>
        </w:rPr>
        <w:t>加大对财务人员的专业培训力度，积极推进业务人员财务知识普及工作。引导财务与业务人员将绩效理念深度嵌入预算编制、执行、监督全流程，提升绩效管理水平，为单位财务管理提质增效提供有力支撑</w:t>
      </w:r>
      <w:r>
        <w:rPr>
          <w:rFonts w:ascii="Times New Roman" w:hAnsi="Times New Roman" w:eastAsia="仿宋_GB2312" w:cs="Times New Roman"/>
          <w:sz w:val="32"/>
          <w:szCs w:val="32"/>
        </w:rPr>
        <w:t>。</w:t>
      </w:r>
    </w:p>
    <w:p w14:paraId="4725C46E">
      <w:pPr>
        <w:overflowPunct w:val="0"/>
        <w:spacing w:line="600" w:lineRule="exact"/>
        <w:ind w:firstLine="640" w:firstLineChars="200"/>
        <w:rPr>
          <w:rFonts w:hint="eastAsia" w:ascii="Times New Roman" w:hAnsi="Times New Roman" w:eastAsia="仿宋_GB2312" w:cs="Times New Roman"/>
          <w:b w:val="0"/>
          <w:bCs w:val="0"/>
          <w:kern w:val="0"/>
          <w:sz w:val="32"/>
          <w:szCs w:val="32"/>
          <w:lang w:eastAsia="zh-CN"/>
        </w:rPr>
      </w:pPr>
      <w:r>
        <w:rPr>
          <w:rFonts w:hint="eastAsia" w:ascii="Times New Roman" w:hAnsi="Times New Roman" w:eastAsia="仿宋_GB2312" w:cs="Times New Roman"/>
          <w:kern w:val="0"/>
          <w:sz w:val="32"/>
          <w:szCs w:val="32"/>
          <w:lang w:val="en-US" w:eastAsia="zh-CN"/>
        </w:rPr>
        <w:t>2.</w:t>
      </w:r>
      <w:r>
        <w:rPr>
          <w:rFonts w:ascii="Times New Roman" w:hAnsi="Times New Roman" w:eastAsia="仿宋_GB2312" w:cs="Times New Roman"/>
          <w:b/>
          <w:bCs/>
          <w:kern w:val="0"/>
          <w:sz w:val="32"/>
          <w:szCs w:val="32"/>
        </w:rPr>
        <w:t>部门评价结果。</w:t>
      </w:r>
      <w:r>
        <w:rPr>
          <w:rFonts w:hint="eastAsia" w:ascii="Times New Roman" w:hAnsi="Times New Roman" w:eastAsia="仿宋_GB2312" w:cs="Times New Roman"/>
          <w:b w:val="0"/>
          <w:bCs w:val="0"/>
          <w:kern w:val="0"/>
          <w:sz w:val="32"/>
          <w:szCs w:val="32"/>
          <w:lang w:eastAsia="zh-CN"/>
        </w:rPr>
        <w:t>本单位为二级预算单位，部门评价结果可详见上级部门决算公开说明。</w:t>
      </w:r>
    </w:p>
    <w:p w14:paraId="71E55C00">
      <w:pPr>
        <w:overflowPunct w:val="0"/>
        <w:spacing w:line="600" w:lineRule="exact"/>
        <w:ind w:firstLine="640" w:firstLineChars="200"/>
        <w:rPr>
          <w:rFonts w:ascii="Times New Roman" w:hAnsi="Times New Roman" w:eastAsia="仿宋_GB2312" w:cs="Times New Roman"/>
          <w:b/>
          <w:bCs/>
          <w:color w:val="auto"/>
          <w:kern w:val="0"/>
          <w:sz w:val="32"/>
          <w:szCs w:val="32"/>
          <w:highlight w:val="none"/>
        </w:rPr>
      </w:pPr>
      <w:r>
        <w:rPr>
          <w:rFonts w:hint="eastAsia" w:ascii="Times New Roman" w:hAnsi="Times New Roman" w:eastAsia="仿宋_GB2312" w:cs="Times New Roman"/>
          <w:kern w:val="0"/>
          <w:sz w:val="32"/>
          <w:szCs w:val="32"/>
          <w:lang w:val="en-US" w:eastAsia="zh-CN"/>
        </w:rPr>
        <w:t>3.</w:t>
      </w:r>
      <w:r>
        <w:rPr>
          <w:rFonts w:hint="eastAsia" w:ascii="Times New Roman" w:hAnsi="Times New Roman" w:eastAsia="仿宋_GB2312" w:cs="Times New Roman"/>
          <w:b/>
          <w:bCs/>
          <w:kern w:val="0"/>
          <w:sz w:val="32"/>
          <w:szCs w:val="32"/>
          <w:highlight w:val="none"/>
          <w:lang w:val="en-US" w:eastAsia="zh-CN"/>
        </w:rPr>
        <w:t>事</w:t>
      </w:r>
      <w:r>
        <w:rPr>
          <w:rFonts w:ascii="Times New Roman" w:hAnsi="Times New Roman" w:eastAsia="仿宋_GB2312" w:cs="Times New Roman"/>
          <w:b/>
          <w:bCs/>
          <w:kern w:val="0"/>
          <w:sz w:val="32"/>
          <w:szCs w:val="32"/>
          <w:highlight w:val="none"/>
        </w:rPr>
        <w:t>前绩效评估结果。</w:t>
      </w:r>
      <w:r>
        <w:rPr>
          <w:rFonts w:hint="eastAsia" w:ascii="Times New Roman" w:hAnsi="Times New Roman" w:eastAsia="仿宋_GB2312" w:cs="Times New Roman"/>
          <w:color w:val="auto"/>
          <w:kern w:val="0"/>
          <w:sz w:val="32"/>
          <w:szCs w:val="32"/>
          <w:lang w:val="en-US" w:eastAsia="zh-CN"/>
        </w:rPr>
        <w:t>本单位为二级预算单位，事前绩效评估结果可详见上级部门决算公开说明。</w:t>
      </w:r>
    </w:p>
    <w:p w14:paraId="2657A7CA">
      <w:pPr>
        <w:numPr>
          <w:ilvl w:val="0"/>
          <w:numId w:val="2"/>
        </w:numPr>
        <w:autoSpaceDE w:val="0"/>
        <w:autoSpaceDN w:val="0"/>
        <w:adjustRightInd w:val="0"/>
        <w:ind w:firstLine="640" w:firstLineChars="200"/>
        <w:jc w:val="left"/>
        <w:rPr>
          <w:rFonts w:ascii="Times New Roman" w:hAnsi="Times New Roman" w:eastAsia="楷体_GB2312" w:cs="Times New Roman"/>
          <w:b/>
          <w:bCs/>
          <w:color w:val="auto"/>
          <w:kern w:val="2"/>
          <w:sz w:val="32"/>
          <w:szCs w:val="32"/>
          <w:highlight w:val="none"/>
        </w:rPr>
      </w:pPr>
      <w:r>
        <w:rPr>
          <w:rFonts w:ascii="Times New Roman" w:hAnsi="Times New Roman" w:eastAsia="楷体_GB2312" w:cs="Times New Roman"/>
          <w:b/>
          <w:bCs/>
          <w:color w:val="auto"/>
          <w:kern w:val="2"/>
          <w:sz w:val="32"/>
          <w:szCs w:val="32"/>
          <w:highlight w:val="none"/>
        </w:rPr>
        <w:t>评价结果应用情况</w:t>
      </w:r>
    </w:p>
    <w:p w14:paraId="3B7F676B">
      <w:pPr>
        <w:numPr>
          <w:ilvl w:val="0"/>
          <w:numId w:val="0"/>
        </w:numPr>
        <w:autoSpaceDE w:val="0"/>
        <w:autoSpaceDN w:val="0"/>
        <w:adjustRightInd w:val="0"/>
        <w:ind w:firstLine="640" w:firstLineChars="200"/>
        <w:jc w:val="left"/>
        <w:rPr>
          <w:rFonts w:ascii="Times New Roman" w:hAnsi="Times New Roman" w:eastAsia="仿宋_GB2312" w:cs="Times New Roman"/>
          <w:color w:val="auto"/>
          <w:sz w:val="32"/>
          <w:szCs w:val="32"/>
          <w:highlight w:val="none"/>
        </w:rPr>
      </w:pPr>
      <w:r>
        <w:rPr>
          <w:rFonts w:ascii="Times New Roman" w:hAnsi="Times New Roman" w:eastAsia="仿宋_GB2312" w:cs="Times New Roman"/>
          <w:color w:val="auto"/>
          <w:sz w:val="32"/>
          <w:szCs w:val="32"/>
          <w:highlight w:val="none"/>
        </w:rPr>
        <w:t>请根据2024年度绩效自评结果、部门评价结果、</w:t>
      </w:r>
      <w:r>
        <w:rPr>
          <w:rFonts w:hint="eastAsia" w:ascii="Times New Roman" w:hAnsi="Times New Roman" w:eastAsia="仿宋_GB2312" w:cs="Times New Roman"/>
          <w:color w:val="auto"/>
          <w:sz w:val="32"/>
          <w:szCs w:val="32"/>
          <w:highlight w:val="none"/>
          <w:lang w:eastAsia="zh-CN"/>
        </w:rPr>
        <w:t>事前绩效</w:t>
      </w:r>
      <w:r>
        <w:rPr>
          <w:rFonts w:ascii="Times New Roman" w:hAnsi="Times New Roman" w:eastAsia="仿宋_GB2312" w:cs="Times New Roman"/>
          <w:color w:val="auto"/>
          <w:sz w:val="32"/>
          <w:szCs w:val="32"/>
          <w:highlight w:val="none"/>
        </w:rPr>
        <w:t>评价结果对本部门2025年度预算安排，支出结构调整，资金管理，制度建设等方面结果运用进行简要说明。</w:t>
      </w:r>
    </w:p>
    <w:p w14:paraId="2610EEA5">
      <w:pPr>
        <w:pStyle w:val="2"/>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2024年，在市委、市政府正确领导及市住房城乡建设局精心指导下，我单位切实履职尽责，高标准完成全年绩效目标任务。2025年，我中心将严格执行预算安排，重点做好以下工作：</w:t>
      </w:r>
      <w:r>
        <w:rPr>
          <w:rFonts w:hint="eastAsia" w:ascii="仿宋_GB2312" w:hAnsi="仿宋_GB2312" w:eastAsia="仿宋_GB2312" w:cs="仿宋_GB2312"/>
          <w:sz w:val="32"/>
          <w:szCs w:val="32"/>
          <w:lang w:eastAsia="zh-CN"/>
        </w:rPr>
        <w:t>一是深化绩效管理改革，将绩效评价结果深度融入预算编制、执行与监督各环节，增强全员绩效意识，提升资金使用效率。二是加强资金全过程管控，提高事前评估科学性、事中监控精准性和事后应用实效性，确保资金使用精准高效、安全规范。三是完善制度保障机制，聚焦预算管理、资金拨付、风险防控等重点环节，持续优化制度体系，构建长效管理格局。</w:t>
      </w:r>
    </w:p>
    <w:p w14:paraId="32411171">
      <w:pPr>
        <w:autoSpaceDE w:val="0"/>
        <w:autoSpaceDN w:val="0"/>
        <w:adjustRightInd w:val="0"/>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预算绩效管理开展情况、绩效目标和绩效评价报告等，已在市政府部门财政预决算公开平台上向社会公开，详见附件。</w:t>
      </w:r>
    </w:p>
    <w:p w14:paraId="38111287">
      <w:pPr>
        <w:pStyle w:val="8"/>
        <w:rPr>
          <w:rFonts w:hint="eastAsia"/>
          <w:lang w:val="en-US" w:eastAsia="zh-CN"/>
        </w:rPr>
      </w:pPr>
    </w:p>
    <w:p w14:paraId="3EAC0789">
      <w:pPr>
        <w:pStyle w:val="8"/>
        <w:rPr>
          <w:rFonts w:hint="eastAsia"/>
          <w:lang w:val="en-US" w:eastAsia="zh-CN"/>
        </w:rPr>
      </w:pPr>
    </w:p>
    <w:p w14:paraId="6615A499">
      <w:pPr>
        <w:numPr>
          <w:ilvl w:val="0"/>
          <w:numId w:val="0"/>
        </w:numPr>
        <w:autoSpaceDE w:val="0"/>
        <w:autoSpaceDN w:val="0"/>
        <w:adjustRightInd w:val="0"/>
        <w:jc w:val="left"/>
        <w:rPr>
          <w:rFonts w:hint="eastAsia" w:ascii="楷体" w:hAnsi="楷体" w:eastAsia="楷体" w:cs="楷体"/>
          <w:b/>
          <w:bCs/>
          <w:i w:val="0"/>
          <w:iCs w:val="0"/>
          <w:color w:val="FF0000"/>
          <w:kern w:val="0"/>
          <w:sz w:val="36"/>
          <w:szCs w:val="36"/>
          <w:lang w:val="en-US" w:eastAsia="zh-CN"/>
        </w:rPr>
      </w:pPr>
    </w:p>
    <w:p w14:paraId="4BB54240">
      <w:pPr>
        <w:pStyle w:val="13"/>
        <w:jc w:val="both"/>
        <w:rPr>
          <w:rFonts w:hint="eastAsia" w:ascii="方正小标宋_GBK" w:hAnsi="方正小标宋_GBK" w:eastAsia="方正小标宋_GBK" w:cs="方正小标宋_GBK"/>
          <w:sz w:val="72"/>
          <w:szCs w:val="72"/>
        </w:rPr>
      </w:pPr>
    </w:p>
    <w:p w14:paraId="22B2DB62">
      <w:pPr>
        <w:pStyle w:val="13"/>
        <w:jc w:val="both"/>
        <w:rPr>
          <w:rFonts w:hint="eastAsia" w:ascii="方正小标宋_GBK" w:hAnsi="方正小标宋_GBK" w:eastAsia="方正小标宋_GBK" w:cs="方正小标宋_GBK"/>
          <w:sz w:val="72"/>
          <w:szCs w:val="72"/>
        </w:rPr>
      </w:pPr>
    </w:p>
    <w:p w14:paraId="37A882E6">
      <w:pPr>
        <w:pStyle w:val="13"/>
        <w:jc w:val="both"/>
        <w:rPr>
          <w:rFonts w:hint="eastAsia" w:ascii="方正小标宋_GBK" w:hAnsi="方正小标宋_GBK" w:eastAsia="方正小标宋_GBK" w:cs="方正小标宋_GBK"/>
          <w:sz w:val="72"/>
          <w:szCs w:val="72"/>
        </w:rPr>
      </w:pPr>
    </w:p>
    <w:p w14:paraId="43A4B3AC">
      <w:pPr>
        <w:pStyle w:val="13"/>
        <w:jc w:val="both"/>
        <w:rPr>
          <w:rFonts w:hint="eastAsia" w:ascii="方正小标宋_GBK" w:hAnsi="方正小标宋_GBK" w:eastAsia="方正小标宋_GBK" w:cs="方正小标宋_GBK"/>
          <w:sz w:val="72"/>
          <w:szCs w:val="72"/>
        </w:rPr>
      </w:pPr>
    </w:p>
    <w:p w14:paraId="37C5F290">
      <w:pPr>
        <w:pStyle w:val="13"/>
        <w:jc w:val="both"/>
        <w:rPr>
          <w:rFonts w:hint="eastAsia" w:ascii="方正小标宋_GBK" w:hAnsi="方正小标宋_GBK" w:eastAsia="方正小标宋_GBK" w:cs="方正小标宋_GBK"/>
          <w:sz w:val="72"/>
          <w:szCs w:val="72"/>
        </w:rPr>
      </w:pPr>
    </w:p>
    <w:p w14:paraId="0F010FD9">
      <w:pPr>
        <w:pStyle w:val="13"/>
        <w:jc w:val="center"/>
        <w:rPr>
          <w:rFonts w:hint="eastAsia" w:ascii="方正小标宋_GBK" w:hAnsi="方正小标宋_GBK" w:eastAsia="方正小标宋_GBK" w:cs="方正小标宋_GBK"/>
          <w:sz w:val="72"/>
          <w:szCs w:val="72"/>
        </w:rPr>
      </w:pPr>
      <w:r>
        <w:rPr>
          <w:rFonts w:hint="eastAsia" w:ascii="方正小标宋_GBK" w:hAnsi="方正小标宋_GBK" w:eastAsia="方正小标宋_GBK" w:cs="方正小标宋_GBK"/>
          <w:sz w:val="72"/>
          <w:szCs w:val="72"/>
        </w:rPr>
        <w:t>第四部分</w:t>
      </w:r>
    </w:p>
    <w:p w14:paraId="65FD1D98">
      <w:pPr>
        <w:jc w:val="both"/>
        <w:rPr>
          <w:rFonts w:hint="eastAsia" w:ascii="方正小标宋_GBK" w:hAnsi="方正小标宋_GBK" w:eastAsia="方正小标宋_GBK" w:cs="方正小标宋_GBK"/>
          <w:color w:val="000000"/>
          <w:kern w:val="0"/>
          <w:sz w:val="70"/>
          <w:szCs w:val="70"/>
        </w:rPr>
      </w:pPr>
    </w:p>
    <w:p w14:paraId="67D3910A">
      <w:pPr>
        <w:pStyle w:val="13"/>
        <w:jc w:val="center"/>
        <w:rPr>
          <w:rFonts w:hint="eastAsia" w:ascii="方正小标宋_GBK" w:hAnsi="方正小标宋_GBK" w:eastAsia="方正小标宋_GBK" w:cs="方正小标宋_GBK"/>
          <w:sz w:val="70"/>
          <w:szCs w:val="70"/>
          <w:lang w:eastAsia="zh-CN"/>
        </w:rPr>
      </w:pPr>
      <w:r>
        <w:rPr>
          <w:rFonts w:hint="eastAsia" w:ascii="方正小标宋_GBK" w:hAnsi="方正小标宋_GBK" w:eastAsia="方正小标宋_GBK" w:cs="方正小标宋_GBK"/>
          <w:color w:val="000000"/>
          <w:kern w:val="0"/>
          <w:sz w:val="70"/>
          <w:szCs w:val="70"/>
        </w:rPr>
        <w:t>名词解释</w:t>
      </w:r>
    </w:p>
    <w:p w14:paraId="1BF4774E">
      <w:pPr>
        <w:pStyle w:val="8"/>
      </w:pPr>
    </w:p>
    <w:p w14:paraId="3ECAB842">
      <w:pPr>
        <w:pStyle w:val="4"/>
      </w:pPr>
    </w:p>
    <w:p w14:paraId="2165DE29"/>
    <w:p w14:paraId="224B3159">
      <w:pPr>
        <w:pStyle w:val="8"/>
      </w:pPr>
    </w:p>
    <w:p w14:paraId="025E6B63">
      <w:pPr>
        <w:pStyle w:val="4"/>
      </w:pPr>
    </w:p>
    <w:p w14:paraId="53B2913D"/>
    <w:p w14:paraId="644B7273">
      <w:pPr>
        <w:pStyle w:val="8"/>
      </w:pPr>
    </w:p>
    <w:p w14:paraId="3CC9A10D">
      <w:pPr>
        <w:pStyle w:val="4"/>
      </w:pPr>
    </w:p>
    <w:p w14:paraId="584D2CF4"/>
    <w:p w14:paraId="5D6784FB">
      <w:pPr>
        <w:pStyle w:val="8"/>
      </w:pPr>
    </w:p>
    <w:p w14:paraId="5A0734AD">
      <w:pPr>
        <w:pStyle w:val="4"/>
      </w:pPr>
    </w:p>
    <w:p w14:paraId="5916C08C"/>
    <w:p w14:paraId="50FC3431">
      <w:pPr>
        <w:pStyle w:val="8"/>
      </w:pPr>
    </w:p>
    <w:p w14:paraId="4CCD93C9">
      <w:pPr>
        <w:pStyle w:val="4"/>
      </w:pPr>
    </w:p>
    <w:p w14:paraId="2D928356"/>
    <w:p w14:paraId="16F148C5">
      <w:pPr>
        <w:pStyle w:val="8"/>
      </w:pPr>
    </w:p>
    <w:p w14:paraId="00CB3B71">
      <w:pPr>
        <w:ind w:firstLine="640" w:firstLineChars="200"/>
        <w:jc w:val="left"/>
        <w:rPr>
          <w:rFonts w:hint="eastAsia" w:ascii="仿宋_GB2312" w:hAnsi="仿宋_GB2312" w:eastAsia="仿宋_GB2312" w:cs="仿宋_GB2312"/>
          <w:color w:val="000000"/>
          <w:kern w:val="0"/>
          <w:sz w:val="32"/>
          <w:szCs w:val="32"/>
        </w:rPr>
      </w:pPr>
    </w:p>
    <w:p w14:paraId="2E45D74F">
      <w:pPr>
        <w:pStyle w:val="2"/>
        <w:rPr>
          <w:rFonts w:hint="eastAsia" w:ascii="仿宋_GB2312" w:hAnsi="仿宋_GB2312" w:eastAsia="仿宋_GB2312" w:cs="仿宋_GB2312"/>
          <w:color w:val="000000"/>
          <w:kern w:val="0"/>
          <w:sz w:val="32"/>
          <w:szCs w:val="32"/>
        </w:rPr>
      </w:pPr>
    </w:p>
    <w:p w14:paraId="194C4BC6">
      <w:pPr>
        <w:ind w:firstLine="640" w:firstLineChars="200"/>
        <w:jc w:val="left"/>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一、“三公”经费：指用财政拨款安排的因公出国（境）费、公务用车购置及运行费和公务接待费。其中，因公出国（境）费反映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14:paraId="35B1CDB2">
      <w:pPr>
        <w:ind w:firstLine="640" w:firstLineChars="200"/>
        <w:jc w:val="left"/>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二、机关运行经费</w:t>
      </w:r>
      <w:r>
        <w:rPr>
          <w:rFonts w:hint="eastAsia" w:ascii="仿宋_GB2312" w:hAnsi="仿宋_GB2312" w:eastAsia="仿宋_GB2312" w:cs="仿宋_GB2312"/>
          <w:color w:val="000000"/>
          <w:kern w:val="0"/>
          <w:sz w:val="32"/>
          <w:szCs w:val="32"/>
          <w:lang w:eastAsia="zh-CN"/>
        </w:rPr>
        <w:t>，指为保障行政单位（包括参照公务员法管理的事业单位）运行用于购买货物和服务的各项资金</w:t>
      </w:r>
      <w:r>
        <w:rPr>
          <w:rFonts w:hint="eastAsia" w:ascii="仿宋_GB2312" w:hAnsi="仿宋_GB2312" w:eastAsia="仿宋_GB2312" w:cs="仿宋_GB2312"/>
          <w:color w:val="000000"/>
          <w:kern w:val="0"/>
          <w:sz w:val="32"/>
          <w:szCs w:val="32"/>
        </w:rPr>
        <w:t>，包括办公</w:t>
      </w:r>
      <w:r>
        <w:rPr>
          <w:rFonts w:hint="eastAsia" w:ascii="仿宋_GB2312" w:hAnsi="仿宋_GB2312" w:eastAsia="仿宋_GB2312" w:cs="仿宋_GB2312"/>
          <w:color w:val="000000"/>
          <w:kern w:val="0"/>
          <w:sz w:val="32"/>
          <w:szCs w:val="32"/>
          <w:lang w:eastAsia="zh-CN"/>
        </w:rPr>
        <w:t>费、</w:t>
      </w:r>
      <w:r>
        <w:rPr>
          <w:rFonts w:hint="eastAsia" w:ascii="仿宋_GB2312" w:hAnsi="仿宋_GB2312" w:eastAsia="仿宋_GB2312" w:cs="仿宋_GB2312"/>
          <w:color w:val="000000"/>
          <w:kern w:val="0"/>
          <w:sz w:val="32"/>
          <w:szCs w:val="32"/>
        </w:rPr>
        <w:t>印刷费、邮电费、差旅费、会议费、日常维修费、专用材料及一般设备购置费、办公用房水电费、办公用房取暖费、办公用房物业管理费、公务用车运行维护费以及其他费用。</w:t>
      </w:r>
    </w:p>
    <w:p w14:paraId="29EFC18D">
      <w:pPr>
        <w:pStyle w:val="13"/>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三、财政拨款收入：指本级财政当年拨付的资金。</w:t>
      </w:r>
    </w:p>
    <w:p w14:paraId="1747EF12">
      <w:pPr>
        <w:pStyle w:val="13"/>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四、其他收入：指除上述“财政拨款收入”、“上级补助收入”、“事业收入”、“经营收入”、“附属单位上缴收入”等以外的收入。</w:t>
      </w:r>
    </w:p>
    <w:p w14:paraId="655917CC">
      <w:pPr>
        <w:pStyle w:val="13"/>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五、使用非财政拨款结余：指事业单位在当年的“财政拨款收入”、“财政拨款结转和结余资金”、“上级补助收入”、“事业收入”、“经营收入”、“附属单位上缴收入”、“其他收入”不足以安排当年支出情况下，使用以前年度积累的使用非财政拨款结余弥补收支差额的资金（事业单位当年收支相抵后按国家规定提取、用于弥补以后年度收支差额的非财政拨款结余）。</w:t>
      </w:r>
    </w:p>
    <w:p w14:paraId="7A1610DE">
      <w:pPr>
        <w:pStyle w:val="13"/>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六、上年结转和结余：指以前年度尚未完成、结转到本年按有关规定继续使用的资金。</w:t>
      </w:r>
    </w:p>
    <w:p w14:paraId="07EC81A7">
      <w:pPr>
        <w:pStyle w:val="13"/>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七、结余分配：指事业单位按规定对非财政补助结余资金提取的职工福利基金、事业基金和缴纳的所得税，以及减少单位按规定应缴回的基本建设竣工项目结余资金。</w:t>
      </w:r>
    </w:p>
    <w:p w14:paraId="5D8E4DA4">
      <w:pPr>
        <w:pStyle w:val="13"/>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八、年末结转和结余资金：指本年度或以前年度预算安排、因客观条件发生变化无法按原计划实施，需要延迟到以后年度按有关规定继续使用的资金。</w:t>
      </w:r>
    </w:p>
    <w:p w14:paraId="52441061">
      <w:pPr>
        <w:pStyle w:val="13"/>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九、一般公共服务支出（类）：是指用于人大、政协、政府办公厅（室）及相关机构事务、发展与改革事务、统计信息事务、财政事务、税收事务、审计事务、人力资源事务、纪检监察事务、商贸事务、工商行政管理事务、质量技术监督与检验检疫事务、民族事务、档案事务、民主党派及工商联事务、群众团体事务、党委办公厅（室）及相关机构事务、组织事务、宣传事务、统战事务、其他一般公共服务等方面的支出，包括保障机构正常运转、完成日常和特定的工作任务或事业发展目标的支出。</w:t>
      </w:r>
    </w:p>
    <w:p w14:paraId="4D9ABE92">
      <w:pPr>
        <w:pStyle w:val="13"/>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十、科学技术支出（类）：是指用于科学技术方面的支出，包括保障机构正常运转、完成日常和特定的工作任务或事业发展目标的支出。</w:t>
      </w:r>
    </w:p>
    <w:p w14:paraId="52E6C40F">
      <w:pPr>
        <w:pStyle w:val="13"/>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十一、文化体育与传媒支出（类）：是指用于文化、文物、体育、新闻出版广播影视等方面的支出，包括保障机构正常运转、完成日常和特定的工作任务或事业发展目标的支出。</w:t>
      </w:r>
    </w:p>
    <w:p w14:paraId="4D50752D">
      <w:pPr>
        <w:pStyle w:val="13"/>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十二、社会保障和就业支出（类）：是指用于社会保障和就业方面的支出，包括保障机构正常运转、完成日常和特定的工作任务或事业发展目标的支出。归口管理的行政单位离退休，指离退休人员管理机构统一管理的机关离退休人员的经费。</w:t>
      </w:r>
    </w:p>
    <w:p w14:paraId="78813B48">
      <w:pPr>
        <w:pStyle w:val="13"/>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十三、卫生健康支出（类）：是指用于医疗卫生与计划生育方面的支出，包括保障机构正常运转、完成日常和特定的工作任务或事业发展目标的支出。</w:t>
      </w:r>
    </w:p>
    <w:p w14:paraId="0ED47442">
      <w:pPr>
        <w:pStyle w:val="13"/>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十四、节能环保支出（类）：是指用于节能环保支出，包括保障机构正常运转、完成日常和特定的工作任务或事业发展目标的支出。</w:t>
      </w:r>
    </w:p>
    <w:p w14:paraId="1BA7D1E7">
      <w:pPr>
        <w:pStyle w:val="13"/>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十五、城乡社区支出（类）：是指用于城乡社区事务支出，包括保障机构正常运转、完成日常和特定的工作任务或事业发展目标的支出。</w:t>
      </w:r>
    </w:p>
    <w:p w14:paraId="42A76CDB">
      <w:pPr>
        <w:pStyle w:val="13"/>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十六、农林水支出（类）：是指用于农林水事务支出，包括保障机构正常运转、完成日常和特定的工作任务或事业发展目标的支出。</w:t>
      </w:r>
    </w:p>
    <w:p w14:paraId="73E3D7E3">
      <w:pPr>
        <w:pStyle w:val="13"/>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十七、资源勘探工业信息等支出（类）：是指用于资源勘探、制造业、建筑业、工业信息等方面支出，包括保障机构正常运转、完成日常和特定的工作任务或事业发展目标的支出。</w:t>
      </w:r>
    </w:p>
    <w:p w14:paraId="09291883">
      <w:pPr>
        <w:pStyle w:val="13"/>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十八、住房保障支出（类）：是指用于住房方面的支出，包括保障机构正常运转、完成日常和特定的工作任务或事业发展目标的支出。</w:t>
      </w:r>
    </w:p>
    <w:p w14:paraId="49F25556">
      <w:pPr>
        <w:pStyle w:val="13"/>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十九、基本支出：指保障机构正常运转、完成支日常工作任务而发生的人员支出和公用支出。</w:t>
      </w:r>
    </w:p>
    <w:p w14:paraId="5839D0D5">
      <w:pPr>
        <w:pStyle w:val="13"/>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二十、项目支出：指在基本支出之外为完成特定行政任务和事业发展目标所发生的支出。</w:t>
      </w:r>
    </w:p>
    <w:p w14:paraId="11D20CCD">
      <w:pPr>
        <w:pStyle w:val="13"/>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二十一、政府采购 ：是指国家各级政府为从事日常的政务活动或为了满足公共服务的目的，利用国家财政性资金和政府借款购买货物、工程和服务的行为。</w:t>
      </w:r>
    </w:p>
    <w:p w14:paraId="139AACD5">
      <w:pPr>
        <w:pStyle w:val="13"/>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二十二、工资福利支出：反映单位开支的在职职工和编制外长期聘用人员的各类劳动报酬，以及为上述人员缴纳的各项社会保险费等。</w:t>
      </w:r>
    </w:p>
    <w:p w14:paraId="57302C98">
      <w:pPr>
        <w:pStyle w:val="13"/>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十三、基本工资：反映按规定发放的基本工资，包括公务员的职务工资、级别工资；机关工人的岗位工资、技术等级工资；事业单位工作人员的岗位工资、薪级工资；各类学校毕业生试用期(见习期)工资、新参加工作工人学徒期、熟练期工资；军队（武警）军官、文职干部的职务（专业技术等级）工资、军衔（级别）工资、基础工资和军龄工资；军队士官的军衔等级工资、基础工资和军龄工资等。</w:t>
      </w:r>
    </w:p>
    <w:p w14:paraId="3AEEB629">
      <w:pPr>
        <w:pStyle w:val="13"/>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二十四、津贴补贴：反映经国家批准建立的机关事业单位艰苦边远地区津贴、机关工作人员地区附加津贴、机关工作人员岗位津贴、事业单位工作人员特殊岗位津贴补贴等。</w:t>
      </w:r>
    </w:p>
    <w:p w14:paraId="57BD14F7">
      <w:pPr>
        <w:pStyle w:val="13"/>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二十五、奖金：反映机关工作人员年终一次性奖金。</w:t>
      </w:r>
    </w:p>
    <w:p w14:paraId="30621643">
      <w:pPr>
        <w:pStyle w:val="13"/>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二十六、伙食补助费：反映单位发给职工的伙食补助费，如误餐补助等。</w:t>
      </w:r>
    </w:p>
    <w:p w14:paraId="32D9F213">
      <w:pPr>
        <w:pStyle w:val="13"/>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二十七、绩效工资：反映事业单位工作人员的绩效工资。</w:t>
      </w:r>
    </w:p>
    <w:p w14:paraId="566E333E">
      <w:pPr>
        <w:pStyle w:val="13"/>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二十八、机关事业单位基本养老保险缴费：反映机关事业单位缴纳的基本养老保险费。由单位代扣的工作人员基本养老保险缴费，不在此科目反映。</w:t>
      </w:r>
    </w:p>
    <w:p w14:paraId="50D3F861">
      <w:pPr>
        <w:pStyle w:val="13"/>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二十九、职业年金缴费：反映机关事业单位实际缴纳的职业年金支出。由单位代扣的工作人员职业年金缴费，不在此科目反映。</w:t>
      </w:r>
    </w:p>
    <w:p w14:paraId="4A39B7F4">
      <w:pPr>
        <w:pStyle w:val="13"/>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三十、职工基本医疗保险缴费：反映单位为职工缴纳的基本医疗保险费。</w:t>
      </w:r>
    </w:p>
    <w:p w14:paraId="484BD1B4">
      <w:pPr>
        <w:pStyle w:val="13"/>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三十一、公务员医疗补助缴费：反映按规定可享受公务员医疗补助单位为职工缴纳的公务员医疗补助费。</w:t>
      </w:r>
    </w:p>
    <w:p w14:paraId="170B50D3">
      <w:pPr>
        <w:pStyle w:val="13"/>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三十二、其他社会保障缴费：反映单位为职工缴纳的基本医疗、失业、工伤、生育等社会保险费，残疾人就业保障金，军队（含武警）为军人缴纳的伤亡、退役医疗等社会保险费。</w:t>
      </w:r>
    </w:p>
    <w:p w14:paraId="0B25A620">
      <w:pPr>
        <w:pStyle w:val="13"/>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三十三、住房公积金：反映行政事业单位按人力资源和社会保障部、财政部规定的基本工资和津贴补贴以及规定比例为职工缴纳的住房公积金。</w:t>
      </w:r>
    </w:p>
    <w:p w14:paraId="6172977D">
      <w:pPr>
        <w:pStyle w:val="13"/>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三十四、医疗费：反映未参加医疗保险单位的医疗经费和单位按规定为职工支出的其他医疗费用。</w:t>
      </w:r>
    </w:p>
    <w:p w14:paraId="12C4EBF2">
      <w:pPr>
        <w:pStyle w:val="13"/>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三十五、其他工资福利支出：反映上述项目未包括的人员支出，如各种加班工资、病假两个月以上期间的人员工资、编制外长期聘用人员，公务员及参照和依照公务员制度管理的单位工作人员转入企业工作并按规定参加企业职工基本养老保险后给予的一次性补贴等。</w:t>
      </w:r>
    </w:p>
    <w:p w14:paraId="523364BD">
      <w:pPr>
        <w:pStyle w:val="13"/>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三十六、商品和服务支出：反映单位购买商品和服务的支出（不包括用于购置固定资产的支出、战略性和应急储备支出）。</w:t>
      </w:r>
    </w:p>
    <w:p w14:paraId="41FB70B7">
      <w:pPr>
        <w:pStyle w:val="13"/>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三十七、办公费：反映单位购买按财务会计制度规定不符合固定资产确认标准的日常办公用品、书报杂志等支出。</w:t>
      </w:r>
    </w:p>
    <w:p w14:paraId="2833E07B">
      <w:pPr>
        <w:pStyle w:val="13"/>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三十八、印刷费：反映单位的印刷费支出。</w:t>
      </w:r>
    </w:p>
    <w:p w14:paraId="2C589790">
      <w:pPr>
        <w:pStyle w:val="13"/>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三十九、咨询费：反映单位咨询方面的支出。</w:t>
      </w:r>
    </w:p>
    <w:p w14:paraId="3A9554F8">
      <w:pPr>
        <w:pStyle w:val="13"/>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四十、水费：反映单位支付的水费、污水处理费等支出。</w:t>
      </w:r>
    </w:p>
    <w:p w14:paraId="7371FE38">
      <w:pPr>
        <w:pStyle w:val="13"/>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四十一、电费：反映单位的电费支出。</w:t>
      </w:r>
    </w:p>
    <w:p w14:paraId="2C6B7722">
      <w:pPr>
        <w:pStyle w:val="13"/>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四十二、邮电费：反映单位开支的信函、包裹、货物等物品的邮寄费及电话费、电报费、传真费、网络通讯费等。</w:t>
      </w:r>
    </w:p>
    <w:p w14:paraId="710261BD">
      <w:pPr>
        <w:pStyle w:val="13"/>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四十三、取暖费：反映单位取暖用燃料费、热力费、炉具购置费、锅炉临时工的工资、节煤奖以及由单位支付的未实行职工住房采暖补贴改革的在职职工和离退休人员宿舍取暖费。</w:t>
      </w:r>
    </w:p>
    <w:p w14:paraId="5B3AB5F9">
      <w:pPr>
        <w:pStyle w:val="13"/>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四十四、物业管理费：反映单位开支的办公用房以及未实行职工住宅物业服务改革的在职职工和离退休人员宿舍等的物业管理费，包括综合治理、绿化、卫生等方面的支出。</w:t>
      </w:r>
    </w:p>
    <w:p w14:paraId="39291EAE">
      <w:pPr>
        <w:pStyle w:val="13"/>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四十五、差旅费：反映单位工作人员出差发生的城市间交通费、住宿费、伙食补贴费和市内交通费。</w:t>
      </w:r>
    </w:p>
    <w:p w14:paraId="2DAAF4E1">
      <w:pPr>
        <w:pStyle w:val="13"/>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四十六、维修(护)费：反映单位日常开支的固定资产（不包括车船等交通工具）修理和维护费用，网络信息系统运行与维护费用，以及按规定提取的修购基金。</w:t>
      </w:r>
    </w:p>
    <w:p w14:paraId="72002B83">
      <w:pPr>
        <w:pStyle w:val="13"/>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四十七、租赁费：反映租赁办公用房、宿舍、专用通讯网以及其他设备等方面的费用。</w:t>
      </w:r>
    </w:p>
    <w:p w14:paraId="121C7F71">
      <w:pPr>
        <w:pStyle w:val="13"/>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四十八、培训费：反映除因公出国（境）培训费以外的各类培训支出。</w:t>
      </w:r>
    </w:p>
    <w:p w14:paraId="04E65E0D">
      <w:pPr>
        <w:pStyle w:val="13"/>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四十九、专用材料费：反映单位购买日常专用材料的支出。具体包括药品及医疗耗材，农用材料，兽医用品，实验室用品，专用服装，消耗性体育用品，专用工具和仪器，艺术部门专用材料和用品，广播电视台发射台发射机的电力、材料等方面的支出。</w:t>
      </w:r>
    </w:p>
    <w:p w14:paraId="26EF9996">
      <w:pPr>
        <w:pStyle w:val="13"/>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五十、劳务费：反映支付给单位和个人的劳务费用，如临时聘用人员、钟点工工资，稿费、翻译费，评审费等。</w:t>
      </w:r>
    </w:p>
    <w:p w14:paraId="1AFE3560">
      <w:pPr>
        <w:pStyle w:val="13"/>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五十一、委托业务费：反映因委托外单位办理业务而支付的委托业务费。</w:t>
      </w:r>
    </w:p>
    <w:p w14:paraId="660605F5">
      <w:pPr>
        <w:pStyle w:val="13"/>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五十二、工会经费：反映单位按规定提取的工会经费。</w:t>
      </w:r>
    </w:p>
    <w:p w14:paraId="0006057A">
      <w:pPr>
        <w:pStyle w:val="13"/>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五十三、福利费：反映单位按规定提取的福利费。</w:t>
      </w:r>
    </w:p>
    <w:p w14:paraId="493EAE94">
      <w:pPr>
        <w:pStyle w:val="13"/>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五十四、公务用车运行维护费：反映单位按规定保留的公务用车燃料费、维修费、过桥过路费、保险费、安全奖励费用等支出。</w:t>
      </w:r>
    </w:p>
    <w:p w14:paraId="23B78D87">
      <w:pPr>
        <w:pStyle w:val="13"/>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五十五、其他交通费用：反映单位除公务用车运行维护费以外的其他交通费用。如公务交通补贴，租车费用、出租车费用，飞机、船舶等的燃料费、维修费、保险费等。</w:t>
      </w:r>
    </w:p>
    <w:p w14:paraId="330290B3">
      <w:pPr>
        <w:pStyle w:val="13"/>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五十六、税金及附加费用：反映单位提供劳务或销售产品应负担的税金及附加费用，包括营业税、消费税、城市维护建设税、资源税和教育附加等。</w:t>
      </w:r>
    </w:p>
    <w:p w14:paraId="22919DBE">
      <w:pPr>
        <w:pStyle w:val="13"/>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五十七、其他商品和服务支出：反映上述科目未包括的日常公用支出。如行政赔偿费和诉讼费、国内组织的会员费、来访费、广告宣传、其他劳务费及离休人员特需费、公用经费等。</w:t>
      </w:r>
    </w:p>
    <w:p w14:paraId="266BA040">
      <w:pPr>
        <w:pStyle w:val="13"/>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五十八、对个人和家庭的补助：反映政府用于对个人和家庭的补助支出。</w:t>
      </w:r>
    </w:p>
    <w:p w14:paraId="00CEE982">
      <w:pPr>
        <w:pStyle w:val="13"/>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五十九、离休费：反映行政事业单位和军队移交政府安置的离休人员的离休费、护理费和其他补贴。</w:t>
      </w:r>
    </w:p>
    <w:p w14:paraId="4AC582FB">
      <w:pPr>
        <w:pStyle w:val="13"/>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六十、退休费：反映行政事业单位和军队移交政府安置的退休人员的退休费和其他补贴。</w:t>
      </w:r>
    </w:p>
    <w:p w14:paraId="0B0F5526">
      <w:pPr>
        <w:pStyle w:val="13"/>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六十一、抚恤金：反映按规定开支的烈士遗属、牺牲病故人员遗属的一次性和定期抚恤金，伤残人员的抚恤金，离退休人员等其他人员的各项抚恤金。</w:t>
      </w:r>
    </w:p>
    <w:p w14:paraId="29A59C38">
      <w:pPr>
        <w:pStyle w:val="13"/>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六十二、生活补助：反映按规定开支的优抚对象定期定量生活补助费，退役军人生活补助费，行政事业单位职工和遗属生活补助，因公负伤等住院治疗、住疗养院期间的伙食补助费，长期赡养人员补助费，由于国家实行退耕还林禁牧舍饲政策补偿给农牧民的现金、粮食支出，对农村党员、复员军人以及村干部的补助支出，看守人员和犯人的伙食费、药费等。</w:t>
      </w:r>
    </w:p>
    <w:p w14:paraId="7C54D6AE">
      <w:pPr>
        <w:pStyle w:val="13"/>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六十三、医疗费：反映行政事业单位在职职工、离退休人员的医疗费，军队移交政府安置的离退休人员的医疗费，学生医疗费，优抚对象医疗补助，以及按国家规定资助农民参加新型农村合作医疗和城镇居民参加城镇居民基本医疗保险的支出和对城乡贫困家庭的医疗救助支出。</w:t>
      </w:r>
    </w:p>
    <w:p w14:paraId="010556AC">
      <w:pPr>
        <w:pStyle w:val="13"/>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六十四、奖励金：反映政府各部门的奖励支出，如对个体私营经济的奖励、计划生育目标责任奖励、独生子女父母奖励等。</w:t>
      </w:r>
    </w:p>
    <w:p w14:paraId="4AB5AF5E">
      <w:pPr>
        <w:pStyle w:val="13"/>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六十五、其他对个人和家庭的补助支出：反映未包括在上述科目的对个人和家庭的补助支出。</w:t>
      </w:r>
    </w:p>
    <w:p w14:paraId="2E7B02F0">
      <w:pPr>
        <w:pStyle w:val="13"/>
        <w:ind w:firstLine="640" w:firstLineChars="200"/>
      </w:pPr>
      <w:r>
        <w:rPr>
          <w:rFonts w:hint="eastAsia" w:ascii="仿宋_GB2312" w:hAnsi="仿宋_GB2312" w:eastAsia="仿宋_GB2312" w:cs="仿宋_GB2312"/>
          <w:sz w:val="32"/>
          <w:szCs w:val="32"/>
        </w:rPr>
        <w:t>六十六、办公设备购置：反映用于购置并按财务会计制度规定纳入固定资产核算范围的办公家具和办公设备的支出，以及按规定提取的修购基金。</w:t>
      </w:r>
    </w:p>
    <w:p w14:paraId="6F1CE53E"/>
    <w:p w14:paraId="2145DD2C">
      <w:pPr>
        <w:pStyle w:val="8"/>
      </w:pPr>
    </w:p>
    <w:p w14:paraId="5D87684E">
      <w:pPr>
        <w:pStyle w:val="4"/>
      </w:pPr>
    </w:p>
    <w:p w14:paraId="6F0B1841"/>
    <w:p w14:paraId="26C0C593">
      <w:pPr>
        <w:pStyle w:val="8"/>
      </w:pPr>
    </w:p>
    <w:p w14:paraId="4FF38C59">
      <w:pPr>
        <w:pStyle w:val="4"/>
      </w:pPr>
    </w:p>
    <w:p w14:paraId="28AE4591"/>
    <w:p w14:paraId="6C898342">
      <w:pPr>
        <w:pStyle w:val="8"/>
      </w:pPr>
    </w:p>
    <w:p w14:paraId="196F7907">
      <w:pPr>
        <w:pStyle w:val="4"/>
      </w:pPr>
    </w:p>
    <w:p w14:paraId="70EE425A"/>
    <w:p w14:paraId="710F1AF7">
      <w:pPr>
        <w:pStyle w:val="8"/>
      </w:pPr>
    </w:p>
    <w:p w14:paraId="38A3A09D">
      <w:pPr>
        <w:pStyle w:val="13"/>
        <w:jc w:val="center"/>
        <w:rPr>
          <w:rFonts w:hint="eastAsia" w:ascii="方正小标宋_GBK" w:hAnsi="方正小标宋_GBK" w:eastAsia="方正小标宋_GBK" w:cs="方正小标宋_GBK"/>
          <w:sz w:val="72"/>
          <w:szCs w:val="72"/>
        </w:rPr>
      </w:pPr>
    </w:p>
    <w:p w14:paraId="1824D8D0">
      <w:pPr>
        <w:pStyle w:val="13"/>
        <w:jc w:val="center"/>
        <w:rPr>
          <w:rFonts w:hint="eastAsia" w:ascii="方正小标宋_GBK" w:hAnsi="方正小标宋_GBK" w:eastAsia="方正小标宋_GBK" w:cs="方正小标宋_GBK"/>
          <w:sz w:val="72"/>
          <w:szCs w:val="72"/>
        </w:rPr>
      </w:pPr>
    </w:p>
    <w:p w14:paraId="35C6A207">
      <w:pPr>
        <w:pStyle w:val="13"/>
        <w:jc w:val="center"/>
        <w:rPr>
          <w:rFonts w:hint="eastAsia" w:ascii="方正小标宋_GBK" w:hAnsi="方正小标宋_GBK" w:eastAsia="方正小标宋_GBK" w:cs="方正小标宋_GBK"/>
          <w:sz w:val="70"/>
          <w:szCs w:val="70"/>
        </w:rPr>
      </w:pPr>
      <w:r>
        <w:rPr>
          <w:rFonts w:hint="eastAsia" w:ascii="方正小标宋_GBK" w:hAnsi="方正小标宋_GBK" w:eastAsia="方正小标宋_GBK" w:cs="方正小标宋_GBK"/>
          <w:sz w:val="72"/>
          <w:szCs w:val="72"/>
        </w:rPr>
        <w:t>第</w:t>
      </w:r>
      <w:r>
        <w:rPr>
          <w:rFonts w:hint="eastAsia" w:ascii="方正小标宋_GBK" w:hAnsi="方正小标宋_GBK" w:eastAsia="方正小标宋_GBK" w:cs="方正小标宋_GBK"/>
          <w:sz w:val="72"/>
          <w:szCs w:val="72"/>
          <w:lang w:eastAsia="zh-CN"/>
        </w:rPr>
        <w:t>五</w:t>
      </w:r>
      <w:r>
        <w:rPr>
          <w:rFonts w:hint="eastAsia" w:ascii="方正小标宋_GBK" w:hAnsi="方正小标宋_GBK" w:eastAsia="方正小标宋_GBK" w:cs="方正小标宋_GBK"/>
          <w:sz w:val="72"/>
          <w:szCs w:val="72"/>
        </w:rPr>
        <w:t>部分</w:t>
      </w:r>
    </w:p>
    <w:p w14:paraId="10BF1B94">
      <w:pPr>
        <w:pStyle w:val="13"/>
        <w:jc w:val="both"/>
        <w:rPr>
          <w:rFonts w:hint="eastAsia" w:ascii="方正小标宋_GBK" w:hAnsi="方正小标宋_GBK" w:eastAsia="方正小标宋_GBK" w:cs="方正小标宋_GBK"/>
          <w:sz w:val="70"/>
          <w:szCs w:val="70"/>
          <w:lang w:eastAsia="zh-CN"/>
        </w:rPr>
      </w:pPr>
    </w:p>
    <w:p w14:paraId="7E3A114E">
      <w:pPr>
        <w:pStyle w:val="13"/>
        <w:jc w:val="center"/>
        <w:rPr>
          <w:rFonts w:hint="eastAsia" w:ascii="方正小标宋_GBK" w:hAnsi="方正小标宋_GBK" w:eastAsia="方正小标宋_GBK" w:cs="方正小标宋_GBK"/>
          <w:sz w:val="70"/>
          <w:szCs w:val="70"/>
          <w:lang w:eastAsia="zh-CN"/>
        </w:rPr>
      </w:pPr>
      <w:r>
        <w:rPr>
          <w:rFonts w:hint="eastAsia" w:ascii="方正小标宋_GBK" w:hAnsi="方正小标宋_GBK" w:eastAsia="方正小标宋_GBK" w:cs="方正小标宋_GBK"/>
          <w:sz w:val="70"/>
          <w:szCs w:val="70"/>
          <w:lang w:eastAsia="zh-CN"/>
        </w:rPr>
        <w:t>附</w:t>
      </w:r>
      <w:r>
        <w:rPr>
          <w:rFonts w:hint="eastAsia" w:ascii="方正小标宋_GBK" w:hAnsi="方正小标宋_GBK" w:eastAsia="方正小标宋_GBK" w:cs="方正小标宋_GBK"/>
          <w:sz w:val="70"/>
          <w:szCs w:val="70"/>
          <w:lang w:val="en-US" w:eastAsia="zh-CN"/>
        </w:rPr>
        <w:t xml:space="preserve"> </w:t>
      </w:r>
      <w:r>
        <w:rPr>
          <w:rFonts w:hint="eastAsia" w:ascii="方正小标宋_GBK" w:hAnsi="方正小标宋_GBK" w:eastAsia="方正小标宋_GBK" w:cs="方正小标宋_GBK"/>
          <w:sz w:val="70"/>
          <w:szCs w:val="70"/>
          <w:lang w:eastAsia="zh-CN"/>
        </w:rPr>
        <w:t>件</w:t>
      </w:r>
    </w:p>
    <w:p w14:paraId="77CB6C0A">
      <w:pPr>
        <w:ind w:firstLine="640" w:firstLineChars="200"/>
        <w:jc w:val="left"/>
        <w:rPr>
          <w:rFonts w:hint="eastAsia" w:ascii="宋体" w:hAnsi="宋体" w:eastAsia="宋体" w:cs="黑体"/>
          <w:b/>
          <w:color w:val="000000"/>
          <w:kern w:val="0"/>
          <w:sz w:val="32"/>
          <w:szCs w:val="32"/>
          <w:lang w:val="en-US" w:eastAsia="zh-CN"/>
        </w:rPr>
      </w:pPr>
    </w:p>
    <w:p w14:paraId="4FE9D3CF">
      <w:pPr>
        <w:ind w:firstLine="640" w:firstLineChars="200"/>
        <w:jc w:val="left"/>
        <w:rPr>
          <w:rFonts w:hint="eastAsia" w:ascii="宋体" w:hAnsi="宋体" w:eastAsia="宋体" w:cs="黑体"/>
          <w:b/>
          <w:color w:val="000000"/>
          <w:kern w:val="0"/>
          <w:sz w:val="32"/>
          <w:szCs w:val="32"/>
          <w:lang w:val="en-US" w:eastAsia="zh-CN"/>
        </w:rPr>
      </w:pPr>
      <w:r>
        <w:rPr>
          <w:rFonts w:hint="eastAsia" w:ascii="宋体" w:hAnsi="宋体" w:eastAsia="宋体" w:cs="黑体"/>
          <w:b/>
          <w:color w:val="000000"/>
          <w:kern w:val="0"/>
          <w:sz w:val="32"/>
          <w:szCs w:val="32"/>
          <w:lang w:val="en-US" w:eastAsia="zh-CN"/>
        </w:rPr>
        <w:t>1、</w:t>
      </w:r>
      <w:r>
        <w:rPr>
          <w:rFonts w:hint="eastAsia" w:ascii="宋体" w:hAnsi="宋体" w:eastAsia="宋体" w:cs="黑体"/>
          <w:b/>
          <w:color w:val="000000"/>
          <w:kern w:val="0"/>
          <w:sz w:val="32"/>
          <w:szCs w:val="32"/>
          <w:highlight w:val="none"/>
          <w:lang w:val="en-US" w:eastAsia="zh-CN"/>
        </w:rPr>
        <w:t>2024</w:t>
      </w:r>
      <w:r>
        <w:rPr>
          <w:rFonts w:hint="eastAsia" w:ascii="宋体" w:hAnsi="宋体" w:eastAsia="宋体" w:cs="黑体"/>
          <w:b/>
          <w:color w:val="000000"/>
          <w:kern w:val="0"/>
          <w:sz w:val="32"/>
          <w:szCs w:val="32"/>
          <w:lang w:val="en-US" w:eastAsia="zh-CN"/>
        </w:rPr>
        <w:t>年部门决算公开表格</w:t>
      </w:r>
    </w:p>
    <w:p w14:paraId="40FD3DBF">
      <w:pPr>
        <w:ind w:firstLine="640" w:firstLineChars="200"/>
        <w:jc w:val="left"/>
        <w:rPr>
          <w:rFonts w:hint="eastAsia" w:ascii="宋体" w:hAnsi="宋体" w:eastAsia="宋体" w:cs="黑体"/>
          <w:b/>
          <w:color w:val="000000"/>
          <w:kern w:val="0"/>
          <w:sz w:val="32"/>
          <w:szCs w:val="32"/>
        </w:rPr>
      </w:pPr>
      <w:r>
        <w:rPr>
          <w:rFonts w:hint="eastAsia" w:ascii="宋体" w:hAnsi="宋体" w:eastAsia="宋体" w:cs="黑体"/>
          <w:b/>
          <w:color w:val="000000"/>
          <w:kern w:val="0"/>
          <w:sz w:val="32"/>
          <w:szCs w:val="32"/>
          <w:lang w:val="en-US" w:eastAsia="zh-CN"/>
        </w:rPr>
        <w:t>2、</w:t>
      </w:r>
      <w:r>
        <w:rPr>
          <w:rFonts w:hint="eastAsia" w:ascii="宋体" w:hAnsi="宋体" w:eastAsia="宋体" w:cs="黑体"/>
          <w:b/>
          <w:color w:val="000000"/>
          <w:kern w:val="0"/>
          <w:sz w:val="32"/>
          <w:szCs w:val="32"/>
          <w:highlight w:val="none"/>
        </w:rPr>
        <w:t>202</w:t>
      </w:r>
      <w:r>
        <w:rPr>
          <w:rFonts w:hint="eastAsia" w:ascii="宋体" w:hAnsi="宋体" w:eastAsia="宋体" w:cs="黑体"/>
          <w:b/>
          <w:color w:val="000000"/>
          <w:kern w:val="0"/>
          <w:sz w:val="32"/>
          <w:szCs w:val="32"/>
          <w:highlight w:val="none"/>
          <w:lang w:val="en-US" w:eastAsia="zh-CN"/>
        </w:rPr>
        <w:t>4</w:t>
      </w:r>
      <w:r>
        <w:rPr>
          <w:rFonts w:hint="eastAsia" w:ascii="宋体" w:hAnsi="宋体" w:eastAsia="宋体" w:cs="黑体"/>
          <w:b/>
          <w:color w:val="000000"/>
          <w:kern w:val="0"/>
          <w:sz w:val="32"/>
          <w:szCs w:val="32"/>
        </w:rPr>
        <w:t>年度部门整体支出绩效评价报告</w:t>
      </w:r>
    </w:p>
    <w:p w14:paraId="060EAFB7">
      <w:pPr>
        <w:pStyle w:val="2"/>
        <w:rPr>
          <w:rFonts w:hint="eastAsia" w:ascii="宋体" w:hAnsi="宋体" w:eastAsia="宋体" w:cs="黑体"/>
          <w:b/>
          <w:color w:val="000000"/>
          <w:kern w:val="0"/>
          <w:sz w:val="32"/>
          <w:szCs w:val="32"/>
        </w:rPr>
      </w:pPr>
    </w:p>
    <w:p w14:paraId="150B4F62">
      <w:pPr>
        <w:pStyle w:val="2"/>
        <w:rPr>
          <w:rFonts w:hint="eastAsia" w:ascii="宋体" w:hAnsi="宋体" w:eastAsia="宋体" w:cs="黑体"/>
          <w:b/>
          <w:color w:val="000000"/>
          <w:kern w:val="0"/>
          <w:sz w:val="32"/>
          <w:szCs w:val="32"/>
        </w:rPr>
      </w:pPr>
    </w:p>
    <w:p w14:paraId="0748E62C">
      <w:pPr>
        <w:pStyle w:val="2"/>
        <w:rPr>
          <w:rFonts w:hint="eastAsia" w:ascii="宋体" w:hAnsi="宋体" w:eastAsia="宋体" w:cs="黑体"/>
          <w:b/>
          <w:color w:val="000000"/>
          <w:kern w:val="0"/>
          <w:sz w:val="32"/>
          <w:szCs w:val="32"/>
        </w:rPr>
      </w:pPr>
    </w:p>
    <w:p w14:paraId="4B047332">
      <w:pPr>
        <w:pStyle w:val="2"/>
        <w:rPr>
          <w:rFonts w:hint="eastAsia" w:ascii="宋体" w:hAnsi="宋体" w:eastAsia="宋体" w:cs="黑体"/>
          <w:b/>
          <w:color w:val="000000"/>
          <w:kern w:val="0"/>
          <w:sz w:val="32"/>
          <w:szCs w:val="32"/>
        </w:rPr>
      </w:pPr>
    </w:p>
    <w:p w14:paraId="0CD40D57">
      <w:pPr>
        <w:pStyle w:val="2"/>
        <w:rPr>
          <w:rFonts w:hint="eastAsia" w:ascii="宋体" w:hAnsi="宋体" w:eastAsia="宋体" w:cs="黑体"/>
          <w:b/>
          <w:color w:val="000000"/>
          <w:kern w:val="0"/>
          <w:sz w:val="32"/>
          <w:szCs w:val="32"/>
        </w:rPr>
      </w:pPr>
    </w:p>
    <w:p w14:paraId="4FED22E5">
      <w:pPr>
        <w:pStyle w:val="2"/>
        <w:rPr>
          <w:rFonts w:hint="eastAsia" w:ascii="宋体" w:hAnsi="宋体" w:eastAsia="宋体" w:cs="黑体"/>
          <w:b/>
          <w:color w:val="000000"/>
          <w:kern w:val="0"/>
          <w:sz w:val="32"/>
          <w:szCs w:val="32"/>
        </w:rPr>
      </w:pPr>
    </w:p>
    <w:p w14:paraId="04FB0D48">
      <w:pPr>
        <w:pStyle w:val="2"/>
        <w:rPr>
          <w:rFonts w:hint="eastAsia" w:ascii="宋体" w:hAnsi="宋体" w:eastAsia="宋体" w:cs="黑体"/>
          <w:b/>
          <w:color w:val="000000"/>
          <w:kern w:val="0"/>
          <w:sz w:val="32"/>
          <w:szCs w:val="32"/>
        </w:rPr>
      </w:pPr>
    </w:p>
    <w:p w14:paraId="2A7E9942">
      <w:pPr>
        <w:pStyle w:val="2"/>
        <w:rPr>
          <w:rFonts w:hint="eastAsia" w:ascii="宋体" w:hAnsi="宋体" w:eastAsia="宋体" w:cs="黑体"/>
          <w:b/>
          <w:color w:val="000000"/>
          <w:kern w:val="0"/>
          <w:sz w:val="32"/>
          <w:szCs w:val="32"/>
        </w:rPr>
      </w:pPr>
    </w:p>
    <w:p w14:paraId="19B3EEAF">
      <w:pPr>
        <w:pStyle w:val="2"/>
        <w:rPr>
          <w:rFonts w:hint="eastAsia" w:ascii="宋体" w:hAnsi="宋体" w:eastAsia="宋体" w:cs="黑体"/>
          <w:b/>
          <w:color w:val="000000"/>
          <w:kern w:val="0"/>
          <w:sz w:val="32"/>
          <w:szCs w:val="32"/>
        </w:rPr>
      </w:pPr>
    </w:p>
    <w:p w14:paraId="6E5B7CCD">
      <w:pPr>
        <w:pStyle w:val="2"/>
        <w:rPr>
          <w:rFonts w:hint="eastAsia" w:ascii="宋体" w:hAnsi="宋体" w:eastAsia="宋体" w:cs="黑体"/>
          <w:b/>
          <w:color w:val="000000"/>
          <w:kern w:val="0"/>
          <w:sz w:val="32"/>
          <w:szCs w:val="32"/>
        </w:rPr>
      </w:pPr>
    </w:p>
    <w:p w14:paraId="621DFCA3">
      <w:pPr>
        <w:pStyle w:val="2"/>
        <w:rPr>
          <w:rFonts w:hint="eastAsia" w:ascii="宋体" w:hAnsi="宋体" w:eastAsia="宋体" w:cs="黑体"/>
          <w:b/>
          <w:color w:val="000000"/>
          <w:kern w:val="0"/>
          <w:sz w:val="32"/>
          <w:szCs w:val="32"/>
        </w:rPr>
      </w:pPr>
    </w:p>
    <w:p w14:paraId="4CF66BA1">
      <w:pPr>
        <w:pStyle w:val="2"/>
        <w:rPr>
          <w:rFonts w:hint="eastAsia" w:ascii="宋体" w:hAnsi="宋体" w:eastAsia="宋体" w:cs="黑体"/>
          <w:b/>
          <w:color w:val="000000"/>
          <w:kern w:val="0"/>
          <w:sz w:val="32"/>
          <w:szCs w:val="32"/>
        </w:rPr>
      </w:pPr>
    </w:p>
    <w:p w14:paraId="65345BF4">
      <w:pPr>
        <w:pStyle w:val="2"/>
        <w:rPr>
          <w:rFonts w:hint="eastAsia" w:ascii="宋体" w:hAnsi="宋体" w:eastAsia="宋体" w:cs="黑体"/>
          <w:b/>
          <w:color w:val="000000"/>
          <w:kern w:val="0"/>
          <w:sz w:val="32"/>
          <w:szCs w:val="32"/>
        </w:rPr>
      </w:pPr>
    </w:p>
    <w:p w14:paraId="62A67674">
      <w:pPr>
        <w:pStyle w:val="2"/>
        <w:rPr>
          <w:rFonts w:hint="eastAsia" w:ascii="宋体" w:hAnsi="宋体" w:eastAsia="宋体" w:cs="黑体"/>
          <w:b/>
          <w:color w:val="000000"/>
          <w:kern w:val="0"/>
          <w:sz w:val="32"/>
          <w:szCs w:val="32"/>
        </w:rPr>
      </w:pPr>
    </w:p>
    <w:p w14:paraId="349BD59C">
      <w:pPr>
        <w:pStyle w:val="2"/>
        <w:rPr>
          <w:rFonts w:hint="eastAsia" w:ascii="宋体" w:hAnsi="宋体" w:eastAsia="宋体" w:cs="黑体"/>
          <w:b/>
          <w:color w:val="000000"/>
          <w:kern w:val="0"/>
          <w:sz w:val="32"/>
          <w:szCs w:val="32"/>
        </w:rPr>
      </w:pPr>
    </w:p>
    <w:p w14:paraId="1446CFFB">
      <w:pPr>
        <w:jc w:val="center"/>
        <w:rPr>
          <w:rFonts w:hint="eastAsia" w:ascii="方正小标宋简体" w:hAnsi="方正小标宋简体" w:eastAsia="方正小标宋简体" w:cs="方正小标宋简体"/>
          <w:sz w:val="44"/>
          <w:szCs w:val="44"/>
          <w:highlight w:val="none"/>
        </w:rPr>
      </w:pPr>
      <w:r>
        <w:rPr>
          <w:rFonts w:hint="eastAsia" w:ascii="方正小标宋简体" w:hAnsi="方正小标宋简体" w:eastAsia="方正小标宋简体" w:cs="方正小标宋简体"/>
          <w:sz w:val="44"/>
          <w:szCs w:val="44"/>
          <w:highlight w:val="none"/>
        </w:rPr>
        <w:t>202</w:t>
      </w:r>
      <w:r>
        <w:rPr>
          <w:rFonts w:hint="eastAsia" w:ascii="方正小标宋简体" w:hAnsi="方正小标宋简体" w:eastAsia="方正小标宋简体" w:cs="方正小标宋简体"/>
          <w:sz w:val="44"/>
          <w:szCs w:val="44"/>
          <w:highlight w:val="none"/>
          <w:lang w:val="en-US" w:eastAsia="zh-CN"/>
        </w:rPr>
        <w:t>4</w:t>
      </w:r>
      <w:r>
        <w:rPr>
          <w:rFonts w:hint="eastAsia" w:ascii="方正小标宋简体" w:hAnsi="方正小标宋简体" w:eastAsia="方正小标宋简体" w:cs="方正小标宋简体"/>
          <w:sz w:val="44"/>
          <w:szCs w:val="44"/>
          <w:highlight w:val="none"/>
        </w:rPr>
        <w:t>年度</w:t>
      </w:r>
      <w:r>
        <w:rPr>
          <w:rFonts w:hint="eastAsia" w:ascii="方正小标宋简体" w:hAnsi="方正小标宋简体" w:eastAsia="方正小标宋简体" w:cs="方正小标宋简体"/>
          <w:sz w:val="44"/>
          <w:szCs w:val="44"/>
          <w:highlight w:val="none"/>
          <w:lang w:eastAsia="zh-CN"/>
        </w:rPr>
        <w:t>岳阳市房地产交易中心</w:t>
      </w:r>
      <w:r>
        <w:rPr>
          <w:rFonts w:hint="eastAsia" w:ascii="方正小标宋简体" w:hAnsi="方正小标宋简体" w:eastAsia="方正小标宋简体" w:cs="方正小标宋简体"/>
          <w:sz w:val="44"/>
          <w:szCs w:val="44"/>
          <w:highlight w:val="none"/>
        </w:rPr>
        <w:t>整体支出</w:t>
      </w:r>
    </w:p>
    <w:p w14:paraId="79DBADC1">
      <w:pPr>
        <w:jc w:val="center"/>
        <w:rPr>
          <w:rFonts w:hint="eastAsia" w:ascii="方正小标宋简体" w:hAnsi="方正小标宋简体" w:eastAsia="方正小标宋简体" w:cs="方正小标宋简体"/>
          <w:sz w:val="44"/>
          <w:szCs w:val="44"/>
          <w:highlight w:val="none"/>
        </w:rPr>
      </w:pPr>
      <w:r>
        <w:rPr>
          <w:rFonts w:hint="eastAsia" w:ascii="方正小标宋简体" w:hAnsi="方正小标宋简体" w:eastAsia="方正小标宋简体" w:cs="方正小标宋简体"/>
          <w:sz w:val="44"/>
          <w:szCs w:val="44"/>
          <w:highlight w:val="none"/>
        </w:rPr>
        <w:t>绩效自评报告</w:t>
      </w:r>
    </w:p>
    <w:p w14:paraId="68C79734">
      <w:pPr>
        <w:jc w:val="center"/>
        <w:rPr>
          <w:rFonts w:hint="default" w:ascii="Times New Roman" w:hAnsi="Times New Roman" w:eastAsia="方正小标宋_GBK" w:cs="Times New Roman"/>
          <w:b/>
          <w:sz w:val="52"/>
          <w:szCs w:val="52"/>
          <w:highlight w:val="none"/>
        </w:rPr>
      </w:pPr>
    </w:p>
    <w:p w14:paraId="0D6327AE">
      <w:pPr>
        <w:jc w:val="center"/>
        <w:rPr>
          <w:rFonts w:hint="default" w:ascii="Times New Roman" w:hAnsi="Times New Roman" w:eastAsia="楷体_GB2312" w:cs="Times New Roman"/>
          <w:b/>
          <w:sz w:val="32"/>
          <w:szCs w:val="32"/>
          <w:highlight w:val="none"/>
        </w:rPr>
      </w:pPr>
    </w:p>
    <w:p w14:paraId="67867026">
      <w:pPr>
        <w:jc w:val="center"/>
        <w:rPr>
          <w:rFonts w:hint="default" w:ascii="Times New Roman" w:hAnsi="Times New Roman" w:eastAsia="楷体_GB2312" w:cs="Times New Roman"/>
          <w:b/>
          <w:sz w:val="32"/>
          <w:szCs w:val="32"/>
          <w:highlight w:val="none"/>
        </w:rPr>
      </w:pPr>
    </w:p>
    <w:p w14:paraId="6A311DF6">
      <w:pPr>
        <w:jc w:val="center"/>
        <w:rPr>
          <w:rFonts w:hint="default" w:ascii="Times New Roman" w:hAnsi="Times New Roman" w:eastAsia="楷体_GB2312" w:cs="Times New Roman"/>
          <w:b/>
          <w:sz w:val="32"/>
          <w:szCs w:val="32"/>
          <w:highlight w:val="none"/>
        </w:rPr>
      </w:pPr>
    </w:p>
    <w:p w14:paraId="35FACCF0">
      <w:pPr>
        <w:jc w:val="center"/>
        <w:rPr>
          <w:rFonts w:hint="default" w:ascii="Times New Roman" w:hAnsi="Times New Roman" w:eastAsia="楷体_GB2312" w:cs="Times New Roman"/>
          <w:b/>
          <w:sz w:val="32"/>
          <w:szCs w:val="32"/>
          <w:highlight w:val="none"/>
        </w:rPr>
      </w:pPr>
    </w:p>
    <w:p w14:paraId="1C63A62A">
      <w:pPr>
        <w:jc w:val="center"/>
        <w:rPr>
          <w:rFonts w:hint="default" w:ascii="Times New Roman" w:hAnsi="Times New Roman" w:eastAsia="楷体_GB2312" w:cs="Times New Roman"/>
          <w:b/>
          <w:sz w:val="32"/>
          <w:szCs w:val="32"/>
          <w:highlight w:val="none"/>
        </w:rPr>
      </w:pPr>
    </w:p>
    <w:p w14:paraId="04AB05FF">
      <w:pPr>
        <w:jc w:val="center"/>
        <w:rPr>
          <w:rFonts w:hint="default" w:ascii="Times New Roman" w:hAnsi="Times New Roman" w:eastAsia="楷体_GB2312" w:cs="Times New Roman"/>
          <w:b/>
          <w:sz w:val="32"/>
          <w:szCs w:val="32"/>
          <w:highlight w:val="none"/>
        </w:rPr>
      </w:pPr>
    </w:p>
    <w:p w14:paraId="770AD9DB">
      <w:pPr>
        <w:jc w:val="center"/>
        <w:rPr>
          <w:rFonts w:hint="default" w:ascii="Times New Roman" w:hAnsi="Times New Roman" w:eastAsia="黑体" w:cs="Times New Roman"/>
          <w:sz w:val="32"/>
          <w:szCs w:val="32"/>
          <w:highlight w:val="none"/>
        </w:rPr>
      </w:pPr>
    </w:p>
    <w:p w14:paraId="72E7C7DC">
      <w:pPr>
        <w:jc w:val="center"/>
        <w:rPr>
          <w:rFonts w:hint="default" w:ascii="Times New Roman" w:hAnsi="Times New Roman" w:eastAsia="黑体" w:cs="Times New Roman"/>
          <w:sz w:val="32"/>
          <w:szCs w:val="32"/>
          <w:highlight w:val="none"/>
        </w:rPr>
      </w:pPr>
    </w:p>
    <w:p w14:paraId="70517D8B">
      <w:pPr>
        <w:jc w:val="center"/>
        <w:rPr>
          <w:rFonts w:hint="default" w:ascii="Times New Roman" w:hAnsi="Times New Roman" w:eastAsia="黑体" w:cs="Times New Roman"/>
          <w:sz w:val="32"/>
          <w:szCs w:val="32"/>
          <w:highlight w:val="none"/>
        </w:rPr>
      </w:pPr>
    </w:p>
    <w:p w14:paraId="66834A37">
      <w:pPr>
        <w:jc w:val="both"/>
        <w:rPr>
          <w:rFonts w:hint="default" w:ascii="Times New Roman" w:hAnsi="Times New Roman" w:eastAsia="黑体" w:cs="Times New Roman"/>
          <w:sz w:val="32"/>
          <w:szCs w:val="32"/>
          <w:highlight w:val="none"/>
        </w:rPr>
      </w:pPr>
    </w:p>
    <w:p w14:paraId="603B77C5">
      <w:pPr>
        <w:jc w:val="center"/>
        <w:rPr>
          <w:rFonts w:hint="default" w:ascii="Times New Roman" w:hAnsi="Times New Roman" w:eastAsia="黑体" w:cs="Times New Roman"/>
          <w:sz w:val="32"/>
          <w:szCs w:val="32"/>
          <w:highlight w:val="none"/>
        </w:rPr>
      </w:pPr>
    </w:p>
    <w:p w14:paraId="094C8A6B">
      <w:pPr>
        <w:jc w:val="center"/>
        <w:rPr>
          <w:rFonts w:hint="default" w:ascii="Times New Roman" w:hAnsi="Times New Roman" w:eastAsia="黑体" w:cs="Times New Roman"/>
          <w:sz w:val="32"/>
          <w:szCs w:val="32"/>
          <w:highlight w:val="none"/>
        </w:rPr>
      </w:pPr>
    </w:p>
    <w:p w14:paraId="42DCF87E">
      <w:pPr>
        <w:jc w:val="center"/>
        <w:rPr>
          <w:rFonts w:hint="default" w:ascii="Times New Roman" w:hAnsi="Times New Roman" w:eastAsia="黑体" w:cs="Times New Roman"/>
          <w:sz w:val="32"/>
          <w:szCs w:val="32"/>
          <w:highlight w:val="none"/>
        </w:rPr>
      </w:pPr>
    </w:p>
    <w:p w14:paraId="171BA22F">
      <w:pPr>
        <w:spacing w:line="600" w:lineRule="exact"/>
        <w:jc w:val="center"/>
        <w:rPr>
          <w:rFonts w:hint="default" w:ascii="Times New Roman" w:hAnsi="Times New Roman" w:eastAsia="仿宋_GB2312" w:cs="Times New Roman"/>
          <w:sz w:val="32"/>
          <w:szCs w:val="32"/>
          <w:highlight w:val="none"/>
          <w:u w:val="single"/>
        </w:rPr>
      </w:pPr>
      <w:r>
        <w:rPr>
          <w:rFonts w:hint="default" w:ascii="Times New Roman" w:hAnsi="Times New Roman" w:eastAsia="仿宋_GB2312" w:cs="Times New Roman"/>
          <w:sz w:val="32"/>
          <w:szCs w:val="32"/>
          <w:highlight w:val="none"/>
        </w:rPr>
        <w:t>部门（单位）名称：</w:t>
      </w:r>
      <w:r>
        <w:rPr>
          <w:rFonts w:hint="default" w:ascii="Times New Roman" w:hAnsi="Times New Roman" w:eastAsia="仿宋_GB2312" w:cs="Times New Roman"/>
          <w:sz w:val="32"/>
          <w:szCs w:val="32"/>
          <w:highlight w:val="none"/>
          <w:u w:val="single"/>
        </w:rPr>
        <w:t>（盖章）</w:t>
      </w:r>
    </w:p>
    <w:p w14:paraId="54D2971C">
      <w:pPr>
        <w:spacing w:line="600" w:lineRule="exact"/>
        <w:jc w:val="center"/>
        <w:rPr>
          <w:rFonts w:hint="default" w:ascii="Times New Roman" w:hAnsi="Times New Roman" w:eastAsia="楷体_GB2312" w:cs="Times New Roman"/>
          <w:sz w:val="32"/>
          <w:szCs w:val="32"/>
          <w:highlight w:val="none"/>
        </w:rPr>
      </w:pPr>
      <w:r>
        <w:rPr>
          <w:rFonts w:hint="default" w:ascii="Times New Roman" w:hAnsi="Times New Roman" w:eastAsia="楷体_GB2312" w:cs="Times New Roman"/>
          <w:sz w:val="32"/>
          <w:szCs w:val="32"/>
          <w:highlight w:val="none"/>
        </w:rPr>
        <w:t>年  月  日</w:t>
      </w:r>
    </w:p>
    <w:p w14:paraId="4D036C81">
      <w:pPr>
        <w:jc w:val="center"/>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（此页为封面）</w:t>
      </w:r>
    </w:p>
    <w:p w14:paraId="62CCC801">
      <w:pPr>
        <w:ind w:firstLine="880" w:firstLineChars="200"/>
        <w:jc w:val="center"/>
        <w:rPr>
          <w:rFonts w:hint="eastAsia" w:ascii="方正小标宋简体" w:hAnsi="方正小标宋简体" w:eastAsia="方正小标宋简体" w:cs="方正小标宋简体"/>
          <w:sz w:val="44"/>
          <w:szCs w:val="44"/>
          <w:highlight w:val="none"/>
          <w:lang w:eastAsia="zh-CN"/>
        </w:rPr>
      </w:pPr>
      <w:r>
        <w:rPr>
          <w:rFonts w:hint="eastAsia" w:ascii="方正小标宋简体" w:hAnsi="方正小标宋简体" w:eastAsia="方正小标宋简体" w:cs="方正小标宋简体"/>
          <w:sz w:val="44"/>
          <w:szCs w:val="44"/>
          <w:highlight w:val="none"/>
        </w:rPr>
        <w:t>202</w:t>
      </w:r>
      <w:r>
        <w:rPr>
          <w:rFonts w:hint="eastAsia" w:ascii="方正小标宋简体" w:hAnsi="方正小标宋简体" w:eastAsia="方正小标宋简体" w:cs="方正小标宋简体"/>
          <w:sz w:val="44"/>
          <w:szCs w:val="44"/>
          <w:highlight w:val="none"/>
          <w:lang w:val="en-US" w:eastAsia="zh-CN"/>
        </w:rPr>
        <w:t>4</w:t>
      </w:r>
      <w:r>
        <w:rPr>
          <w:rFonts w:hint="eastAsia" w:ascii="方正小标宋简体" w:hAnsi="方正小标宋简体" w:eastAsia="方正小标宋简体" w:cs="方正小标宋简体"/>
          <w:sz w:val="44"/>
          <w:szCs w:val="44"/>
          <w:highlight w:val="none"/>
        </w:rPr>
        <w:t>年度</w:t>
      </w:r>
      <w:r>
        <w:rPr>
          <w:rFonts w:hint="eastAsia" w:ascii="方正小标宋简体" w:hAnsi="方正小标宋简体" w:eastAsia="方正小标宋简体" w:cs="方正小标宋简体"/>
          <w:sz w:val="44"/>
          <w:szCs w:val="44"/>
          <w:highlight w:val="none"/>
          <w:lang w:eastAsia="zh-CN"/>
        </w:rPr>
        <w:t>岳阳市房地产交易中心</w:t>
      </w:r>
    </w:p>
    <w:p w14:paraId="5D7D3D63">
      <w:pPr>
        <w:ind w:firstLine="880" w:firstLineChars="200"/>
        <w:jc w:val="center"/>
        <w:rPr>
          <w:rFonts w:hint="eastAsia" w:ascii="方正小标宋简体" w:hAnsi="方正小标宋简体" w:eastAsia="方正小标宋简体" w:cs="方正小标宋简体"/>
          <w:sz w:val="44"/>
          <w:szCs w:val="44"/>
          <w:highlight w:val="none"/>
        </w:rPr>
      </w:pPr>
      <w:r>
        <w:rPr>
          <w:rFonts w:hint="eastAsia" w:ascii="方正小标宋简体" w:hAnsi="方正小标宋简体" w:eastAsia="方正小标宋简体" w:cs="方正小标宋简体"/>
          <w:sz w:val="44"/>
          <w:szCs w:val="44"/>
          <w:highlight w:val="none"/>
        </w:rPr>
        <w:t>整体支出绩效自评报告</w:t>
      </w:r>
    </w:p>
    <w:p w14:paraId="6F2C49E0">
      <w:pPr>
        <w:keepNext w:val="0"/>
        <w:keepLines w:val="0"/>
        <w:pageBreakBefore w:val="0"/>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仿宋_GB2312" w:cs="Times New Roman"/>
          <w:sz w:val="32"/>
          <w:szCs w:val="32"/>
          <w:highlight w:val="none"/>
        </w:rPr>
      </w:pPr>
    </w:p>
    <w:p w14:paraId="575C3559">
      <w:pPr>
        <w:keepNext w:val="0"/>
        <w:keepLines w:val="0"/>
        <w:pageBreakBefore w:val="0"/>
        <w:numPr>
          <w:ilvl w:val="0"/>
          <w:numId w:val="3"/>
        </w:numPr>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rPr>
        <w:t>部门（单位）基本情况</w:t>
      </w:r>
    </w:p>
    <w:p w14:paraId="55CFA55C">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仿宋_GB2312" w:cs="Times New Roman"/>
          <w:color w:val="000000"/>
          <w:sz w:val="32"/>
          <w:szCs w:val="32"/>
          <w:highlight w:val="none"/>
        </w:rPr>
      </w:pPr>
      <w:r>
        <w:rPr>
          <w:rFonts w:hint="default" w:ascii="Times New Roman" w:hAnsi="Times New Roman" w:eastAsia="仿宋_GB2312" w:cs="Times New Roman"/>
          <w:color w:val="000000"/>
          <w:sz w:val="32"/>
          <w:szCs w:val="32"/>
          <w:highlight w:val="none"/>
        </w:rPr>
        <w:t>（一）职能职责</w:t>
      </w:r>
    </w:p>
    <w:p w14:paraId="5040E11E">
      <w:pPr>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仿宋_GB2312" w:cs="Times New Roman"/>
          <w:color w:val="000000"/>
          <w:sz w:val="32"/>
          <w:szCs w:val="32"/>
          <w:highlight w:val="none"/>
        </w:rPr>
      </w:pPr>
      <w:r>
        <w:rPr>
          <w:rFonts w:hint="default" w:ascii="Times New Roman" w:hAnsi="Times New Roman" w:eastAsia="仿宋_GB2312" w:cs="Times New Roman"/>
          <w:color w:val="000000"/>
          <w:sz w:val="32"/>
          <w:szCs w:val="32"/>
          <w:highlight w:val="none"/>
        </w:rPr>
        <w:t>1、参与拟订房屋交易相关的行政规章、地方性法规、规章和规范性文件的事务性工作。</w:t>
      </w:r>
    </w:p>
    <w:p w14:paraId="565E83B1">
      <w:pPr>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仿宋_GB2312" w:cs="Times New Roman"/>
          <w:color w:val="000000"/>
          <w:sz w:val="32"/>
          <w:szCs w:val="32"/>
          <w:highlight w:val="none"/>
        </w:rPr>
      </w:pPr>
      <w:r>
        <w:rPr>
          <w:rFonts w:hint="default" w:ascii="Times New Roman" w:hAnsi="Times New Roman" w:eastAsia="仿宋_GB2312" w:cs="Times New Roman"/>
          <w:color w:val="000000"/>
          <w:sz w:val="32"/>
          <w:szCs w:val="32"/>
          <w:highlight w:val="none"/>
        </w:rPr>
        <w:t>2、负责主城区（含岳阳楼区、经济技术开发区、南湖新区、城陵矶新港区，下同）商品房和存量房买卖合同示范文本推广、住房全生命周期管理“一网通办”的行政辅助工作。</w:t>
      </w:r>
    </w:p>
    <w:p w14:paraId="5BE54939">
      <w:pPr>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仿宋_GB2312" w:cs="Times New Roman"/>
          <w:color w:val="000000"/>
          <w:sz w:val="32"/>
          <w:szCs w:val="32"/>
          <w:highlight w:val="none"/>
        </w:rPr>
      </w:pPr>
      <w:r>
        <w:rPr>
          <w:rFonts w:hint="default" w:ascii="Times New Roman" w:hAnsi="Times New Roman" w:eastAsia="仿宋_GB2312" w:cs="Times New Roman"/>
          <w:color w:val="000000"/>
          <w:sz w:val="32"/>
          <w:szCs w:val="32"/>
          <w:highlight w:val="none"/>
        </w:rPr>
        <w:t>3、负责主城区办理网签备案系统入网认证和商品房项目现房销售备案、房屋面积和楼盘表管理、房屋测绘成果备案的行政辅助工作。</w:t>
      </w:r>
    </w:p>
    <w:p w14:paraId="5FF0F86D">
      <w:pPr>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仿宋_GB2312" w:cs="Times New Roman"/>
          <w:color w:val="000000"/>
          <w:sz w:val="32"/>
          <w:szCs w:val="32"/>
          <w:highlight w:val="none"/>
        </w:rPr>
      </w:pPr>
      <w:r>
        <w:rPr>
          <w:rFonts w:hint="default" w:ascii="Times New Roman" w:hAnsi="Times New Roman" w:eastAsia="仿宋_GB2312" w:cs="Times New Roman"/>
          <w:color w:val="000000"/>
          <w:sz w:val="32"/>
          <w:szCs w:val="32"/>
          <w:highlight w:val="none"/>
        </w:rPr>
        <w:t>4、负责主城区房地产中介管理、中介机构备案、房屋租赁管理和房屋租赁备案的行政辅助工作。</w:t>
      </w:r>
    </w:p>
    <w:p w14:paraId="2D863A57">
      <w:pPr>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仿宋_GB2312" w:cs="Times New Roman"/>
          <w:color w:val="000000"/>
          <w:sz w:val="32"/>
          <w:szCs w:val="32"/>
          <w:highlight w:val="none"/>
        </w:rPr>
      </w:pPr>
      <w:r>
        <w:rPr>
          <w:rFonts w:hint="default" w:ascii="Times New Roman" w:hAnsi="Times New Roman" w:eastAsia="仿宋_GB2312" w:cs="Times New Roman"/>
          <w:color w:val="000000"/>
          <w:sz w:val="32"/>
          <w:szCs w:val="32"/>
          <w:highlight w:val="none"/>
        </w:rPr>
        <w:t>5、负责主城区房地产交易市场管理、房源信息核验、房地产成交价格申报以及同级别土地上住房交易平均价格的测算和发布等行政辅助工作。</w:t>
      </w:r>
    </w:p>
    <w:p w14:paraId="2661533E">
      <w:pPr>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仿宋_GB2312" w:cs="Times New Roman"/>
          <w:color w:val="000000"/>
          <w:sz w:val="32"/>
          <w:szCs w:val="32"/>
          <w:highlight w:val="none"/>
        </w:rPr>
      </w:pPr>
      <w:r>
        <w:rPr>
          <w:rFonts w:hint="default" w:ascii="Times New Roman" w:hAnsi="Times New Roman" w:eastAsia="仿宋_GB2312" w:cs="Times New Roman"/>
          <w:color w:val="000000"/>
          <w:sz w:val="32"/>
          <w:szCs w:val="32"/>
          <w:highlight w:val="none"/>
        </w:rPr>
        <w:t>6、负责市主城区房屋交易管理以及协助财政、税务部门征收房地产交易环节税费的相关事务性工作。</w:t>
      </w:r>
    </w:p>
    <w:p w14:paraId="1E84A063">
      <w:pPr>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仿宋_GB2312" w:cs="Times New Roman"/>
          <w:color w:val="000000"/>
          <w:sz w:val="32"/>
          <w:szCs w:val="32"/>
          <w:highlight w:val="none"/>
        </w:rPr>
      </w:pPr>
      <w:r>
        <w:rPr>
          <w:rFonts w:hint="default" w:ascii="Times New Roman" w:hAnsi="Times New Roman" w:eastAsia="仿宋_GB2312" w:cs="Times New Roman"/>
          <w:color w:val="000000"/>
          <w:sz w:val="32"/>
          <w:szCs w:val="32"/>
          <w:highlight w:val="none"/>
        </w:rPr>
        <w:t>7、负责市主城区范围内新建商品房买卖合同、存量房买卖合同、房地产租赁合同、房地产抵押合同的网签备案及其变更、撤销等事务性工作。</w:t>
      </w:r>
    </w:p>
    <w:p w14:paraId="1EDF1FBC">
      <w:pPr>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仿宋_GB2312" w:cs="Times New Roman"/>
          <w:color w:val="000000"/>
          <w:sz w:val="32"/>
          <w:szCs w:val="32"/>
          <w:highlight w:val="none"/>
        </w:rPr>
      </w:pPr>
      <w:r>
        <w:rPr>
          <w:rFonts w:hint="default" w:ascii="Times New Roman" w:hAnsi="Times New Roman" w:eastAsia="仿宋_GB2312" w:cs="Times New Roman"/>
          <w:color w:val="000000"/>
          <w:sz w:val="32"/>
          <w:szCs w:val="32"/>
          <w:highlight w:val="none"/>
        </w:rPr>
        <w:t>8、负责楼盘表的建立、变更和管理，负责房地产交易网签备案系统建设的事务性工作。</w:t>
      </w:r>
    </w:p>
    <w:p w14:paraId="6F658D70">
      <w:pPr>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仿宋_GB2312" w:cs="Times New Roman"/>
          <w:color w:val="000000"/>
          <w:sz w:val="32"/>
          <w:szCs w:val="32"/>
          <w:highlight w:val="none"/>
        </w:rPr>
      </w:pPr>
      <w:r>
        <w:rPr>
          <w:rFonts w:hint="default" w:ascii="Times New Roman" w:hAnsi="Times New Roman" w:eastAsia="仿宋_GB2312" w:cs="Times New Roman"/>
          <w:color w:val="000000"/>
          <w:sz w:val="32"/>
          <w:szCs w:val="32"/>
          <w:highlight w:val="none"/>
        </w:rPr>
        <w:t>9、负责市主城区存量房交易资金监管的事务性工作。</w:t>
      </w:r>
    </w:p>
    <w:p w14:paraId="46C96B45">
      <w:pPr>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eastAsia" w:ascii="Times New Roman" w:hAnsi="Times New Roman" w:eastAsia="仿宋_GB2312" w:cs="Times New Roman"/>
          <w:color w:val="000000"/>
          <w:sz w:val="32"/>
          <w:szCs w:val="32"/>
          <w:highlight w:val="none"/>
          <w:lang w:val="en-US" w:eastAsia="zh-CN"/>
        </w:rPr>
      </w:pPr>
      <w:r>
        <w:rPr>
          <w:rFonts w:hint="default" w:ascii="Times New Roman" w:hAnsi="Times New Roman" w:eastAsia="仿宋_GB2312" w:cs="Times New Roman"/>
          <w:color w:val="000000"/>
          <w:sz w:val="32"/>
          <w:szCs w:val="32"/>
          <w:highlight w:val="none"/>
        </w:rPr>
        <w:t>10、负责与市不动产登记中心建立联席制度，确保信息互联互通，流程清晰顺畅，及时协商解决工作中的问题，确保房屋交易职能运行顺畅、管理有序、部门配合、方便群众。</w:t>
      </w:r>
      <w:r>
        <w:rPr>
          <w:rFonts w:hint="eastAsia" w:ascii="Times New Roman" w:hAnsi="Times New Roman" w:eastAsia="仿宋_GB2312" w:cs="Times New Roman"/>
          <w:color w:val="000000"/>
          <w:sz w:val="32"/>
          <w:szCs w:val="32"/>
          <w:highlight w:val="none"/>
          <w:lang w:val="en-US" w:eastAsia="zh-CN"/>
        </w:rPr>
        <w:t xml:space="preserve">   </w:t>
      </w:r>
    </w:p>
    <w:p w14:paraId="25D39297">
      <w:pPr>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仿宋_GB2312" w:cs="Times New Roman"/>
          <w:color w:val="000000"/>
          <w:sz w:val="32"/>
          <w:szCs w:val="32"/>
          <w:highlight w:val="none"/>
        </w:rPr>
      </w:pPr>
      <w:r>
        <w:rPr>
          <w:rFonts w:hint="default" w:ascii="Times New Roman" w:hAnsi="Times New Roman" w:eastAsia="仿宋_GB2312" w:cs="Times New Roman"/>
          <w:color w:val="000000"/>
          <w:sz w:val="32"/>
          <w:szCs w:val="32"/>
          <w:highlight w:val="none"/>
        </w:rPr>
        <w:t>（二）机构设置</w:t>
      </w:r>
    </w:p>
    <w:p w14:paraId="6A2A04C5">
      <w:pPr>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仿宋_GB2312" w:cs="Times New Roman"/>
          <w:color w:val="000000"/>
          <w:sz w:val="32"/>
          <w:szCs w:val="32"/>
          <w:highlight w:val="none"/>
        </w:rPr>
      </w:pPr>
      <w:r>
        <w:rPr>
          <w:rFonts w:hint="default" w:ascii="Times New Roman" w:hAnsi="Times New Roman" w:eastAsia="仿宋_GB2312" w:cs="Times New Roman"/>
          <w:color w:val="000000"/>
          <w:sz w:val="32"/>
          <w:szCs w:val="32"/>
          <w:highlight w:val="none"/>
        </w:rPr>
        <w:t>我中心为岳阳市住房和城乡建设局下属的正科级公益一类事业单位，内设综合室、新建商品房市场管理室和存量房市场管理室。</w:t>
      </w:r>
    </w:p>
    <w:p w14:paraId="361E48B8">
      <w:pPr>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仿宋_GB2312" w:cs="Times New Roman"/>
          <w:color w:val="000000"/>
          <w:sz w:val="32"/>
          <w:szCs w:val="32"/>
          <w:highlight w:val="none"/>
        </w:rPr>
      </w:pPr>
      <w:r>
        <w:rPr>
          <w:rFonts w:hint="default" w:ascii="Times New Roman" w:hAnsi="Times New Roman" w:eastAsia="仿宋_GB2312" w:cs="Times New Roman"/>
          <w:color w:val="000000"/>
          <w:sz w:val="32"/>
          <w:szCs w:val="32"/>
          <w:highlight w:val="none"/>
        </w:rPr>
        <w:t>根据</w:t>
      </w:r>
      <w:r>
        <w:rPr>
          <w:rFonts w:hint="eastAsia" w:ascii="Times New Roman" w:hAnsi="Times New Roman" w:eastAsia="仿宋_GB2312" w:cs="Times New Roman"/>
          <w:color w:val="000000"/>
          <w:sz w:val="32"/>
          <w:szCs w:val="32"/>
          <w:highlight w:val="none"/>
          <w:lang w:eastAsia="zh-CN"/>
        </w:rPr>
        <w:t>岳阳市</w:t>
      </w:r>
      <w:r>
        <w:rPr>
          <w:rFonts w:hint="default" w:ascii="Times New Roman" w:hAnsi="Times New Roman" w:eastAsia="仿宋_GB2312" w:cs="Times New Roman"/>
          <w:color w:val="000000"/>
          <w:sz w:val="32"/>
          <w:szCs w:val="32"/>
          <w:highlight w:val="none"/>
        </w:rPr>
        <w:t>编委核定，我中心全额拨款事业编制</w:t>
      </w:r>
      <w:r>
        <w:rPr>
          <w:rFonts w:hint="eastAsia" w:ascii="Times New Roman" w:hAnsi="Times New Roman" w:eastAsia="仿宋_GB2312" w:cs="Times New Roman"/>
          <w:color w:val="000000"/>
          <w:sz w:val="32"/>
          <w:szCs w:val="32"/>
          <w:highlight w:val="none"/>
          <w:lang w:val="en-US" w:eastAsia="zh-CN"/>
        </w:rPr>
        <w:t>21</w:t>
      </w:r>
      <w:r>
        <w:rPr>
          <w:rFonts w:hint="default" w:ascii="Times New Roman" w:hAnsi="Times New Roman" w:eastAsia="仿宋_GB2312" w:cs="Times New Roman"/>
          <w:color w:val="000000"/>
          <w:sz w:val="32"/>
          <w:szCs w:val="32"/>
          <w:highlight w:val="none"/>
        </w:rPr>
        <w:t>名，设主任（正科级）1名，副主任（副科级）</w:t>
      </w:r>
      <w:r>
        <w:rPr>
          <w:rFonts w:hint="eastAsia" w:ascii="Times New Roman" w:hAnsi="Times New Roman" w:eastAsia="仿宋_GB2312" w:cs="Times New Roman"/>
          <w:color w:val="000000"/>
          <w:sz w:val="32"/>
          <w:szCs w:val="32"/>
          <w:highlight w:val="none"/>
          <w:lang w:val="en-US" w:eastAsia="zh-CN"/>
        </w:rPr>
        <w:t>5</w:t>
      </w:r>
      <w:r>
        <w:rPr>
          <w:rFonts w:hint="default" w:ascii="Times New Roman" w:hAnsi="Times New Roman" w:eastAsia="仿宋_GB2312" w:cs="Times New Roman"/>
          <w:color w:val="000000"/>
          <w:sz w:val="32"/>
          <w:szCs w:val="32"/>
          <w:highlight w:val="none"/>
        </w:rPr>
        <w:t>名。截至202</w:t>
      </w:r>
      <w:r>
        <w:rPr>
          <w:rFonts w:hint="eastAsia" w:ascii="Times New Roman" w:hAnsi="Times New Roman" w:eastAsia="仿宋_GB2312" w:cs="Times New Roman"/>
          <w:color w:val="000000"/>
          <w:sz w:val="32"/>
          <w:szCs w:val="32"/>
          <w:highlight w:val="none"/>
          <w:lang w:val="en-US" w:eastAsia="zh-CN"/>
        </w:rPr>
        <w:t>4</w:t>
      </w:r>
      <w:r>
        <w:rPr>
          <w:rFonts w:hint="default" w:ascii="Times New Roman" w:hAnsi="Times New Roman" w:eastAsia="仿宋_GB2312" w:cs="Times New Roman"/>
          <w:color w:val="000000"/>
          <w:sz w:val="32"/>
          <w:szCs w:val="32"/>
          <w:highlight w:val="none"/>
        </w:rPr>
        <w:t>年12月31日，我中心事业编制在职人员1</w:t>
      </w:r>
      <w:r>
        <w:rPr>
          <w:rFonts w:hint="eastAsia" w:ascii="Times New Roman" w:hAnsi="Times New Roman" w:eastAsia="仿宋_GB2312" w:cs="Times New Roman"/>
          <w:color w:val="000000"/>
          <w:sz w:val="32"/>
          <w:szCs w:val="32"/>
          <w:highlight w:val="none"/>
          <w:lang w:val="en-US" w:eastAsia="zh-CN"/>
        </w:rPr>
        <w:t>9</w:t>
      </w:r>
      <w:r>
        <w:rPr>
          <w:rFonts w:hint="default" w:ascii="Times New Roman" w:hAnsi="Times New Roman" w:eastAsia="仿宋_GB2312" w:cs="Times New Roman"/>
          <w:color w:val="000000"/>
          <w:sz w:val="32"/>
          <w:szCs w:val="32"/>
          <w:highlight w:val="none"/>
        </w:rPr>
        <w:t>名，退休人员2名。</w:t>
      </w:r>
    </w:p>
    <w:p w14:paraId="18828498">
      <w:pPr>
        <w:pStyle w:val="14"/>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rPr>
        <w:t>二、一般公共预算支出情况</w:t>
      </w:r>
    </w:p>
    <w:p w14:paraId="6B46E363">
      <w:pPr>
        <w:pStyle w:val="14"/>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楷体_GB2312" w:cs="Times New Roman"/>
          <w:b/>
          <w:sz w:val="32"/>
          <w:szCs w:val="32"/>
          <w:highlight w:val="none"/>
        </w:rPr>
      </w:pPr>
      <w:r>
        <w:rPr>
          <w:rFonts w:hint="default" w:ascii="Times New Roman" w:hAnsi="Times New Roman" w:eastAsia="楷体_GB2312" w:cs="Times New Roman"/>
          <w:b/>
          <w:sz w:val="32"/>
          <w:szCs w:val="32"/>
          <w:highlight w:val="none"/>
        </w:rPr>
        <w:t>（一）基本支出情况</w:t>
      </w:r>
    </w:p>
    <w:p w14:paraId="0C76D7B2">
      <w:pPr>
        <w:pStyle w:val="14"/>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仿宋_GB2312" w:cs="Times New Roman"/>
          <w:color w:val="000000"/>
          <w:kern w:val="0"/>
          <w:sz w:val="32"/>
          <w:szCs w:val="32"/>
          <w:highlight w:val="none"/>
          <w:lang w:val="en-US" w:eastAsia="zh-CN" w:bidi="ar-SA"/>
        </w:rPr>
      </w:pPr>
      <w:r>
        <w:rPr>
          <w:rFonts w:hint="eastAsia" w:ascii="Times New Roman" w:hAnsi="Times New Roman" w:eastAsia="仿宋_GB2312" w:cs="Times New Roman"/>
          <w:color w:val="000000"/>
          <w:kern w:val="0"/>
          <w:sz w:val="32"/>
          <w:szCs w:val="32"/>
          <w:highlight w:val="none"/>
          <w:lang w:val="en-US" w:eastAsia="zh-CN" w:bidi="ar-SA"/>
        </w:rPr>
        <w:t>2024年度，本中心一般公共预算基本支出总金额为226.93万元，其中：人员经费支出211.25万元，主要包括：基本工资、津贴补贴、奖金、伙食补助费、绩效工资、机关事业单位基本养老保险缴费、职工基本医疗保险缴费、其他社会保障缴费、住房公积金、医疗费、其他工资福利支出、退休费、医疗费补助、其他对个人和家庭的补助；公用经费支出15.68万元，主要包括：办公费、印刷费、水费、电费、邮电费、物业管理费、差旅费、维修（护）费、劳务费、工会经费、福利费、其他交通费用、其他商品和服务支出。</w:t>
      </w:r>
    </w:p>
    <w:p w14:paraId="04B280FC">
      <w:pPr>
        <w:pStyle w:val="14"/>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楷体_GB2312" w:cs="Times New Roman"/>
          <w:b/>
          <w:sz w:val="32"/>
          <w:szCs w:val="32"/>
          <w:highlight w:val="none"/>
        </w:rPr>
      </w:pPr>
      <w:r>
        <w:rPr>
          <w:rFonts w:hint="default" w:ascii="Times New Roman" w:hAnsi="Times New Roman" w:eastAsia="楷体_GB2312" w:cs="Times New Roman"/>
          <w:b/>
          <w:sz w:val="32"/>
          <w:szCs w:val="32"/>
          <w:highlight w:val="none"/>
        </w:rPr>
        <w:t>（二）项目支出情况</w:t>
      </w:r>
    </w:p>
    <w:p w14:paraId="61A8E18A">
      <w:pPr>
        <w:pStyle w:val="14"/>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default" w:ascii="仿宋_GB2312" w:hAnsi="仿宋_GB2312" w:eastAsia="仿宋_GB2312" w:cs="仿宋_GB2312"/>
          <w:b w:val="0"/>
          <w:bCs/>
          <w:sz w:val="32"/>
          <w:szCs w:val="32"/>
          <w:highlight w:val="none"/>
          <w:lang w:val="en-US" w:eastAsia="zh-CN"/>
        </w:rPr>
      </w:pPr>
      <w:r>
        <w:rPr>
          <w:rFonts w:hint="eastAsia" w:ascii="Times New Roman" w:hAnsi="Times New Roman" w:eastAsia="仿宋_GB2312" w:cs="Times New Roman"/>
          <w:color w:val="000000"/>
          <w:kern w:val="0"/>
          <w:sz w:val="32"/>
          <w:szCs w:val="32"/>
          <w:highlight w:val="none"/>
          <w:lang w:val="en-US" w:eastAsia="zh-CN" w:bidi="ar-SA"/>
        </w:rPr>
        <w:t>2024年度，本中心项目支出总金额为26.86万元，主要用于办证专项经费。</w:t>
      </w:r>
    </w:p>
    <w:p w14:paraId="1DC71CEE">
      <w:pPr>
        <w:pStyle w:val="14"/>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rPr>
        <w:t>三、政府性基金预算支出情况</w:t>
      </w:r>
    </w:p>
    <w:p w14:paraId="29DB3969">
      <w:pPr>
        <w:pStyle w:val="14"/>
        <w:keepNext w:val="0"/>
        <w:keepLines w:val="0"/>
        <w:pageBreakBefore w:val="0"/>
        <w:widowControl/>
        <w:kinsoku/>
        <w:wordWrap/>
        <w:overflowPunct/>
        <w:topLinePunct w:val="0"/>
        <w:autoSpaceDE/>
        <w:autoSpaceDN/>
        <w:bidi w:val="0"/>
        <w:adjustRightInd/>
        <w:snapToGrid/>
        <w:spacing w:line="640" w:lineRule="exact"/>
        <w:jc w:val="both"/>
        <w:textAlignment w:val="auto"/>
        <w:rPr>
          <w:rFonts w:hint="eastAsia" w:ascii="仿宋_GB2312" w:hAnsi="仿宋_GB2312" w:eastAsia="仿宋_GB2312" w:cs="仿宋_GB2312"/>
          <w:b w:val="0"/>
          <w:bCs w:val="0"/>
          <w:sz w:val="32"/>
          <w:szCs w:val="32"/>
          <w:highlight w:val="none"/>
          <w:lang w:eastAsia="zh-CN"/>
        </w:rPr>
      </w:pPr>
      <w:r>
        <w:rPr>
          <w:rFonts w:hint="eastAsia" w:ascii="仿宋_GB2312" w:hAnsi="仿宋_GB2312" w:eastAsia="仿宋_GB2312" w:cs="仿宋_GB2312"/>
          <w:b w:val="0"/>
          <w:bCs w:val="0"/>
          <w:sz w:val="32"/>
          <w:szCs w:val="32"/>
          <w:highlight w:val="none"/>
          <w:lang w:eastAsia="zh-CN"/>
        </w:rPr>
        <w:t>本中心无政府性基金预算支出。</w:t>
      </w:r>
    </w:p>
    <w:p w14:paraId="718B2548">
      <w:pPr>
        <w:pStyle w:val="14"/>
        <w:keepNext w:val="0"/>
        <w:keepLines w:val="0"/>
        <w:pageBreakBefore w:val="0"/>
        <w:widowControl/>
        <w:numPr>
          <w:ilvl w:val="0"/>
          <w:numId w:val="4"/>
        </w:numPr>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rPr>
        <w:t>国有资本经营预算支出情况</w:t>
      </w:r>
    </w:p>
    <w:p w14:paraId="3B709F35">
      <w:pPr>
        <w:pStyle w:val="14"/>
        <w:keepNext w:val="0"/>
        <w:keepLines w:val="0"/>
        <w:pageBreakBefore w:val="0"/>
        <w:widowControl/>
        <w:kinsoku/>
        <w:wordWrap/>
        <w:overflowPunct/>
        <w:topLinePunct w:val="0"/>
        <w:autoSpaceDE/>
        <w:autoSpaceDN/>
        <w:bidi w:val="0"/>
        <w:adjustRightInd/>
        <w:snapToGrid/>
        <w:spacing w:line="640" w:lineRule="exact"/>
        <w:ind w:left="0" w:leftChars="0" w:firstLine="640" w:firstLineChars="200"/>
        <w:jc w:val="both"/>
        <w:textAlignment w:val="auto"/>
        <w:rPr>
          <w:rFonts w:hint="default" w:ascii="Times New Roman" w:hAnsi="Times New Roman" w:eastAsia="黑体" w:cs="Times New Roman"/>
          <w:sz w:val="32"/>
          <w:szCs w:val="32"/>
          <w:highlight w:val="none"/>
        </w:rPr>
      </w:pPr>
      <w:r>
        <w:rPr>
          <w:rFonts w:hint="eastAsia" w:ascii="仿宋_GB2312" w:hAnsi="仿宋_GB2312" w:eastAsia="仿宋_GB2312" w:cs="仿宋_GB2312"/>
          <w:b w:val="0"/>
          <w:bCs w:val="0"/>
          <w:sz w:val="32"/>
          <w:szCs w:val="32"/>
          <w:highlight w:val="none"/>
          <w:lang w:eastAsia="zh-CN"/>
        </w:rPr>
        <w:t>本中心无国有资本经营预算支出。</w:t>
      </w:r>
    </w:p>
    <w:p w14:paraId="03A7E96E">
      <w:pPr>
        <w:pStyle w:val="14"/>
        <w:keepNext w:val="0"/>
        <w:keepLines w:val="0"/>
        <w:pageBreakBefore w:val="0"/>
        <w:widowControl/>
        <w:numPr>
          <w:ilvl w:val="0"/>
          <w:numId w:val="4"/>
        </w:numPr>
        <w:kinsoku/>
        <w:wordWrap/>
        <w:overflowPunct/>
        <w:topLinePunct w:val="0"/>
        <w:autoSpaceDE/>
        <w:autoSpaceDN/>
        <w:bidi w:val="0"/>
        <w:adjustRightInd/>
        <w:snapToGrid/>
        <w:spacing w:line="640" w:lineRule="exact"/>
        <w:ind w:left="0" w:leftChars="0" w:firstLine="640" w:firstLineChars="200"/>
        <w:jc w:val="both"/>
        <w:textAlignment w:val="auto"/>
        <w:rPr>
          <w:rFonts w:hint="default"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rPr>
        <w:t>社会保险基金预算支出情况</w:t>
      </w:r>
    </w:p>
    <w:p w14:paraId="4CDC9F54">
      <w:pPr>
        <w:pStyle w:val="14"/>
        <w:keepNext w:val="0"/>
        <w:keepLines w:val="0"/>
        <w:pageBreakBefore w:val="0"/>
        <w:widowControl/>
        <w:kinsoku/>
        <w:wordWrap/>
        <w:overflowPunct/>
        <w:topLinePunct w:val="0"/>
        <w:autoSpaceDE/>
        <w:autoSpaceDN/>
        <w:bidi w:val="0"/>
        <w:adjustRightInd/>
        <w:snapToGrid/>
        <w:spacing w:line="640" w:lineRule="exact"/>
        <w:ind w:left="0" w:leftChars="0" w:firstLine="640" w:firstLineChars="200"/>
        <w:jc w:val="both"/>
        <w:textAlignment w:val="auto"/>
        <w:rPr>
          <w:rFonts w:hint="default" w:ascii="Times New Roman" w:hAnsi="Times New Roman" w:eastAsia="黑体" w:cs="Times New Roman"/>
          <w:sz w:val="32"/>
          <w:szCs w:val="32"/>
          <w:highlight w:val="none"/>
        </w:rPr>
      </w:pPr>
      <w:r>
        <w:rPr>
          <w:rFonts w:hint="eastAsia" w:ascii="仿宋_GB2312" w:hAnsi="仿宋_GB2312" w:eastAsia="仿宋_GB2312" w:cs="仿宋_GB2312"/>
          <w:b w:val="0"/>
          <w:bCs w:val="0"/>
          <w:sz w:val="32"/>
          <w:szCs w:val="32"/>
          <w:highlight w:val="none"/>
          <w:lang w:eastAsia="zh-CN"/>
        </w:rPr>
        <w:t>本中心无社会保险基金预算支出。</w:t>
      </w:r>
    </w:p>
    <w:p w14:paraId="10BCEF01">
      <w:pPr>
        <w:keepNext w:val="0"/>
        <w:keepLines w:val="0"/>
        <w:pageBreakBefore w:val="0"/>
        <w:widowControl/>
        <w:numPr>
          <w:ilvl w:val="0"/>
          <w:numId w:val="4"/>
        </w:numPr>
        <w:kinsoku/>
        <w:wordWrap/>
        <w:overflowPunct/>
        <w:topLinePunct w:val="0"/>
        <w:autoSpaceDE/>
        <w:autoSpaceDN/>
        <w:bidi w:val="0"/>
        <w:adjustRightInd/>
        <w:snapToGrid/>
        <w:spacing w:line="640" w:lineRule="exact"/>
        <w:ind w:left="0" w:leftChars="0" w:firstLine="640" w:firstLineChars="200"/>
        <w:jc w:val="both"/>
        <w:textAlignment w:val="auto"/>
        <w:rPr>
          <w:rFonts w:hint="default"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rPr>
        <w:t>部门整体支出绩效情况</w:t>
      </w:r>
    </w:p>
    <w:p w14:paraId="1E783D01">
      <w:pPr>
        <w:keepNext w:val="0"/>
        <w:keepLines w:val="0"/>
        <w:pageBreakBefore w:val="0"/>
        <w:widowControl/>
        <w:numPr>
          <w:ilvl w:val="0"/>
          <w:numId w:val="0"/>
        </w:numPr>
        <w:kinsoku/>
        <w:wordWrap/>
        <w:overflowPunct/>
        <w:topLinePunct w:val="0"/>
        <w:autoSpaceDE/>
        <w:autoSpaceDN/>
        <w:bidi w:val="0"/>
        <w:adjustRightInd/>
        <w:snapToGrid/>
        <w:spacing w:line="640" w:lineRule="exact"/>
        <w:ind w:firstLine="640" w:firstLineChars="200"/>
        <w:jc w:val="both"/>
        <w:textAlignment w:val="auto"/>
        <w:rPr>
          <w:rFonts w:hint="default"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2024年，在市委、市政府的正确领导下，在市住房和城乡建设局的悉心指导下，我中心充分发挥部门职能、务实推进各项工作，全面完成预定目标。在经费管理上，人员经费和公用经费支出严格按照市委、市政府相关制度执行，做到有章可循、规范透明；项目经费使用时，在保证各项任务顺利完成的同时，严格落实厉行节约的原则。以下为2024年我中心取得的工作成果：</w:t>
      </w:r>
    </w:p>
    <w:p w14:paraId="13F8F676">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楷体_GB2312" w:hAnsi="楷体_GB2312" w:eastAsia="楷体_GB2312" w:cs="楷体_GB2312"/>
          <w:sz w:val="32"/>
          <w:szCs w:val="32"/>
          <w:lang w:eastAsia="zh-CN"/>
        </w:rPr>
      </w:pPr>
      <w:r>
        <w:rPr>
          <w:rFonts w:hint="eastAsia" w:ascii="楷体_GB2312" w:hAnsi="楷体_GB2312" w:eastAsia="楷体_GB2312" w:cs="楷体_GB2312"/>
          <w:sz w:val="32"/>
          <w:szCs w:val="32"/>
          <w:lang w:eastAsia="zh-CN"/>
        </w:rPr>
        <w:t>（一）</w:t>
      </w:r>
      <w:r>
        <w:rPr>
          <w:rFonts w:hint="eastAsia" w:ascii="楷体_GB2312" w:hAnsi="楷体_GB2312" w:eastAsia="楷体_GB2312" w:cs="楷体_GB2312"/>
          <w:sz w:val="32"/>
          <w:szCs w:val="32"/>
        </w:rPr>
        <w:t>加强部门配合，协力做好</w:t>
      </w:r>
      <w:r>
        <w:rPr>
          <w:rFonts w:hint="eastAsia" w:ascii="楷体_GB2312" w:hAnsi="楷体_GB2312" w:eastAsia="楷体_GB2312" w:cs="楷体_GB2312"/>
          <w:sz w:val="32"/>
          <w:szCs w:val="32"/>
          <w:lang w:eastAsia="zh-CN"/>
        </w:rPr>
        <w:t>住房补贴</w:t>
      </w:r>
    </w:p>
    <w:p w14:paraId="7B120A61">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40"/>
          <w:lang w:val="en-US" w:eastAsia="zh-CN"/>
        </w:rPr>
      </w:pPr>
      <w:r>
        <w:rPr>
          <w:rFonts w:hint="eastAsia" w:ascii="仿宋_GB2312" w:hAnsi="仿宋_GB2312" w:eastAsia="仿宋_GB2312" w:cs="仿宋_GB2312"/>
          <w:sz w:val="32"/>
          <w:szCs w:val="40"/>
          <w:lang w:val="en-US" w:eastAsia="zh-CN"/>
        </w:rPr>
        <w:t>为了促进我市房地产市场的健康平稳发展，进一步满足居民刚性需求和多样化改善型住房需求，完善“市场+保障”的住房供应体系，我市出台了</w:t>
      </w:r>
      <w:r>
        <w:rPr>
          <w:rFonts w:hint="eastAsia" w:ascii="仿宋_GB2312" w:hAnsi="仿宋_GB2312" w:eastAsia="仿宋_GB2312" w:cs="仿宋_GB2312"/>
          <w:b w:val="0"/>
          <w:bCs w:val="0"/>
          <w:sz w:val="32"/>
          <w:szCs w:val="40"/>
          <w:u w:val="none"/>
          <w:lang w:val="en-US" w:eastAsia="zh-CN"/>
        </w:rPr>
        <w:t>《关于进一步促进岳阳市城区房地产市场平稳健康发展的若干措施》</w:t>
      </w:r>
      <w:r>
        <w:rPr>
          <w:rFonts w:hint="eastAsia" w:ascii="仿宋_GB2312" w:hAnsi="仿宋_GB2312" w:eastAsia="仿宋_GB2312" w:cs="仿宋_GB2312"/>
          <w:sz w:val="32"/>
          <w:szCs w:val="40"/>
          <w:lang w:val="en-US" w:eastAsia="zh-CN"/>
        </w:rPr>
        <w:t>，《进一步支持刚性和改善性住房需求促进岳阳市城区房地产市场平稳健康发展的若干措施(试行)实施细则》。根据文件精神，我中心负责在网签备案的同时，审核购房人是否符合申请购房货币补贴条件。2024年，我中心窗口人员共审核申请货币补贴购房资料2575户，已补贴金额达4142万元，为老百姓实实在在谋福利。</w:t>
      </w:r>
    </w:p>
    <w:p w14:paraId="31660B59">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lang w:eastAsia="zh-CN"/>
        </w:rPr>
      </w:pPr>
      <w:r>
        <w:rPr>
          <w:rFonts w:hint="eastAsia" w:ascii="楷体_GB2312" w:hAnsi="楷体_GB2312" w:eastAsia="楷体_GB2312" w:cs="楷体_GB2312"/>
          <w:sz w:val="32"/>
          <w:szCs w:val="32"/>
          <w:lang w:eastAsia="zh-CN"/>
        </w:rPr>
        <w:t>（二）</w:t>
      </w:r>
      <w:r>
        <w:rPr>
          <w:rFonts w:hint="eastAsia" w:ascii="楷体_GB2312" w:hAnsi="楷体_GB2312" w:eastAsia="楷体_GB2312" w:cs="楷体_GB2312"/>
          <w:sz w:val="32"/>
          <w:szCs w:val="32"/>
        </w:rPr>
        <w:t>实行多措并举，</w:t>
      </w:r>
      <w:r>
        <w:rPr>
          <w:rFonts w:hint="eastAsia" w:ascii="楷体_GB2312" w:hAnsi="楷体_GB2312" w:eastAsia="楷体_GB2312" w:cs="楷体_GB2312"/>
          <w:sz w:val="32"/>
          <w:szCs w:val="32"/>
          <w:lang w:eastAsia="zh-CN"/>
        </w:rPr>
        <w:t>逐渐规范市场管理</w:t>
      </w:r>
    </w:p>
    <w:p w14:paraId="5E47B84D">
      <w:pPr>
        <w:ind w:firstLine="640" w:firstLineChars="200"/>
        <w:rPr>
          <w:rFonts w:hint="default" w:ascii="仿宋_GB2312" w:hAnsi="仿宋" w:eastAsia="仿宋_GB2312"/>
          <w:sz w:val="32"/>
          <w:szCs w:val="30"/>
          <w:lang w:val="en-US" w:eastAsia="zh-CN"/>
        </w:rPr>
      </w:pPr>
      <w:r>
        <w:rPr>
          <w:rFonts w:hint="eastAsia" w:ascii="仿宋_GB2312" w:hAnsi="仿宋_GB2312" w:eastAsia="仿宋_GB2312" w:cs="仿宋_GB2312"/>
          <w:b w:val="0"/>
          <w:bCs w:val="0"/>
          <w:sz w:val="32"/>
          <w:szCs w:val="30"/>
          <w:lang w:eastAsia="zh-CN"/>
        </w:rPr>
        <w:t>一是协助出台相关文件</w:t>
      </w:r>
      <w:r>
        <w:rPr>
          <w:rFonts w:hint="eastAsia" w:ascii="仿宋_GB2312" w:hAnsi="仿宋_GB2312" w:eastAsia="仿宋_GB2312" w:cs="仿宋_GB2312"/>
          <w:b w:val="0"/>
          <w:bCs w:val="0"/>
          <w:sz w:val="32"/>
          <w:szCs w:val="30"/>
        </w:rPr>
        <w:t>。</w:t>
      </w:r>
      <w:r>
        <w:rPr>
          <w:rFonts w:hint="eastAsia" w:ascii="仿宋_GB2312" w:hAnsi="仿宋" w:eastAsia="仿宋_GB2312"/>
          <w:sz w:val="32"/>
          <w:szCs w:val="30"/>
          <w:lang w:eastAsia="zh-CN"/>
        </w:rPr>
        <w:t>首先是出台相关文件。今</w:t>
      </w:r>
      <w:r>
        <w:rPr>
          <w:rFonts w:hint="eastAsia" w:ascii="仿宋_GB2312" w:hAnsi="仿宋" w:eastAsia="仿宋_GB2312" w:cs="Times New Roman"/>
          <w:sz w:val="32"/>
          <w:szCs w:val="30"/>
          <w:lang w:eastAsia="zh-CN"/>
        </w:rPr>
        <w:t>年，我中心出台了《岳阳市存量房交易资金监管办法》（2024 [8]号）规范行业管理</w:t>
      </w:r>
      <w:r>
        <w:rPr>
          <w:rFonts w:hint="eastAsia" w:ascii="仿宋_GB2312" w:hAnsi="仿宋" w:eastAsia="仿宋_GB2312" w:cs="Times New Roman"/>
          <w:sz w:val="32"/>
          <w:szCs w:val="30"/>
          <w:lang w:val="en-US" w:eastAsia="zh-CN"/>
        </w:rPr>
        <w:t>文件，</w:t>
      </w:r>
      <w:r>
        <w:rPr>
          <w:rFonts w:hint="eastAsia" w:ascii="仿宋_GB2312" w:hAnsi="仿宋" w:eastAsia="仿宋_GB2312" w:cs="Times New Roman"/>
          <w:sz w:val="32"/>
          <w:szCs w:val="30"/>
          <w:lang w:eastAsia="zh-CN"/>
        </w:rPr>
        <w:t>旨在进一步规范房地产交易</w:t>
      </w:r>
      <w:r>
        <w:rPr>
          <w:rFonts w:hint="eastAsia" w:ascii="仿宋_GB2312" w:hAnsi="仿宋" w:eastAsia="仿宋_GB2312"/>
          <w:sz w:val="32"/>
          <w:szCs w:val="30"/>
          <w:lang w:eastAsia="zh-CN"/>
        </w:rPr>
        <w:t>市场。其次是约谈中介机构。共约谈了五家中介企业，就相关集中投诉的违规行为责令其整改，同时，与市银监局、市网信办、市市场监管局联动，集中协商处理房地产中介企业涉嫌违规、投诉案件。二是开展“双随机一公开”检查，查处了违规收取评估费</w:t>
      </w:r>
      <w:r>
        <w:rPr>
          <w:rFonts w:hint="eastAsia" w:ascii="仿宋_GB2312" w:hAnsi="仿宋" w:eastAsia="仿宋_GB2312"/>
          <w:sz w:val="32"/>
          <w:szCs w:val="30"/>
          <w:lang w:val="en-US" w:eastAsia="zh-CN"/>
        </w:rPr>
        <w:t>16笔。三是</w:t>
      </w:r>
      <w:r>
        <w:rPr>
          <w:rFonts w:hint="eastAsia" w:ascii="仿宋_GB2312" w:hAnsi="仿宋_GB2312" w:eastAsia="仿宋_GB2312" w:cs="仿宋_GB2312"/>
          <w:b w:val="0"/>
          <w:bCs w:val="0"/>
          <w:sz w:val="32"/>
          <w:szCs w:val="30"/>
        </w:rPr>
        <w:t>积极化解涉房信访问题。</w:t>
      </w:r>
      <w:r>
        <w:rPr>
          <w:rFonts w:hint="eastAsia" w:ascii="仿宋_GB2312" w:hAnsi="仿宋" w:eastAsia="仿宋_GB2312" w:cs="Times New Roman"/>
          <w:sz w:val="32"/>
          <w:szCs w:val="30"/>
          <w:lang w:eastAsia="zh-CN"/>
        </w:rPr>
        <w:t>今年我中心安排分管副主任参与化解办的工作，参加了中华时代广场张满芝两次诉讼案到庭；对红星国际家居生活馆申请人胡素敏等人的行政复议予以答辩；</w:t>
      </w:r>
      <w:r>
        <w:rPr>
          <w:rFonts w:hint="eastAsia" w:ascii="仿宋_GB2312" w:hAnsi="仿宋" w:eastAsia="仿宋_GB2312" w:cs="Times New Roman"/>
          <w:sz w:val="32"/>
          <w:szCs w:val="30"/>
          <w:lang w:val="en-US" w:eastAsia="zh-CN"/>
        </w:rPr>
        <w:t>参与了</w:t>
      </w:r>
      <w:r>
        <w:rPr>
          <w:rFonts w:hint="eastAsia" w:ascii="仿宋_GB2312" w:hAnsi="仿宋" w:eastAsia="仿宋_GB2312" w:cs="Times New Roman"/>
          <w:sz w:val="32"/>
          <w:szCs w:val="30"/>
          <w:lang w:eastAsia="zh-CN"/>
        </w:rPr>
        <w:t>审计局关于宏信评估公司评估报告存在纰漏问题的回复，</w:t>
      </w:r>
      <w:r>
        <w:rPr>
          <w:rFonts w:hint="eastAsia" w:ascii="仿宋_GB2312" w:hAnsi="仿宋" w:eastAsia="仿宋_GB2312"/>
          <w:sz w:val="32"/>
          <w:szCs w:val="30"/>
        </w:rPr>
        <w:t>为维护我市房地产市场的稳定作出了一定贡献。</w:t>
      </w:r>
    </w:p>
    <w:p w14:paraId="47F1E94F">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eastAsia" w:ascii="楷体_GB2312" w:hAnsi="楷体_GB2312" w:eastAsia="楷体_GB2312" w:cs="楷体_GB2312"/>
          <w:sz w:val="32"/>
          <w:szCs w:val="32"/>
          <w:lang w:eastAsia="zh-CN"/>
        </w:rPr>
      </w:pPr>
      <w:r>
        <w:rPr>
          <w:rFonts w:hint="eastAsia" w:ascii="楷体_GB2312" w:hAnsi="楷体_GB2312" w:eastAsia="楷体_GB2312" w:cs="楷体_GB2312"/>
          <w:sz w:val="32"/>
          <w:szCs w:val="32"/>
          <w:lang w:eastAsia="zh-CN"/>
        </w:rPr>
        <w:t>（三）推进系统建设，做好合同管理工作</w:t>
      </w:r>
    </w:p>
    <w:p w14:paraId="5C5BA249">
      <w:pPr>
        <w:numPr>
          <w:ilvl w:val="0"/>
          <w:numId w:val="0"/>
        </w:numPr>
        <w:spacing w:line="640" w:lineRule="exact"/>
        <w:ind w:firstLine="640" w:firstLineChars="200"/>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b w:val="0"/>
          <w:bCs w:val="0"/>
          <w:sz w:val="32"/>
          <w:szCs w:val="30"/>
          <w:lang w:val="en-US" w:eastAsia="zh-CN"/>
        </w:rPr>
        <w:t>一是加强系统数据整理，推进系统建设。</w:t>
      </w:r>
      <w:r>
        <w:rPr>
          <w:rFonts w:hint="eastAsia" w:ascii="仿宋_GB2312" w:hAnsi="仿宋" w:eastAsia="仿宋_GB2312" w:cs="Times New Roman"/>
          <w:sz w:val="32"/>
          <w:szCs w:val="30"/>
          <w:lang w:val="en-US" w:eastAsia="zh-CN"/>
        </w:rPr>
        <w:t>目前，已完成新建商品房网上签约系统楼盘表功能优化，湖南省住房全生命周期管理一网通办平台与新建商品房网签备案系统数据对接优化工作;正在对接完成湖南省新建商品房合同模板建立、变更及撤销等系统功能优化建设。</w:t>
      </w:r>
      <w:r>
        <w:rPr>
          <w:rFonts w:hint="eastAsia" w:ascii="仿宋_GB2312" w:hAnsi="仿宋_GB2312" w:eastAsia="仿宋_GB2312" w:cs="仿宋_GB2312"/>
          <w:b w:val="0"/>
          <w:bCs w:val="0"/>
          <w:sz w:val="32"/>
          <w:szCs w:val="30"/>
          <w:lang w:val="en-US" w:eastAsia="zh-CN"/>
        </w:rPr>
        <w:t>二是加强合同备案登记，规范退房管理。</w:t>
      </w:r>
      <w:r>
        <w:rPr>
          <w:rFonts w:hint="eastAsia" w:ascii="仿宋_GB2312" w:hAnsi="仿宋" w:eastAsia="仿宋_GB2312" w:cs="Times New Roman"/>
          <w:sz w:val="32"/>
          <w:szCs w:val="30"/>
          <w:lang w:val="en-US" w:eastAsia="zh-CN"/>
        </w:rPr>
        <w:t>加强商品房现售备案登记。2024年，我中心共完成新建商品房合同备案9270套。加强房屋交易合同管理。已完成全市新建商品房合同模板审核865份；配合公检法司等职能部门的司法查询工作，完成商品房网签合同信息查询6101套；完成房屋交易内部限制及解除内部限制业务笔数213笔。严格预售商品房退房管理。严格实行商品房实名制，在网上签订商品房买卖合同的，不得擅自变更购房者姓名，防止炒房等违法违规的行为，维护我市房地产市场的正常秩序。</w:t>
      </w:r>
      <w:r>
        <w:rPr>
          <w:rFonts w:hint="eastAsia" w:ascii="仿宋_GB2312" w:hAnsi="仿宋_GB2312" w:eastAsia="仿宋_GB2312" w:cs="仿宋_GB2312"/>
          <w:b w:val="0"/>
          <w:bCs w:val="0"/>
          <w:sz w:val="32"/>
          <w:szCs w:val="30"/>
          <w:lang w:val="en-US" w:eastAsia="zh-CN"/>
        </w:rPr>
        <w:t>三是做好领导干部网签查询工作。</w:t>
      </w:r>
      <w:r>
        <w:rPr>
          <w:rFonts w:hint="eastAsia" w:ascii="仿宋_GB2312" w:hAnsi="仿宋" w:eastAsia="仿宋_GB2312"/>
          <w:sz w:val="32"/>
          <w:szCs w:val="30"/>
          <w:lang w:val="en-US" w:eastAsia="zh-CN"/>
        </w:rPr>
        <w:t>按省住建厅和市委组织部的文件提供的人员名单（处级领导干部及其配偶，子女）查询其在市区内有无房产网签备案，要求两个工作日必须完成。全年已经收到231份文件，共查询人员名单达2079人次。</w:t>
      </w:r>
      <w:r>
        <w:rPr>
          <w:rFonts w:hint="eastAsia" w:ascii="仿宋_GB2312" w:hAnsi="仿宋_GB2312" w:eastAsia="仿宋_GB2312" w:cs="仿宋_GB2312"/>
          <w:b w:val="0"/>
          <w:bCs w:val="0"/>
          <w:sz w:val="32"/>
          <w:szCs w:val="32"/>
          <w:lang w:val="en-US" w:eastAsia="zh-CN"/>
        </w:rPr>
        <w:t>四是开展存量房交易资金监管。</w:t>
      </w:r>
      <w:r>
        <w:rPr>
          <w:rFonts w:hint="eastAsia" w:ascii="仿宋_GB2312" w:hAnsi="仿宋_GB2312" w:eastAsia="仿宋_GB2312" w:cs="仿宋_GB2312"/>
          <w:sz w:val="32"/>
          <w:szCs w:val="32"/>
          <w:lang w:val="en-US" w:eastAsia="zh-CN"/>
        </w:rPr>
        <w:t>2024年已在我市中心城区全面开展存量房交易资金监管工作。交易资金监管机构与开展存量房交易资金监管业务的银行签订存量房交易资金监管委托协议，由委托银行具体办理存量房交易资金监管专户的设立及存量房交易监管资金的存储、划转等手续，进一步规范存量房交易市场秩序，维护存量房交易双方的合法权益，保障存量房交易资金的安全。</w:t>
      </w:r>
    </w:p>
    <w:p w14:paraId="395131FD">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val="en-US" w:eastAsia="zh-CN"/>
        </w:rPr>
        <w:t>（四）加强多级融合，建立有形交易市场</w:t>
      </w:r>
    </w:p>
    <w:p w14:paraId="5FC32F01">
      <w:pPr>
        <w:keepNext w:val="0"/>
        <w:keepLines w:val="0"/>
        <w:pageBreakBefore w:val="0"/>
        <w:widowControl w:val="0"/>
        <w:kinsoku/>
        <w:wordWrap/>
        <w:overflowPunct/>
        <w:topLinePunct w:val="0"/>
        <w:autoSpaceDE/>
        <w:autoSpaceDN/>
        <w:bidi w:val="0"/>
        <w:adjustRightInd/>
        <w:snapToGrid/>
        <w:spacing w:line="580" w:lineRule="exact"/>
        <w:ind w:firstLine="636"/>
        <w:jc w:val="left"/>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1、建立房地产交易有形市场。进一步加强房地产交易与不动产登记、房地产交易与开发企业，房地产交易与中介企业、房地产交易与金融机构、房地产交易与公证处等部门的融合，计划将市局一楼大厅进行改造，将房地产开发企业、房地产中介企业、金融机构、公证处等机构引入到大厅，建立房地产中介服务超市、房地产开发楼盘展示、公证业务代办等多功能综合服务大厅，进一步优化营商环境，提供多方面便民利民服务。</w:t>
      </w:r>
    </w:p>
    <w:p w14:paraId="656C9525">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b w:val="0"/>
          <w:bCs w:val="0"/>
          <w:sz w:val="32"/>
          <w:szCs w:val="32"/>
          <w:lang w:val="en-US" w:eastAsia="zh-CN"/>
        </w:rPr>
        <w:t>2、规范管理中介市场。为了保障购</w:t>
      </w:r>
      <w:r>
        <w:rPr>
          <w:rFonts w:hint="eastAsia" w:ascii="仿宋_GB2312" w:hAnsi="仿宋_GB2312" w:eastAsia="仿宋_GB2312" w:cs="仿宋_GB2312"/>
          <w:sz w:val="32"/>
          <w:szCs w:val="32"/>
          <w:lang w:val="en-US" w:eastAsia="zh-CN"/>
        </w:rPr>
        <w:t>房人的合法权益，我中心从加强房地产中介从业主体和从业人员的管理，加强从业人员的培训，启用存量房房源信息核验与发布、交易资金监管等手段，多方面加强对房地产中介市场的规范管理，建立了健康有序的房地产中介市场。2024年，我中心联合市场监管局和网信办对四家网络平台和抖音平台，传达了房源核验要求，发放了房源核验启动通知；多次组织中介企业和银行座谈，完成了企业“住建360找房”系统的部署、调试、培训；联合物业办、房协、银行对岳阳四家大型物业企业11个小区进行走访和政策宣传；组织完成了中介机构2次从业资格培训考核；配合市局完成2024年度双随机检查，对全市7家中介机构，2家评估机构进行突击检查，并对中介机构发布的4560套房源信息是否取得书面委托情况进行逐个核查，并将检查结果移交市局。</w:t>
      </w:r>
    </w:p>
    <w:p w14:paraId="7E5DDE96">
      <w:pPr>
        <w:pStyle w:val="14"/>
        <w:keepNext w:val="0"/>
        <w:keepLines w:val="0"/>
        <w:pageBreakBefore w:val="0"/>
        <w:widowControl/>
        <w:numPr>
          <w:ilvl w:val="0"/>
          <w:numId w:val="4"/>
        </w:numPr>
        <w:kinsoku/>
        <w:wordWrap/>
        <w:overflowPunct/>
        <w:topLinePunct w:val="0"/>
        <w:autoSpaceDE/>
        <w:autoSpaceDN/>
        <w:bidi w:val="0"/>
        <w:adjustRightInd/>
        <w:snapToGrid/>
        <w:spacing w:line="640" w:lineRule="exact"/>
        <w:ind w:left="0" w:leftChars="0" w:firstLine="640" w:firstLineChars="200"/>
        <w:jc w:val="both"/>
        <w:textAlignment w:val="auto"/>
        <w:rPr>
          <w:rFonts w:hint="default"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rPr>
        <w:t>存在的问题及原因分析</w:t>
      </w:r>
    </w:p>
    <w:p w14:paraId="2D3B1A08">
      <w:pPr>
        <w:keepNext w:val="0"/>
        <w:keepLines w:val="0"/>
        <w:pageBreakBefore w:val="0"/>
        <w:widowControl/>
        <w:numPr>
          <w:ilvl w:val="0"/>
          <w:numId w:val="5"/>
        </w:numPr>
        <w:kinsoku/>
        <w:wordWrap/>
        <w:overflowPunct/>
        <w:topLinePunct w:val="0"/>
        <w:autoSpaceDE/>
        <w:autoSpaceDN/>
        <w:bidi w:val="0"/>
        <w:adjustRightInd/>
        <w:snapToGrid/>
        <w:spacing w:line="640" w:lineRule="exact"/>
        <w:ind w:firstLine="640" w:firstLineChars="200"/>
        <w:jc w:val="both"/>
        <w:textAlignment w:val="auto"/>
        <w:rPr>
          <w:rFonts w:hint="eastAsia" w:ascii="Times New Roman" w:hAnsi="Times New Roman" w:eastAsia="仿宋_GB2312" w:cs="Times New Roman"/>
          <w:sz w:val="32"/>
          <w:szCs w:val="32"/>
          <w:highlight w:val="none"/>
          <w:lang w:val="en-US" w:eastAsia="zh-CN"/>
        </w:rPr>
      </w:pPr>
      <w:r>
        <w:rPr>
          <w:rFonts w:hint="eastAsia" w:ascii="Times New Roman" w:hAnsi="Times New Roman" w:eastAsia="仿宋_GB2312" w:cs="Times New Roman"/>
          <w:sz w:val="32"/>
          <w:szCs w:val="32"/>
          <w:highlight w:val="none"/>
          <w:lang w:val="en-US" w:eastAsia="zh-CN"/>
        </w:rPr>
        <w:t>中心财务管理制度尚需优化。目前，财务预算编制与执行、资金管理等方面仍存在短板，需进一步完善中心财务管理制度，增强内部控制与监督体系，提升财务管理效能。</w:t>
      </w:r>
    </w:p>
    <w:p w14:paraId="663945DE">
      <w:pPr>
        <w:keepNext w:val="0"/>
        <w:keepLines w:val="0"/>
        <w:pageBreakBefore w:val="0"/>
        <w:widowControl/>
        <w:numPr>
          <w:ilvl w:val="0"/>
          <w:numId w:val="5"/>
        </w:numPr>
        <w:kinsoku/>
        <w:wordWrap/>
        <w:overflowPunct/>
        <w:topLinePunct w:val="0"/>
        <w:autoSpaceDE/>
        <w:autoSpaceDN/>
        <w:bidi w:val="0"/>
        <w:adjustRightInd/>
        <w:snapToGrid/>
        <w:spacing w:line="640" w:lineRule="exact"/>
        <w:ind w:left="0" w:leftChars="0" w:firstLine="640" w:firstLineChars="200"/>
        <w:jc w:val="both"/>
        <w:textAlignment w:val="auto"/>
        <w:rPr>
          <w:rFonts w:hint="eastAsia" w:ascii="Times New Roman" w:hAnsi="Times New Roman" w:eastAsia="仿宋_GB2312" w:cs="Times New Roman"/>
          <w:sz w:val="32"/>
          <w:szCs w:val="32"/>
          <w:highlight w:val="none"/>
          <w:lang w:val="en-US" w:eastAsia="zh-CN"/>
        </w:rPr>
      </w:pPr>
      <w:r>
        <w:rPr>
          <w:rFonts w:hint="eastAsia" w:ascii="Times New Roman" w:hAnsi="Times New Roman" w:eastAsia="仿宋_GB2312" w:cs="Times New Roman"/>
          <w:sz w:val="32"/>
          <w:szCs w:val="32"/>
          <w:highlight w:val="none"/>
          <w:lang w:val="en-US" w:eastAsia="zh-CN"/>
        </w:rPr>
        <w:t>中心财务人员、业务人员对于政府财务相关制度法规的掌握程度仍有提升空间，需开展系统性学习活动，为单位财务活动合规、有序开展筑牢根基。</w:t>
      </w:r>
    </w:p>
    <w:p w14:paraId="037D9510">
      <w:pPr>
        <w:keepNext w:val="0"/>
        <w:keepLines w:val="0"/>
        <w:pageBreakBefore w:val="0"/>
        <w:widowControl/>
        <w:numPr>
          <w:ilvl w:val="0"/>
          <w:numId w:val="4"/>
        </w:numPr>
        <w:kinsoku/>
        <w:wordWrap/>
        <w:overflowPunct/>
        <w:topLinePunct w:val="0"/>
        <w:autoSpaceDE/>
        <w:autoSpaceDN/>
        <w:bidi w:val="0"/>
        <w:adjustRightInd/>
        <w:snapToGrid/>
        <w:spacing w:line="640" w:lineRule="exact"/>
        <w:ind w:left="0" w:leftChars="0" w:firstLine="640" w:firstLineChars="200"/>
        <w:jc w:val="both"/>
        <w:textAlignment w:val="auto"/>
        <w:rPr>
          <w:rFonts w:hint="default"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rPr>
        <w:t>下一步改进措施</w:t>
      </w:r>
    </w:p>
    <w:p w14:paraId="3109F8D5">
      <w:pPr>
        <w:keepNext w:val="0"/>
        <w:keepLines w:val="0"/>
        <w:pageBreakBefore w:val="0"/>
        <w:widowControl/>
        <w:numPr>
          <w:ilvl w:val="0"/>
          <w:numId w:val="6"/>
        </w:numPr>
        <w:kinsoku/>
        <w:wordWrap/>
        <w:overflowPunct/>
        <w:topLinePunct w:val="0"/>
        <w:autoSpaceDE/>
        <w:autoSpaceDN/>
        <w:bidi w:val="0"/>
        <w:adjustRightInd/>
        <w:snapToGrid/>
        <w:spacing w:line="640" w:lineRule="exact"/>
        <w:ind w:firstLine="640" w:firstLineChars="200"/>
        <w:jc w:val="both"/>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加强预算编制与执行管理。严格依据《预算法》及其实施条例，参考上年数据，科学、精准编制预算。明确预算管理计划，合理规划执行进度，强化全流程监督，稳步提升预算编制准确率，提高财政资金的使用效率。</w:t>
      </w:r>
    </w:p>
    <w:p w14:paraId="250E352B">
      <w:pPr>
        <w:keepNext w:val="0"/>
        <w:keepLines w:val="0"/>
        <w:pageBreakBefore w:val="0"/>
        <w:widowControl/>
        <w:numPr>
          <w:ilvl w:val="0"/>
          <w:numId w:val="0"/>
        </w:numPr>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黑体" w:cs="Times New Roman"/>
          <w:sz w:val="32"/>
          <w:szCs w:val="32"/>
          <w:highlight w:val="none"/>
        </w:rPr>
      </w:pPr>
      <w:r>
        <w:rPr>
          <w:rFonts w:hint="eastAsia" w:ascii="Times New Roman" w:hAnsi="Times New Roman" w:eastAsia="仿宋_GB2312" w:cs="Times New Roman"/>
          <w:sz w:val="32"/>
          <w:szCs w:val="32"/>
          <w:highlight w:val="none"/>
          <w:lang w:val="en-US" w:eastAsia="zh-CN"/>
        </w:rPr>
        <w:t>（二）加大对财务人员的专业培训力度，积极推进业务人员财务知识普及工作。引导财务与业务人员将绩效理念深度嵌入预算编制、执行、监督全流程，提升绩效管理水平，为单位财务管理提质增效提供有力支撑。</w:t>
      </w:r>
    </w:p>
    <w:p w14:paraId="510C4200">
      <w:pPr>
        <w:keepNext w:val="0"/>
        <w:keepLines w:val="0"/>
        <w:pageBreakBefore w:val="0"/>
        <w:widowControl/>
        <w:numPr>
          <w:ilvl w:val="0"/>
          <w:numId w:val="4"/>
        </w:numPr>
        <w:kinsoku/>
        <w:wordWrap/>
        <w:overflowPunct/>
        <w:topLinePunct w:val="0"/>
        <w:autoSpaceDE/>
        <w:autoSpaceDN/>
        <w:bidi w:val="0"/>
        <w:adjustRightInd/>
        <w:snapToGrid/>
        <w:spacing w:line="640" w:lineRule="exact"/>
        <w:ind w:left="0" w:leftChars="0" w:firstLine="640" w:firstLineChars="200"/>
        <w:jc w:val="both"/>
        <w:textAlignment w:val="auto"/>
        <w:rPr>
          <w:rFonts w:hint="default"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rPr>
        <w:t>部门整体支出绩效自评结果拟应用和公开情况</w:t>
      </w:r>
    </w:p>
    <w:p w14:paraId="699C5EBD">
      <w:pPr>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黑体" w:cs="Times New Roman"/>
          <w:sz w:val="32"/>
          <w:szCs w:val="32"/>
          <w:highlight w:val="none"/>
        </w:rPr>
      </w:pPr>
      <w:r>
        <w:rPr>
          <w:rFonts w:hint="default" w:ascii="Times New Roman" w:hAnsi="Times New Roman" w:eastAsia="仿宋_GB2312" w:cs="Times New Roman"/>
          <w:sz w:val="32"/>
          <w:szCs w:val="32"/>
          <w:highlight w:val="none"/>
        </w:rPr>
        <w:t>我中心整体支出绩效自评将在上级主管部门网站上同步公开。</w:t>
      </w:r>
    </w:p>
    <w:p w14:paraId="7AAADB44">
      <w:pPr>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rPr>
        <w:t>其他需要说明的情况</w:t>
      </w:r>
    </w:p>
    <w:p w14:paraId="677C3E0F">
      <w:pPr>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highlight w:val="none"/>
          <w:lang w:eastAsia="zh-CN"/>
        </w:rPr>
        <w:t>无</w:t>
      </w:r>
    </w:p>
    <w:p w14:paraId="5E35CD86">
      <w:pPr>
        <w:pStyle w:val="2"/>
        <w:rPr>
          <w:rFonts w:hint="eastAsia" w:ascii="仿宋_GB2312" w:hAnsi="仿宋_GB2312" w:eastAsia="仿宋_GB2312" w:cs="仿宋_GB2312"/>
          <w:sz w:val="32"/>
          <w:szCs w:val="32"/>
          <w:highlight w:val="none"/>
          <w:lang w:eastAsia="zh-CN"/>
        </w:rPr>
      </w:pPr>
    </w:p>
    <w:p w14:paraId="58641C1A">
      <w:pPr>
        <w:pStyle w:val="2"/>
        <w:rPr>
          <w:rFonts w:hint="eastAsia" w:ascii="仿宋_GB2312" w:hAnsi="仿宋_GB2312" w:eastAsia="仿宋_GB2312" w:cs="仿宋_GB2312"/>
          <w:sz w:val="32"/>
          <w:szCs w:val="32"/>
          <w:highlight w:val="none"/>
          <w:lang w:eastAsia="zh-CN"/>
        </w:rPr>
      </w:pPr>
    </w:p>
    <w:p w14:paraId="08809EB3">
      <w:pPr>
        <w:pStyle w:val="2"/>
        <w:rPr>
          <w:rFonts w:hint="eastAsia" w:ascii="仿宋_GB2312" w:hAnsi="仿宋_GB2312" w:eastAsia="仿宋_GB2312" w:cs="仿宋_GB2312"/>
          <w:sz w:val="32"/>
          <w:szCs w:val="32"/>
          <w:highlight w:val="none"/>
          <w:lang w:eastAsia="zh-CN"/>
        </w:rPr>
      </w:pPr>
    </w:p>
    <w:p w14:paraId="76725C01">
      <w:pPr>
        <w:pStyle w:val="2"/>
        <w:rPr>
          <w:rFonts w:hint="eastAsia" w:ascii="仿宋_GB2312" w:hAnsi="仿宋_GB2312" w:eastAsia="仿宋_GB2312" w:cs="仿宋_GB2312"/>
          <w:sz w:val="32"/>
          <w:szCs w:val="32"/>
          <w:highlight w:val="none"/>
          <w:lang w:eastAsia="zh-CN"/>
        </w:rPr>
      </w:pPr>
    </w:p>
    <w:p w14:paraId="0CE401E1">
      <w:pPr>
        <w:pStyle w:val="2"/>
        <w:rPr>
          <w:rFonts w:hint="eastAsia" w:ascii="仿宋_GB2312" w:hAnsi="仿宋_GB2312" w:eastAsia="仿宋_GB2312" w:cs="仿宋_GB2312"/>
          <w:sz w:val="32"/>
          <w:szCs w:val="32"/>
          <w:highlight w:val="none"/>
          <w:lang w:eastAsia="zh-CN"/>
        </w:rPr>
      </w:pPr>
    </w:p>
    <w:p w14:paraId="30281BE6">
      <w:pPr>
        <w:pStyle w:val="2"/>
        <w:rPr>
          <w:rFonts w:hint="eastAsia" w:ascii="仿宋_GB2312" w:hAnsi="仿宋_GB2312" w:eastAsia="仿宋_GB2312" w:cs="仿宋_GB2312"/>
          <w:sz w:val="32"/>
          <w:szCs w:val="32"/>
          <w:highlight w:val="none"/>
          <w:lang w:eastAsia="zh-CN"/>
        </w:rPr>
      </w:pPr>
    </w:p>
    <w:p w14:paraId="2870BA97">
      <w:pPr>
        <w:pStyle w:val="2"/>
        <w:rPr>
          <w:rFonts w:hint="eastAsia" w:ascii="仿宋_GB2312" w:hAnsi="仿宋_GB2312" w:eastAsia="仿宋_GB2312" w:cs="仿宋_GB2312"/>
          <w:sz w:val="32"/>
          <w:szCs w:val="32"/>
          <w:highlight w:val="none"/>
          <w:lang w:eastAsia="zh-CN"/>
        </w:rPr>
      </w:pPr>
    </w:p>
    <w:p w14:paraId="2CE32D59">
      <w:pPr>
        <w:pStyle w:val="2"/>
        <w:rPr>
          <w:rFonts w:hint="eastAsia" w:ascii="仿宋_GB2312" w:hAnsi="仿宋_GB2312" w:eastAsia="仿宋_GB2312" w:cs="仿宋_GB2312"/>
          <w:sz w:val="32"/>
          <w:szCs w:val="32"/>
          <w:highlight w:val="none"/>
          <w:lang w:eastAsia="zh-CN"/>
        </w:rPr>
      </w:pPr>
    </w:p>
    <w:p w14:paraId="5BCD2E7A">
      <w:pPr>
        <w:pStyle w:val="2"/>
        <w:rPr>
          <w:rFonts w:hint="eastAsia" w:ascii="仿宋_GB2312" w:hAnsi="仿宋_GB2312" w:eastAsia="仿宋_GB2312" w:cs="仿宋_GB2312"/>
          <w:sz w:val="32"/>
          <w:szCs w:val="32"/>
          <w:highlight w:val="none"/>
          <w:lang w:eastAsia="zh-CN"/>
        </w:rPr>
      </w:pPr>
    </w:p>
    <w:p w14:paraId="091D56D1">
      <w:pPr>
        <w:pStyle w:val="2"/>
        <w:rPr>
          <w:rFonts w:hint="eastAsia" w:ascii="仿宋_GB2312" w:hAnsi="仿宋_GB2312" w:eastAsia="仿宋_GB2312" w:cs="仿宋_GB2312"/>
          <w:sz w:val="32"/>
          <w:szCs w:val="32"/>
          <w:highlight w:val="none"/>
          <w:lang w:eastAsia="zh-CN"/>
        </w:rPr>
      </w:pPr>
    </w:p>
    <w:p w14:paraId="3DEBA204">
      <w:pPr>
        <w:pStyle w:val="2"/>
        <w:rPr>
          <w:rFonts w:hint="eastAsia" w:ascii="仿宋_GB2312" w:hAnsi="仿宋_GB2312" w:eastAsia="仿宋_GB2312" w:cs="仿宋_GB2312"/>
          <w:sz w:val="32"/>
          <w:szCs w:val="32"/>
          <w:highlight w:val="none"/>
          <w:lang w:eastAsia="zh-CN"/>
        </w:rPr>
      </w:pPr>
    </w:p>
    <w:p w14:paraId="0A06DE95">
      <w:pPr>
        <w:pStyle w:val="2"/>
        <w:rPr>
          <w:rFonts w:hint="eastAsia" w:ascii="仿宋_GB2312" w:hAnsi="仿宋_GB2312" w:eastAsia="仿宋_GB2312" w:cs="仿宋_GB2312"/>
          <w:sz w:val="32"/>
          <w:szCs w:val="32"/>
          <w:highlight w:val="none"/>
          <w:lang w:eastAsia="zh-CN"/>
        </w:rPr>
      </w:pPr>
    </w:p>
    <w:p w14:paraId="089F81D8">
      <w:pPr>
        <w:pStyle w:val="2"/>
        <w:rPr>
          <w:rFonts w:hint="eastAsia" w:ascii="仿宋_GB2312" w:hAnsi="仿宋_GB2312" w:eastAsia="仿宋_GB2312" w:cs="仿宋_GB2312"/>
          <w:sz w:val="32"/>
          <w:szCs w:val="32"/>
          <w:highlight w:val="none"/>
          <w:lang w:eastAsia="zh-CN"/>
        </w:rPr>
      </w:pPr>
    </w:p>
    <w:p w14:paraId="49D91CC9">
      <w:pPr>
        <w:pStyle w:val="2"/>
        <w:rPr>
          <w:rFonts w:hint="eastAsia" w:ascii="仿宋_GB2312" w:hAnsi="仿宋_GB2312" w:eastAsia="仿宋_GB2312" w:cs="仿宋_GB2312"/>
          <w:sz w:val="32"/>
          <w:szCs w:val="32"/>
          <w:highlight w:val="none"/>
          <w:lang w:eastAsia="zh-CN"/>
        </w:rPr>
      </w:pPr>
    </w:p>
    <w:p w14:paraId="7A687576">
      <w:pPr>
        <w:spacing w:after="0" w:afterLines="0" w:line="500" w:lineRule="exact"/>
        <w:ind w:firstLine="320" w:firstLineChars="100"/>
        <w:jc w:val="left"/>
        <w:rPr>
          <w:rFonts w:hint="eastAsia" w:ascii="黑体" w:hAnsi="黑体" w:eastAsia="黑体" w:cs="黑体"/>
          <w:sz w:val="32"/>
          <w:szCs w:val="32"/>
          <w:highlight w:val="none"/>
          <w:lang w:val="en-US" w:eastAsia="zh-CN"/>
        </w:rPr>
      </w:pPr>
      <w:r>
        <w:rPr>
          <w:rFonts w:hint="eastAsia" w:ascii="黑体" w:hAnsi="黑体" w:eastAsia="黑体" w:cs="黑体"/>
          <w:sz w:val="32"/>
          <w:szCs w:val="32"/>
          <w:highlight w:val="none"/>
          <w:lang w:eastAsia="zh-CN"/>
        </w:rPr>
        <w:t>附件</w:t>
      </w:r>
      <w:r>
        <w:rPr>
          <w:rFonts w:hint="eastAsia" w:ascii="黑体" w:hAnsi="黑体" w:eastAsia="黑体" w:cs="黑体"/>
          <w:sz w:val="32"/>
          <w:szCs w:val="32"/>
          <w:highlight w:val="none"/>
          <w:lang w:val="en-US" w:eastAsia="zh-CN"/>
        </w:rPr>
        <w:t>1</w:t>
      </w:r>
    </w:p>
    <w:p w14:paraId="506A53A6">
      <w:pPr>
        <w:spacing w:after="120" w:afterLines="50" w:line="600" w:lineRule="exact"/>
        <w:jc w:val="center"/>
        <w:rPr>
          <w:rFonts w:hint="eastAsia" w:ascii="方正小标宋简体" w:hAnsi="方正小标宋简体" w:eastAsia="方正小标宋简体" w:cs="方正小标宋简体"/>
          <w:sz w:val="24"/>
          <w:highlight w:val="none"/>
        </w:rPr>
      </w:pPr>
      <w:r>
        <w:rPr>
          <w:rFonts w:hint="eastAsia" w:ascii="方正小标宋简体" w:hAnsi="方正小标宋简体" w:eastAsia="方正小标宋简体" w:cs="方正小标宋简体"/>
          <w:sz w:val="36"/>
          <w:szCs w:val="36"/>
          <w:highlight w:val="none"/>
        </w:rPr>
        <w:t>202</w:t>
      </w:r>
      <w:r>
        <w:rPr>
          <w:rFonts w:hint="eastAsia" w:ascii="方正小标宋简体" w:hAnsi="方正小标宋简体" w:eastAsia="方正小标宋简体" w:cs="方正小标宋简体"/>
          <w:sz w:val="36"/>
          <w:szCs w:val="36"/>
          <w:highlight w:val="none"/>
          <w:lang w:val="en-US" w:eastAsia="zh-CN"/>
        </w:rPr>
        <w:t>4</w:t>
      </w:r>
      <w:r>
        <w:rPr>
          <w:rFonts w:hint="eastAsia" w:ascii="方正小标宋简体" w:hAnsi="方正小标宋简体" w:eastAsia="方正小标宋简体" w:cs="方正小标宋简体"/>
          <w:sz w:val="36"/>
          <w:szCs w:val="36"/>
          <w:highlight w:val="none"/>
        </w:rPr>
        <w:t>年度部门整体支出绩效评价基础数据表</w:t>
      </w:r>
    </w:p>
    <w:tbl>
      <w:tblPr>
        <w:tblStyle w:val="9"/>
        <w:tblW w:w="9673" w:type="dxa"/>
        <w:jc w:val="center"/>
        <w:tblLayout w:type="fixed"/>
        <w:tblCellMar>
          <w:top w:w="0" w:type="dxa"/>
          <w:left w:w="108" w:type="dxa"/>
          <w:bottom w:w="0" w:type="dxa"/>
          <w:right w:w="108" w:type="dxa"/>
        </w:tblCellMar>
      </w:tblPr>
      <w:tblGrid>
        <w:gridCol w:w="3354"/>
        <w:gridCol w:w="1189"/>
        <w:gridCol w:w="849"/>
        <w:gridCol w:w="1129"/>
        <w:gridCol w:w="1111"/>
        <w:gridCol w:w="1081"/>
        <w:gridCol w:w="960"/>
      </w:tblGrid>
      <w:tr w14:paraId="3AA55408">
        <w:tblPrEx>
          <w:tblCellMar>
            <w:top w:w="0" w:type="dxa"/>
            <w:left w:w="108" w:type="dxa"/>
            <w:bottom w:w="0" w:type="dxa"/>
            <w:right w:w="108" w:type="dxa"/>
          </w:tblCellMar>
        </w:tblPrEx>
        <w:trPr>
          <w:trHeight w:val="0" w:hRule="atLeast"/>
          <w:jc w:val="center"/>
        </w:trPr>
        <w:tc>
          <w:tcPr>
            <w:tcW w:w="3354" w:type="dxa"/>
            <w:vMerge w:val="restart"/>
            <w:tcBorders>
              <w:top w:val="single" w:color="auto" w:sz="4" w:space="0"/>
              <w:left w:val="single" w:color="auto" w:sz="4" w:space="0"/>
              <w:bottom w:val="single" w:color="auto" w:sz="4" w:space="0"/>
              <w:right w:val="single" w:color="auto" w:sz="4" w:space="0"/>
            </w:tcBorders>
            <w:noWrap w:val="0"/>
            <w:vAlign w:val="center"/>
          </w:tcPr>
          <w:p w14:paraId="6DC0B920">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财政供养人员情况（人）</w:t>
            </w:r>
          </w:p>
        </w:tc>
        <w:tc>
          <w:tcPr>
            <w:tcW w:w="2038" w:type="dxa"/>
            <w:gridSpan w:val="2"/>
            <w:tcBorders>
              <w:top w:val="single" w:color="auto" w:sz="4" w:space="0"/>
              <w:left w:val="nil"/>
              <w:bottom w:val="single" w:color="auto" w:sz="4" w:space="0"/>
              <w:right w:val="single" w:color="auto" w:sz="4" w:space="0"/>
            </w:tcBorders>
            <w:noWrap w:val="0"/>
            <w:vAlign w:val="center"/>
          </w:tcPr>
          <w:p w14:paraId="2EE41F36">
            <w:pPr>
              <w:widowControl/>
              <w:spacing w:line="360" w:lineRule="exact"/>
              <w:jc w:val="center"/>
              <w:rPr>
                <w:rFonts w:hint="eastAsia" w:ascii="仿宋_GB2312" w:hAnsi="仿宋_GB2312" w:eastAsia="仿宋_GB2312" w:cs="仿宋_GB2312"/>
                <w:b/>
                <w:bCs/>
                <w:sz w:val="20"/>
                <w:szCs w:val="20"/>
                <w:highlight w:val="none"/>
              </w:rPr>
            </w:pPr>
            <w:r>
              <w:rPr>
                <w:rFonts w:hint="eastAsia" w:ascii="仿宋_GB2312" w:hAnsi="仿宋_GB2312" w:eastAsia="仿宋_GB2312" w:cs="仿宋_GB2312"/>
                <w:b/>
                <w:bCs/>
                <w:sz w:val="20"/>
                <w:szCs w:val="20"/>
                <w:highlight w:val="none"/>
              </w:rPr>
              <w:t>编制数</w:t>
            </w:r>
          </w:p>
        </w:tc>
        <w:tc>
          <w:tcPr>
            <w:tcW w:w="2240" w:type="dxa"/>
            <w:gridSpan w:val="2"/>
            <w:tcBorders>
              <w:top w:val="single" w:color="auto" w:sz="4" w:space="0"/>
              <w:left w:val="nil"/>
              <w:bottom w:val="single" w:color="auto" w:sz="4" w:space="0"/>
              <w:right w:val="single" w:color="auto" w:sz="4" w:space="0"/>
            </w:tcBorders>
            <w:noWrap w:val="0"/>
            <w:vAlign w:val="center"/>
          </w:tcPr>
          <w:p w14:paraId="6DAF2727">
            <w:pPr>
              <w:widowControl/>
              <w:spacing w:line="360" w:lineRule="exact"/>
              <w:jc w:val="center"/>
              <w:rPr>
                <w:rFonts w:hint="eastAsia" w:ascii="仿宋_GB2312" w:hAnsi="仿宋_GB2312" w:eastAsia="仿宋_GB2312" w:cs="仿宋_GB2312"/>
                <w:b/>
                <w:bCs/>
                <w:sz w:val="20"/>
                <w:szCs w:val="20"/>
                <w:highlight w:val="none"/>
              </w:rPr>
            </w:pPr>
            <w:r>
              <w:rPr>
                <w:rFonts w:hint="eastAsia" w:ascii="仿宋_GB2312" w:hAnsi="仿宋_GB2312" w:eastAsia="仿宋_GB2312" w:cs="仿宋_GB2312"/>
                <w:b/>
                <w:bCs/>
                <w:sz w:val="20"/>
                <w:szCs w:val="20"/>
                <w:highlight w:val="none"/>
              </w:rPr>
              <w:t>202</w:t>
            </w:r>
            <w:r>
              <w:rPr>
                <w:rFonts w:hint="eastAsia" w:ascii="仿宋_GB2312" w:hAnsi="仿宋_GB2312" w:eastAsia="仿宋_GB2312" w:cs="仿宋_GB2312"/>
                <w:b/>
                <w:bCs/>
                <w:sz w:val="20"/>
                <w:szCs w:val="20"/>
                <w:highlight w:val="none"/>
                <w:lang w:val="en-US" w:eastAsia="zh-CN"/>
              </w:rPr>
              <w:t>4</w:t>
            </w:r>
            <w:r>
              <w:rPr>
                <w:rFonts w:hint="eastAsia" w:ascii="仿宋_GB2312" w:hAnsi="仿宋_GB2312" w:eastAsia="仿宋_GB2312" w:cs="仿宋_GB2312"/>
                <w:b/>
                <w:bCs/>
                <w:sz w:val="20"/>
                <w:szCs w:val="20"/>
                <w:highlight w:val="none"/>
              </w:rPr>
              <w:t>年实际在职人数</w:t>
            </w:r>
          </w:p>
        </w:tc>
        <w:tc>
          <w:tcPr>
            <w:tcW w:w="2041" w:type="dxa"/>
            <w:gridSpan w:val="2"/>
            <w:tcBorders>
              <w:top w:val="single" w:color="auto" w:sz="4" w:space="0"/>
              <w:left w:val="nil"/>
              <w:bottom w:val="single" w:color="auto" w:sz="4" w:space="0"/>
              <w:right w:val="single" w:color="auto" w:sz="4" w:space="0"/>
            </w:tcBorders>
            <w:noWrap w:val="0"/>
            <w:vAlign w:val="center"/>
          </w:tcPr>
          <w:p w14:paraId="23070E9B">
            <w:pPr>
              <w:widowControl/>
              <w:spacing w:line="360" w:lineRule="exact"/>
              <w:jc w:val="center"/>
              <w:rPr>
                <w:rFonts w:hint="eastAsia" w:ascii="仿宋_GB2312" w:hAnsi="仿宋_GB2312" w:eastAsia="仿宋_GB2312" w:cs="仿宋_GB2312"/>
                <w:b/>
                <w:bCs/>
                <w:sz w:val="20"/>
                <w:szCs w:val="20"/>
                <w:highlight w:val="none"/>
              </w:rPr>
            </w:pPr>
            <w:r>
              <w:rPr>
                <w:rFonts w:hint="eastAsia" w:ascii="仿宋_GB2312" w:hAnsi="仿宋_GB2312" w:eastAsia="仿宋_GB2312" w:cs="仿宋_GB2312"/>
                <w:b/>
                <w:bCs/>
                <w:sz w:val="20"/>
                <w:szCs w:val="20"/>
                <w:highlight w:val="none"/>
              </w:rPr>
              <w:t>控制率</w:t>
            </w:r>
          </w:p>
        </w:tc>
      </w:tr>
      <w:tr w14:paraId="50B9E3B0">
        <w:tblPrEx>
          <w:tblCellMar>
            <w:top w:w="0" w:type="dxa"/>
            <w:left w:w="108" w:type="dxa"/>
            <w:bottom w:w="0" w:type="dxa"/>
            <w:right w:w="108" w:type="dxa"/>
          </w:tblCellMar>
        </w:tblPrEx>
        <w:trPr>
          <w:trHeight w:val="246" w:hRule="atLeast"/>
          <w:jc w:val="center"/>
        </w:trPr>
        <w:tc>
          <w:tcPr>
            <w:tcW w:w="3354" w:type="dxa"/>
            <w:vMerge w:val="continue"/>
            <w:tcBorders>
              <w:top w:val="single" w:color="auto" w:sz="4" w:space="0"/>
              <w:left w:val="single" w:color="auto" w:sz="4" w:space="0"/>
              <w:bottom w:val="single" w:color="auto" w:sz="4" w:space="0"/>
              <w:right w:val="single" w:color="auto" w:sz="4" w:space="0"/>
            </w:tcBorders>
            <w:noWrap w:val="0"/>
            <w:vAlign w:val="center"/>
          </w:tcPr>
          <w:p w14:paraId="2A04A3E8">
            <w:pPr>
              <w:widowControl/>
              <w:spacing w:line="360" w:lineRule="exact"/>
              <w:jc w:val="left"/>
              <w:rPr>
                <w:rFonts w:hint="eastAsia" w:ascii="仿宋_GB2312" w:hAnsi="仿宋_GB2312" w:eastAsia="仿宋_GB2312" w:cs="仿宋_GB2312"/>
                <w:sz w:val="20"/>
                <w:szCs w:val="20"/>
                <w:highlight w:val="none"/>
              </w:rPr>
            </w:pPr>
          </w:p>
        </w:tc>
        <w:tc>
          <w:tcPr>
            <w:tcW w:w="2038" w:type="dxa"/>
            <w:gridSpan w:val="2"/>
            <w:tcBorders>
              <w:top w:val="single" w:color="auto" w:sz="4" w:space="0"/>
              <w:left w:val="nil"/>
              <w:bottom w:val="single" w:color="auto" w:sz="4" w:space="0"/>
              <w:right w:val="single" w:color="auto" w:sz="4" w:space="0"/>
            </w:tcBorders>
            <w:noWrap w:val="0"/>
            <w:vAlign w:val="center"/>
          </w:tcPr>
          <w:p w14:paraId="3656734A">
            <w:pPr>
              <w:widowControl/>
              <w:spacing w:line="360" w:lineRule="exact"/>
              <w:jc w:val="center"/>
              <w:rPr>
                <w:rFonts w:hint="eastAsia" w:ascii="仿宋_GB2312" w:hAnsi="仿宋_GB2312" w:eastAsia="仿宋_GB2312" w:cs="仿宋_GB2312"/>
                <w:sz w:val="20"/>
                <w:szCs w:val="20"/>
                <w:highlight w:val="none"/>
              </w:rPr>
            </w:pPr>
            <w:r>
              <w:rPr>
                <w:rFonts w:hint="default" w:ascii="仿宋_GB2312" w:hAnsi="仿宋_GB2312" w:eastAsia="仿宋_GB2312" w:cs="仿宋_GB2312"/>
                <w:sz w:val="20"/>
                <w:szCs w:val="20"/>
                <w:highlight w:val="none"/>
                <w:lang w:val="en-US"/>
              </w:rPr>
              <w:t>21</w:t>
            </w:r>
            <w:r>
              <w:rPr>
                <w:rFonts w:hint="eastAsia" w:ascii="仿宋_GB2312" w:hAnsi="仿宋_GB2312" w:eastAsia="仿宋_GB2312" w:cs="仿宋_GB2312"/>
                <w:sz w:val="20"/>
                <w:szCs w:val="20"/>
                <w:highlight w:val="none"/>
              </w:rPr>
              <w:t>　</w:t>
            </w:r>
          </w:p>
        </w:tc>
        <w:tc>
          <w:tcPr>
            <w:tcW w:w="2240" w:type="dxa"/>
            <w:gridSpan w:val="2"/>
            <w:tcBorders>
              <w:top w:val="single" w:color="auto" w:sz="4" w:space="0"/>
              <w:left w:val="nil"/>
              <w:bottom w:val="single" w:color="auto" w:sz="4" w:space="0"/>
              <w:right w:val="single" w:color="auto" w:sz="4" w:space="0"/>
            </w:tcBorders>
            <w:noWrap w:val="0"/>
            <w:vAlign w:val="center"/>
          </w:tcPr>
          <w:p w14:paraId="573C958A">
            <w:pPr>
              <w:widowControl/>
              <w:spacing w:line="360" w:lineRule="exact"/>
              <w:jc w:val="center"/>
              <w:rPr>
                <w:rFonts w:hint="eastAsia" w:ascii="仿宋_GB2312" w:hAnsi="仿宋_GB2312" w:eastAsia="仿宋_GB2312" w:cs="仿宋_GB2312"/>
                <w:sz w:val="20"/>
                <w:szCs w:val="20"/>
                <w:highlight w:val="none"/>
              </w:rPr>
            </w:pPr>
            <w:r>
              <w:rPr>
                <w:rFonts w:hint="default" w:ascii="仿宋_GB2312" w:hAnsi="仿宋_GB2312" w:eastAsia="仿宋_GB2312" w:cs="仿宋_GB2312"/>
                <w:sz w:val="20"/>
                <w:szCs w:val="20"/>
                <w:highlight w:val="none"/>
                <w:lang w:val="en-US"/>
              </w:rPr>
              <w:t>19</w:t>
            </w:r>
            <w:r>
              <w:rPr>
                <w:rFonts w:hint="eastAsia" w:ascii="仿宋_GB2312" w:hAnsi="仿宋_GB2312" w:eastAsia="仿宋_GB2312" w:cs="仿宋_GB2312"/>
                <w:sz w:val="20"/>
                <w:szCs w:val="20"/>
                <w:highlight w:val="none"/>
              </w:rPr>
              <w:t>　</w:t>
            </w:r>
          </w:p>
        </w:tc>
        <w:tc>
          <w:tcPr>
            <w:tcW w:w="2041" w:type="dxa"/>
            <w:gridSpan w:val="2"/>
            <w:tcBorders>
              <w:top w:val="single" w:color="auto" w:sz="4" w:space="0"/>
              <w:left w:val="nil"/>
              <w:bottom w:val="single" w:color="auto" w:sz="4" w:space="0"/>
              <w:right w:val="single" w:color="auto" w:sz="4" w:space="0"/>
            </w:tcBorders>
            <w:noWrap w:val="0"/>
            <w:vAlign w:val="center"/>
          </w:tcPr>
          <w:p w14:paraId="787D556F">
            <w:pPr>
              <w:widowControl/>
              <w:spacing w:line="360" w:lineRule="exact"/>
              <w:jc w:val="center"/>
              <w:rPr>
                <w:rFonts w:hint="default" w:ascii="仿宋_GB2312" w:hAnsi="仿宋_GB2312" w:eastAsia="仿宋_GB2312" w:cs="仿宋_GB2312"/>
                <w:sz w:val="20"/>
                <w:szCs w:val="20"/>
                <w:highlight w:val="none"/>
                <w:lang w:val="en-US"/>
              </w:rPr>
            </w:pPr>
            <w:r>
              <w:rPr>
                <w:rFonts w:hint="eastAsia" w:ascii="仿宋_GB2312" w:hAnsi="仿宋_GB2312" w:eastAsia="仿宋_GB2312" w:cs="仿宋_GB2312"/>
                <w:sz w:val="20"/>
                <w:szCs w:val="20"/>
                <w:highlight w:val="none"/>
              </w:rPr>
              <w:t>　</w:t>
            </w:r>
            <w:r>
              <w:rPr>
                <w:rFonts w:hint="default" w:ascii="仿宋_GB2312" w:hAnsi="仿宋_GB2312" w:eastAsia="仿宋_GB2312" w:cs="仿宋_GB2312"/>
                <w:sz w:val="20"/>
                <w:szCs w:val="20"/>
                <w:highlight w:val="none"/>
                <w:lang w:val="en-US"/>
              </w:rPr>
              <w:t>90.48%</w:t>
            </w:r>
          </w:p>
        </w:tc>
      </w:tr>
      <w:tr w14:paraId="4C50BCF6">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14:paraId="4C75AB42">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经费控制情况（万元）</w:t>
            </w:r>
          </w:p>
        </w:tc>
        <w:tc>
          <w:tcPr>
            <w:tcW w:w="2038" w:type="dxa"/>
            <w:gridSpan w:val="2"/>
            <w:tcBorders>
              <w:top w:val="single" w:color="auto" w:sz="4" w:space="0"/>
              <w:left w:val="nil"/>
              <w:bottom w:val="single" w:color="auto" w:sz="4" w:space="0"/>
              <w:right w:val="single" w:color="000000" w:sz="4" w:space="0"/>
            </w:tcBorders>
            <w:noWrap w:val="0"/>
            <w:vAlign w:val="center"/>
          </w:tcPr>
          <w:p w14:paraId="70E1A582">
            <w:pPr>
              <w:widowControl/>
              <w:spacing w:line="360" w:lineRule="exact"/>
              <w:jc w:val="center"/>
              <w:rPr>
                <w:rFonts w:hint="eastAsia" w:ascii="仿宋_GB2312" w:hAnsi="仿宋_GB2312" w:eastAsia="仿宋_GB2312" w:cs="仿宋_GB2312"/>
                <w:b/>
                <w:bCs/>
                <w:sz w:val="20"/>
                <w:szCs w:val="20"/>
                <w:highlight w:val="none"/>
              </w:rPr>
            </w:pPr>
            <w:r>
              <w:rPr>
                <w:rFonts w:hint="eastAsia" w:ascii="仿宋_GB2312" w:hAnsi="仿宋_GB2312" w:eastAsia="仿宋_GB2312" w:cs="仿宋_GB2312"/>
                <w:b/>
                <w:bCs/>
                <w:sz w:val="20"/>
                <w:szCs w:val="20"/>
                <w:highlight w:val="none"/>
              </w:rPr>
              <w:t>202</w:t>
            </w:r>
            <w:r>
              <w:rPr>
                <w:rFonts w:hint="eastAsia" w:ascii="仿宋_GB2312" w:hAnsi="仿宋_GB2312" w:eastAsia="仿宋_GB2312" w:cs="仿宋_GB2312"/>
                <w:b/>
                <w:bCs/>
                <w:sz w:val="20"/>
                <w:szCs w:val="20"/>
                <w:highlight w:val="none"/>
                <w:lang w:val="en-US" w:eastAsia="zh-CN"/>
              </w:rPr>
              <w:t>3</w:t>
            </w:r>
            <w:r>
              <w:rPr>
                <w:rFonts w:hint="eastAsia" w:ascii="仿宋_GB2312" w:hAnsi="仿宋_GB2312" w:eastAsia="仿宋_GB2312" w:cs="仿宋_GB2312"/>
                <w:b/>
                <w:bCs/>
                <w:sz w:val="20"/>
                <w:szCs w:val="20"/>
                <w:highlight w:val="none"/>
              </w:rPr>
              <w:t>年决算数</w:t>
            </w:r>
          </w:p>
        </w:tc>
        <w:tc>
          <w:tcPr>
            <w:tcW w:w="2240" w:type="dxa"/>
            <w:gridSpan w:val="2"/>
            <w:tcBorders>
              <w:top w:val="single" w:color="auto" w:sz="4" w:space="0"/>
              <w:left w:val="nil"/>
              <w:bottom w:val="single" w:color="auto" w:sz="4" w:space="0"/>
              <w:right w:val="single" w:color="000000" w:sz="4" w:space="0"/>
            </w:tcBorders>
            <w:noWrap w:val="0"/>
            <w:vAlign w:val="center"/>
          </w:tcPr>
          <w:p w14:paraId="5140EFED">
            <w:pPr>
              <w:widowControl/>
              <w:spacing w:line="360" w:lineRule="exact"/>
              <w:jc w:val="center"/>
              <w:rPr>
                <w:rFonts w:hint="eastAsia" w:ascii="仿宋_GB2312" w:hAnsi="仿宋_GB2312" w:eastAsia="仿宋_GB2312" w:cs="仿宋_GB2312"/>
                <w:b/>
                <w:bCs/>
                <w:sz w:val="20"/>
                <w:szCs w:val="20"/>
                <w:highlight w:val="none"/>
              </w:rPr>
            </w:pPr>
            <w:r>
              <w:rPr>
                <w:rFonts w:hint="eastAsia" w:ascii="仿宋_GB2312" w:hAnsi="仿宋_GB2312" w:eastAsia="仿宋_GB2312" w:cs="仿宋_GB2312"/>
                <w:b/>
                <w:bCs/>
                <w:sz w:val="20"/>
                <w:szCs w:val="20"/>
                <w:highlight w:val="none"/>
              </w:rPr>
              <w:t>202</w:t>
            </w:r>
            <w:r>
              <w:rPr>
                <w:rFonts w:hint="eastAsia" w:ascii="仿宋_GB2312" w:hAnsi="仿宋_GB2312" w:eastAsia="仿宋_GB2312" w:cs="仿宋_GB2312"/>
                <w:b/>
                <w:bCs/>
                <w:sz w:val="20"/>
                <w:szCs w:val="20"/>
                <w:highlight w:val="none"/>
                <w:lang w:val="en-US" w:eastAsia="zh-CN"/>
              </w:rPr>
              <w:t>4</w:t>
            </w:r>
            <w:r>
              <w:rPr>
                <w:rFonts w:hint="eastAsia" w:ascii="仿宋_GB2312" w:hAnsi="仿宋_GB2312" w:eastAsia="仿宋_GB2312" w:cs="仿宋_GB2312"/>
                <w:b/>
                <w:bCs/>
                <w:sz w:val="20"/>
                <w:szCs w:val="20"/>
                <w:highlight w:val="none"/>
              </w:rPr>
              <w:t>年预算数</w:t>
            </w:r>
          </w:p>
        </w:tc>
        <w:tc>
          <w:tcPr>
            <w:tcW w:w="2041" w:type="dxa"/>
            <w:gridSpan w:val="2"/>
            <w:tcBorders>
              <w:top w:val="single" w:color="auto" w:sz="4" w:space="0"/>
              <w:left w:val="nil"/>
              <w:bottom w:val="single" w:color="auto" w:sz="4" w:space="0"/>
              <w:right w:val="single" w:color="000000" w:sz="4" w:space="0"/>
            </w:tcBorders>
            <w:noWrap w:val="0"/>
            <w:vAlign w:val="center"/>
          </w:tcPr>
          <w:p w14:paraId="4175DE37">
            <w:pPr>
              <w:widowControl/>
              <w:spacing w:line="360" w:lineRule="exact"/>
              <w:jc w:val="center"/>
              <w:rPr>
                <w:rFonts w:hint="eastAsia" w:ascii="仿宋_GB2312" w:hAnsi="仿宋_GB2312" w:eastAsia="仿宋_GB2312" w:cs="仿宋_GB2312"/>
                <w:b/>
                <w:bCs/>
                <w:sz w:val="20"/>
                <w:szCs w:val="20"/>
                <w:highlight w:val="none"/>
              </w:rPr>
            </w:pPr>
            <w:r>
              <w:rPr>
                <w:rFonts w:hint="eastAsia" w:ascii="仿宋_GB2312" w:hAnsi="仿宋_GB2312" w:eastAsia="仿宋_GB2312" w:cs="仿宋_GB2312"/>
                <w:b/>
                <w:bCs/>
                <w:sz w:val="20"/>
                <w:szCs w:val="20"/>
                <w:highlight w:val="none"/>
              </w:rPr>
              <w:t>202</w:t>
            </w:r>
            <w:r>
              <w:rPr>
                <w:rFonts w:hint="eastAsia" w:ascii="仿宋_GB2312" w:hAnsi="仿宋_GB2312" w:eastAsia="仿宋_GB2312" w:cs="仿宋_GB2312"/>
                <w:b/>
                <w:bCs/>
                <w:sz w:val="20"/>
                <w:szCs w:val="20"/>
                <w:highlight w:val="none"/>
                <w:lang w:val="en-US" w:eastAsia="zh-CN"/>
              </w:rPr>
              <w:t>4</w:t>
            </w:r>
            <w:r>
              <w:rPr>
                <w:rFonts w:hint="eastAsia" w:ascii="仿宋_GB2312" w:hAnsi="仿宋_GB2312" w:eastAsia="仿宋_GB2312" w:cs="仿宋_GB2312"/>
                <w:b/>
                <w:bCs/>
                <w:sz w:val="20"/>
                <w:szCs w:val="20"/>
                <w:highlight w:val="none"/>
              </w:rPr>
              <w:t>年决算数</w:t>
            </w:r>
          </w:p>
        </w:tc>
      </w:tr>
      <w:tr w14:paraId="155A4E10">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14:paraId="1923F09E">
            <w:pPr>
              <w:widowControl/>
              <w:spacing w:line="360" w:lineRule="exact"/>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三公经费</w:t>
            </w:r>
          </w:p>
        </w:tc>
        <w:tc>
          <w:tcPr>
            <w:tcW w:w="2038" w:type="dxa"/>
            <w:gridSpan w:val="2"/>
            <w:tcBorders>
              <w:top w:val="single" w:color="auto" w:sz="4" w:space="0"/>
              <w:left w:val="nil"/>
              <w:bottom w:val="single" w:color="auto" w:sz="4" w:space="0"/>
              <w:right w:val="single" w:color="000000" w:sz="4" w:space="0"/>
            </w:tcBorders>
            <w:noWrap w:val="0"/>
            <w:vAlign w:val="center"/>
          </w:tcPr>
          <w:p w14:paraId="7B9A4928">
            <w:pPr>
              <w:widowControl/>
              <w:spacing w:line="360" w:lineRule="exact"/>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0</w:t>
            </w:r>
          </w:p>
        </w:tc>
        <w:tc>
          <w:tcPr>
            <w:tcW w:w="2240" w:type="dxa"/>
            <w:gridSpan w:val="2"/>
            <w:tcBorders>
              <w:top w:val="single" w:color="auto" w:sz="4" w:space="0"/>
              <w:left w:val="nil"/>
              <w:bottom w:val="single" w:color="auto" w:sz="4" w:space="0"/>
              <w:right w:val="single" w:color="000000" w:sz="4" w:space="0"/>
            </w:tcBorders>
            <w:noWrap w:val="0"/>
            <w:vAlign w:val="center"/>
          </w:tcPr>
          <w:p w14:paraId="7EC6900A">
            <w:pPr>
              <w:widowControl/>
              <w:spacing w:line="360" w:lineRule="exact"/>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0</w:t>
            </w:r>
          </w:p>
        </w:tc>
        <w:tc>
          <w:tcPr>
            <w:tcW w:w="2041" w:type="dxa"/>
            <w:gridSpan w:val="2"/>
            <w:tcBorders>
              <w:top w:val="single" w:color="auto" w:sz="4" w:space="0"/>
              <w:left w:val="nil"/>
              <w:bottom w:val="single" w:color="auto" w:sz="4" w:space="0"/>
              <w:right w:val="single" w:color="000000" w:sz="4" w:space="0"/>
            </w:tcBorders>
            <w:noWrap w:val="0"/>
            <w:vAlign w:val="center"/>
          </w:tcPr>
          <w:p w14:paraId="04C5D46B">
            <w:pPr>
              <w:widowControl/>
              <w:spacing w:line="360" w:lineRule="exact"/>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0</w:t>
            </w:r>
          </w:p>
        </w:tc>
      </w:tr>
      <w:tr w14:paraId="165F436D">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14:paraId="2E9E212A">
            <w:pPr>
              <w:widowControl/>
              <w:spacing w:line="360" w:lineRule="exact"/>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xml:space="preserve">   1、公务用车购置和维护经费</w:t>
            </w:r>
          </w:p>
        </w:tc>
        <w:tc>
          <w:tcPr>
            <w:tcW w:w="2038" w:type="dxa"/>
            <w:gridSpan w:val="2"/>
            <w:tcBorders>
              <w:top w:val="single" w:color="auto" w:sz="4" w:space="0"/>
              <w:left w:val="nil"/>
              <w:bottom w:val="single" w:color="auto" w:sz="4" w:space="0"/>
              <w:right w:val="single" w:color="000000" w:sz="4" w:space="0"/>
            </w:tcBorders>
            <w:noWrap w:val="0"/>
            <w:vAlign w:val="center"/>
          </w:tcPr>
          <w:p w14:paraId="7686CC11">
            <w:pPr>
              <w:widowControl/>
              <w:spacing w:line="360" w:lineRule="exact"/>
              <w:jc w:val="center"/>
              <w:rPr>
                <w:rFonts w:hint="default" w:ascii="仿宋_GB2312" w:hAnsi="仿宋_GB2312" w:eastAsia="仿宋_GB2312" w:cs="仿宋_GB2312"/>
                <w:kern w:val="2"/>
                <w:sz w:val="20"/>
                <w:szCs w:val="20"/>
                <w:highlight w:val="none"/>
                <w:lang w:val="en-US" w:eastAsia="zh-CN" w:bidi="ar-SA"/>
              </w:rPr>
            </w:pPr>
            <w:r>
              <w:rPr>
                <w:rFonts w:hint="eastAsia" w:ascii="仿宋_GB2312" w:hAnsi="仿宋_GB2312" w:eastAsia="仿宋_GB2312" w:cs="仿宋_GB2312"/>
                <w:sz w:val="20"/>
                <w:szCs w:val="20"/>
                <w:highlight w:val="none"/>
                <w:lang w:val="en-US" w:eastAsia="zh-CN"/>
              </w:rPr>
              <w:t>0</w:t>
            </w:r>
          </w:p>
        </w:tc>
        <w:tc>
          <w:tcPr>
            <w:tcW w:w="2240" w:type="dxa"/>
            <w:gridSpan w:val="2"/>
            <w:tcBorders>
              <w:top w:val="single" w:color="auto" w:sz="4" w:space="0"/>
              <w:left w:val="nil"/>
              <w:bottom w:val="single" w:color="auto" w:sz="4" w:space="0"/>
              <w:right w:val="single" w:color="000000" w:sz="4" w:space="0"/>
            </w:tcBorders>
            <w:noWrap w:val="0"/>
            <w:vAlign w:val="center"/>
          </w:tcPr>
          <w:p w14:paraId="4EED64EB">
            <w:pPr>
              <w:widowControl/>
              <w:spacing w:line="360" w:lineRule="exact"/>
              <w:jc w:val="center"/>
              <w:rPr>
                <w:rFonts w:hint="default" w:ascii="仿宋_GB2312" w:hAnsi="仿宋_GB2312" w:eastAsia="仿宋_GB2312" w:cs="仿宋_GB2312"/>
                <w:kern w:val="2"/>
                <w:sz w:val="20"/>
                <w:szCs w:val="20"/>
                <w:highlight w:val="none"/>
                <w:lang w:val="en-US" w:eastAsia="zh-CN" w:bidi="ar-SA"/>
              </w:rPr>
            </w:pPr>
            <w:r>
              <w:rPr>
                <w:rFonts w:hint="eastAsia" w:ascii="仿宋_GB2312" w:hAnsi="仿宋_GB2312" w:eastAsia="仿宋_GB2312" w:cs="仿宋_GB2312"/>
                <w:sz w:val="20"/>
                <w:szCs w:val="20"/>
                <w:highlight w:val="none"/>
                <w:lang w:val="en-US" w:eastAsia="zh-CN"/>
              </w:rPr>
              <w:t>0</w:t>
            </w:r>
          </w:p>
        </w:tc>
        <w:tc>
          <w:tcPr>
            <w:tcW w:w="2041" w:type="dxa"/>
            <w:gridSpan w:val="2"/>
            <w:tcBorders>
              <w:top w:val="single" w:color="auto" w:sz="4" w:space="0"/>
              <w:left w:val="nil"/>
              <w:bottom w:val="single" w:color="auto" w:sz="4" w:space="0"/>
              <w:right w:val="single" w:color="000000" w:sz="4" w:space="0"/>
            </w:tcBorders>
            <w:noWrap w:val="0"/>
            <w:vAlign w:val="center"/>
          </w:tcPr>
          <w:p w14:paraId="4B8BD841">
            <w:pPr>
              <w:widowControl/>
              <w:spacing w:line="360" w:lineRule="exact"/>
              <w:jc w:val="center"/>
              <w:rPr>
                <w:rFonts w:hint="default" w:ascii="仿宋_GB2312" w:hAnsi="仿宋_GB2312" w:eastAsia="仿宋_GB2312" w:cs="仿宋_GB2312"/>
                <w:kern w:val="2"/>
                <w:sz w:val="20"/>
                <w:szCs w:val="20"/>
                <w:highlight w:val="none"/>
                <w:lang w:val="en-US" w:eastAsia="zh-CN" w:bidi="ar-SA"/>
              </w:rPr>
            </w:pPr>
            <w:r>
              <w:rPr>
                <w:rFonts w:hint="eastAsia" w:ascii="仿宋_GB2312" w:hAnsi="仿宋_GB2312" w:eastAsia="仿宋_GB2312" w:cs="仿宋_GB2312"/>
                <w:sz w:val="20"/>
                <w:szCs w:val="20"/>
                <w:highlight w:val="none"/>
                <w:lang w:val="en-US" w:eastAsia="zh-CN"/>
              </w:rPr>
              <w:t>0</w:t>
            </w:r>
          </w:p>
        </w:tc>
      </w:tr>
      <w:tr w14:paraId="568475CD">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14:paraId="2548EE72">
            <w:pPr>
              <w:widowControl/>
              <w:spacing w:line="360" w:lineRule="exact"/>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xml:space="preserve">      其中：公车购置</w:t>
            </w:r>
          </w:p>
        </w:tc>
        <w:tc>
          <w:tcPr>
            <w:tcW w:w="2038" w:type="dxa"/>
            <w:gridSpan w:val="2"/>
            <w:tcBorders>
              <w:top w:val="single" w:color="auto" w:sz="4" w:space="0"/>
              <w:left w:val="nil"/>
              <w:bottom w:val="single" w:color="auto" w:sz="4" w:space="0"/>
              <w:right w:val="single" w:color="000000" w:sz="4" w:space="0"/>
            </w:tcBorders>
            <w:noWrap w:val="0"/>
            <w:vAlign w:val="center"/>
          </w:tcPr>
          <w:p w14:paraId="4053CB98">
            <w:pPr>
              <w:widowControl/>
              <w:spacing w:line="360" w:lineRule="exact"/>
              <w:jc w:val="center"/>
              <w:rPr>
                <w:rFonts w:hint="default" w:ascii="仿宋_GB2312" w:hAnsi="仿宋_GB2312" w:eastAsia="仿宋_GB2312" w:cs="仿宋_GB2312"/>
                <w:kern w:val="2"/>
                <w:sz w:val="20"/>
                <w:szCs w:val="20"/>
                <w:highlight w:val="none"/>
                <w:lang w:val="en-US" w:eastAsia="zh-CN" w:bidi="ar-SA"/>
              </w:rPr>
            </w:pPr>
            <w:r>
              <w:rPr>
                <w:rFonts w:hint="eastAsia" w:ascii="仿宋_GB2312" w:hAnsi="仿宋_GB2312" w:eastAsia="仿宋_GB2312" w:cs="仿宋_GB2312"/>
                <w:sz w:val="20"/>
                <w:szCs w:val="20"/>
                <w:highlight w:val="none"/>
                <w:lang w:val="en-US" w:eastAsia="zh-CN"/>
              </w:rPr>
              <w:t>0</w:t>
            </w:r>
          </w:p>
        </w:tc>
        <w:tc>
          <w:tcPr>
            <w:tcW w:w="2240" w:type="dxa"/>
            <w:gridSpan w:val="2"/>
            <w:tcBorders>
              <w:top w:val="single" w:color="auto" w:sz="4" w:space="0"/>
              <w:left w:val="nil"/>
              <w:bottom w:val="single" w:color="auto" w:sz="4" w:space="0"/>
              <w:right w:val="single" w:color="000000" w:sz="4" w:space="0"/>
            </w:tcBorders>
            <w:noWrap w:val="0"/>
            <w:vAlign w:val="center"/>
          </w:tcPr>
          <w:p w14:paraId="2B54F3C7">
            <w:pPr>
              <w:widowControl/>
              <w:spacing w:line="360" w:lineRule="exact"/>
              <w:jc w:val="center"/>
              <w:rPr>
                <w:rFonts w:hint="default" w:ascii="仿宋_GB2312" w:hAnsi="仿宋_GB2312" w:eastAsia="仿宋_GB2312" w:cs="仿宋_GB2312"/>
                <w:kern w:val="2"/>
                <w:sz w:val="20"/>
                <w:szCs w:val="20"/>
                <w:highlight w:val="none"/>
                <w:lang w:val="en-US" w:eastAsia="zh-CN" w:bidi="ar-SA"/>
              </w:rPr>
            </w:pPr>
            <w:r>
              <w:rPr>
                <w:rFonts w:hint="eastAsia" w:ascii="仿宋_GB2312" w:hAnsi="仿宋_GB2312" w:eastAsia="仿宋_GB2312" w:cs="仿宋_GB2312"/>
                <w:sz w:val="20"/>
                <w:szCs w:val="20"/>
                <w:highlight w:val="none"/>
                <w:lang w:val="en-US" w:eastAsia="zh-CN"/>
              </w:rPr>
              <w:t>0</w:t>
            </w:r>
          </w:p>
        </w:tc>
        <w:tc>
          <w:tcPr>
            <w:tcW w:w="2041" w:type="dxa"/>
            <w:gridSpan w:val="2"/>
            <w:tcBorders>
              <w:top w:val="single" w:color="auto" w:sz="4" w:space="0"/>
              <w:left w:val="nil"/>
              <w:bottom w:val="single" w:color="auto" w:sz="4" w:space="0"/>
              <w:right w:val="single" w:color="000000" w:sz="4" w:space="0"/>
            </w:tcBorders>
            <w:noWrap w:val="0"/>
            <w:vAlign w:val="center"/>
          </w:tcPr>
          <w:p w14:paraId="6C87D248">
            <w:pPr>
              <w:widowControl/>
              <w:spacing w:line="360" w:lineRule="exact"/>
              <w:jc w:val="center"/>
              <w:rPr>
                <w:rFonts w:hint="default" w:ascii="仿宋_GB2312" w:hAnsi="仿宋_GB2312" w:eastAsia="仿宋_GB2312" w:cs="仿宋_GB2312"/>
                <w:kern w:val="2"/>
                <w:sz w:val="20"/>
                <w:szCs w:val="20"/>
                <w:highlight w:val="none"/>
                <w:lang w:val="en-US" w:eastAsia="zh-CN" w:bidi="ar-SA"/>
              </w:rPr>
            </w:pPr>
            <w:r>
              <w:rPr>
                <w:rFonts w:hint="eastAsia" w:ascii="仿宋_GB2312" w:hAnsi="仿宋_GB2312" w:eastAsia="仿宋_GB2312" w:cs="仿宋_GB2312"/>
                <w:sz w:val="20"/>
                <w:szCs w:val="20"/>
                <w:highlight w:val="none"/>
                <w:lang w:val="en-US" w:eastAsia="zh-CN"/>
              </w:rPr>
              <w:t>0</w:t>
            </w:r>
          </w:p>
        </w:tc>
      </w:tr>
      <w:tr w14:paraId="3699B23F">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14:paraId="090CF5D5">
            <w:pPr>
              <w:widowControl/>
              <w:spacing w:line="360" w:lineRule="exact"/>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xml:space="preserve">            公车运行维护</w:t>
            </w:r>
          </w:p>
        </w:tc>
        <w:tc>
          <w:tcPr>
            <w:tcW w:w="2038" w:type="dxa"/>
            <w:gridSpan w:val="2"/>
            <w:tcBorders>
              <w:top w:val="single" w:color="auto" w:sz="4" w:space="0"/>
              <w:left w:val="nil"/>
              <w:bottom w:val="single" w:color="auto" w:sz="4" w:space="0"/>
              <w:right w:val="single" w:color="000000" w:sz="4" w:space="0"/>
            </w:tcBorders>
            <w:noWrap w:val="0"/>
            <w:vAlign w:val="center"/>
          </w:tcPr>
          <w:p w14:paraId="29E5B210">
            <w:pPr>
              <w:widowControl/>
              <w:spacing w:line="360" w:lineRule="exact"/>
              <w:jc w:val="center"/>
              <w:rPr>
                <w:rFonts w:hint="default" w:ascii="仿宋_GB2312" w:hAnsi="仿宋_GB2312" w:eastAsia="仿宋_GB2312" w:cs="仿宋_GB2312"/>
                <w:kern w:val="2"/>
                <w:sz w:val="20"/>
                <w:szCs w:val="20"/>
                <w:highlight w:val="none"/>
                <w:lang w:val="en-US" w:eastAsia="zh-CN" w:bidi="ar-SA"/>
              </w:rPr>
            </w:pPr>
            <w:r>
              <w:rPr>
                <w:rFonts w:hint="eastAsia" w:ascii="仿宋_GB2312" w:hAnsi="仿宋_GB2312" w:eastAsia="仿宋_GB2312" w:cs="仿宋_GB2312"/>
                <w:sz w:val="20"/>
                <w:szCs w:val="20"/>
                <w:highlight w:val="none"/>
                <w:lang w:val="en-US" w:eastAsia="zh-CN"/>
              </w:rPr>
              <w:t>0</w:t>
            </w:r>
          </w:p>
        </w:tc>
        <w:tc>
          <w:tcPr>
            <w:tcW w:w="2240" w:type="dxa"/>
            <w:gridSpan w:val="2"/>
            <w:tcBorders>
              <w:top w:val="single" w:color="auto" w:sz="4" w:space="0"/>
              <w:left w:val="nil"/>
              <w:bottom w:val="single" w:color="auto" w:sz="4" w:space="0"/>
              <w:right w:val="single" w:color="000000" w:sz="4" w:space="0"/>
            </w:tcBorders>
            <w:noWrap w:val="0"/>
            <w:vAlign w:val="center"/>
          </w:tcPr>
          <w:p w14:paraId="1AB427A6">
            <w:pPr>
              <w:widowControl/>
              <w:spacing w:line="360" w:lineRule="exact"/>
              <w:jc w:val="center"/>
              <w:rPr>
                <w:rFonts w:hint="default" w:ascii="仿宋_GB2312" w:hAnsi="仿宋_GB2312" w:eastAsia="仿宋_GB2312" w:cs="仿宋_GB2312"/>
                <w:kern w:val="2"/>
                <w:sz w:val="20"/>
                <w:szCs w:val="20"/>
                <w:highlight w:val="none"/>
                <w:lang w:val="en-US" w:eastAsia="zh-CN" w:bidi="ar-SA"/>
              </w:rPr>
            </w:pPr>
            <w:r>
              <w:rPr>
                <w:rFonts w:hint="eastAsia" w:ascii="仿宋_GB2312" w:hAnsi="仿宋_GB2312" w:eastAsia="仿宋_GB2312" w:cs="仿宋_GB2312"/>
                <w:sz w:val="20"/>
                <w:szCs w:val="20"/>
                <w:highlight w:val="none"/>
                <w:lang w:val="en-US" w:eastAsia="zh-CN"/>
              </w:rPr>
              <w:t>0</w:t>
            </w:r>
          </w:p>
        </w:tc>
        <w:tc>
          <w:tcPr>
            <w:tcW w:w="2041" w:type="dxa"/>
            <w:gridSpan w:val="2"/>
            <w:tcBorders>
              <w:top w:val="single" w:color="auto" w:sz="4" w:space="0"/>
              <w:left w:val="nil"/>
              <w:bottom w:val="single" w:color="auto" w:sz="4" w:space="0"/>
              <w:right w:val="single" w:color="000000" w:sz="4" w:space="0"/>
            </w:tcBorders>
            <w:noWrap w:val="0"/>
            <w:vAlign w:val="center"/>
          </w:tcPr>
          <w:p w14:paraId="4CA0515B">
            <w:pPr>
              <w:widowControl/>
              <w:spacing w:line="360" w:lineRule="exact"/>
              <w:jc w:val="center"/>
              <w:rPr>
                <w:rFonts w:hint="default" w:ascii="仿宋_GB2312" w:hAnsi="仿宋_GB2312" w:eastAsia="仿宋_GB2312" w:cs="仿宋_GB2312"/>
                <w:kern w:val="2"/>
                <w:sz w:val="20"/>
                <w:szCs w:val="20"/>
                <w:highlight w:val="none"/>
                <w:lang w:val="en-US" w:eastAsia="zh-CN" w:bidi="ar-SA"/>
              </w:rPr>
            </w:pPr>
            <w:r>
              <w:rPr>
                <w:rFonts w:hint="eastAsia" w:ascii="仿宋_GB2312" w:hAnsi="仿宋_GB2312" w:eastAsia="仿宋_GB2312" w:cs="仿宋_GB2312"/>
                <w:sz w:val="20"/>
                <w:szCs w:val="20"/>
                <w:highlight w:val="none"/>
                <w:lang w:val="en-US" w:eastAsia="zh-CN"/>
              </w:rPr>
              <w:t>0</w:t>
            </w:r>
          </w:p>
        </w:tc>
      </w:tr>
      <w:tr w14:paraId="1035CACD">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14:paraId="62D0B08F">
            <w:pPr>
              <w:widowControl/>
              <w:spacing w:line="360" w:lineRule="exact"/>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xml:space="preserve">   2、出国经费</w:t>
            </w:r>
          </w:p>
        </w:tc>
        <w:tc>
          <w:tcPr>
            <w:tcW w:w="2038" w:type="dxa"/>
            <w:gridSpan w:val="2"/>
            <w:tcBorders>
              <w:top w:val="single" w:color="auto" w:sz="4" w:space="0"/>
              <w:left w:val="nil"/>
              <w:bottom w:val="single" w:color="auto" w:sz="4" w:space="0"/>
              <w:right w:val="single" w:color="000000" w:sz="4" w:space="0"/>
            </w:tcBorders>
            <w:noWrap w:val="0"/>
            <w:vAlign w:val="center"/>
          </w:tcPr>
          <w:p w14:paraId="6608DAC7">
            <w:pPr>
              <w:widowControl/>
              <w:spacing w:line="360" w:lineRule="exact"/>
              <w:jc w:val="center"/>
              <w:rPr>
                <w:rFonts w:hint="default" w:ascii="仿宋_GB2312" w:hAnsi="仿宋_GB2312" w:eastAsia="仿宋_GB2312" w:cs="仿宋_GB2312"/>
                <w:kern w:val="2"/>
                <w:sz w:val="20"/>
                <w:szCs w:val="20"/>
                <w:highlight w:val="none"/>
                <w:lang w:val="en-US" w:eastAsia="zh-CN" w:bidi="ar-SA"/>
              </w:rPr>
            </w:pPr>
            <w:r>
              <w:rPr>
                <w:rFonts w:hint="eastAsia" w:ascii="仿宋_GB2312" w:hAnsi="仿宋_GB2312" w:eastAsia="仿宋_GB2312" w:cs="仿宋_GB2312"/>
                <w:sz w:val="20"/>
                <w:szCs w:val="20"/>
                <w:highlight w:val="none"/>
                <w:lang w:val="en-US" w:eastAsia="zh-CN"/>
              </w:rPr>
              <w:t>0</w:t>
            </w:r>
          </w:p>
        </w:tc>
        <w:tc>
          <w:tcPr>
            <w:tcW w:w="2240" w:type="dxa"/>
            <w:gridSpan w:val="2"/>
            <w:tcBorders>
              <w:top w:val="single" w:color="auto" w:sz="4" w:space="0"/>
              <w:left w:val="nil"/>
              <w:bottom w:val="single" w:color="auto" w:sz="4" w:space="0"/>
              <w:right w:val="single" w:color="000000" w:sz="4" w:space="0"/>
            </w:tcBorders>
            <w:noWrap w:val="0"/>
            <w:vAlign w:val="center"/>
          </w:tcPr>
          <w:p w14:paraId="64462A65">
            <w:pPr>
              <w:widowControl/>
              <w:spacing w:line="360" w:lineRule="exact"/>
              <w:jc w:val="center"/>
              <w:rPr>
                <w:rFonts w:hint="default" w:ascii="仿宋_GB2312" w:hAnsi="仿宋_GB2312" w:eastAsia="仿宋_GB2312" w:cs="仿宋_GB2312"/>
                <w:kern w:val="2"/>
                <w:sz w:val="20"/>
                <w:szCs w:val="20"/>
                <w:highlight w:val="none"/>
                <w:lang w:val="en-US" w:eastAsia="zh-CN" w:bidi="ar-SA"/>
              </w:rPr>
            </w:pPr>
            <w:r>
              <w:rPr>
                <w:rFonts w:hint="eastAsia" w:ascii="仿宋_GB2312" w:hAnsi="仿宋_GB2312" w:eastAsia="仿宋_GB2312" w:cs="仿宋_GB2312"/>
                <w:sz w:val="20"/>
                <w:szCs w:val="20"/>
                <w:highlight w:val="none"/>
                <w:lang w:val="en-US" w:eastAsia="zh-CN"/>
              </w:rPr>
              <w:t>0</w:t>
            </w:r>
          </w:p>
        </w:tc>
        <w:tc>
          <w:tcPr>
            <w:tcW w:w="2041" w:type="dxa"/>
            <w:gridSpan w:val="2"/>
            <w:tcBorders>
              <w:top w:val="single" w:color="auto" w:sz="4" w:space="0"/>
              <w:left w:val="nil"/>
              <w:bottom w:val="single" w:color="auto" w:sz="4" w:space="0"/>
              <w:right w:val="single" w:color="000000" w:sz="4" w:space="0"/>
            </w:tcBorders>
            <w:noWrap w:val="0"/>
            <w:vAlign w:val="center"/>
          </w:tcPr>
          <w:p w14:paraId="6B16383D">
            <w:pPr>
              <w:widowControl/>
              <w:spacing w:line="360" w:lineRule="exact"/>
              <w:jc w:val="center"/>
              <w:rPr>
                <w:rFonts w:hint="default" w:ascii="仿宋_GB2312" w:hAnsi="仿宋_GB2312" w:eastAsia="仿宋_GB2312" w:cs="仿宋_GB2312"/>
                <w:kern w:val="2"/>
                <w:sz w:val="20"/>
                <w:szCs w:val="20"/>
                <w:highlight w:val="none"/>
                <w:lang w:val="en-US" w:eastAsia="zh-CN" w:bidi="ar-SA"/>
              </w:rPr>
            </w:pPr>
            <w:r>
              <w:rPr>
                <w:rFonts w:hint="eastAsia" w:ascii="仿宋_GB2312" w:hAnsi="仿宋_GB2312" w:eastAsia="仿宋_GB2312" w:cs="仿宋_GB2312"/>
                <w:sz w:val="20"/>
                <w:szCs w:val="20"/>
                <w:highlight w:val="none"/>
                <w:lang w:val="en-US" w:eastAsia="zh-CN"/>
              </w:rPr>
              <w:t>0</w:t>
            </w:r>
          </w:p>
        </w:tc>
      </w:tr>
      <w:tr w14:paraId="2B64A265">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14:paraId="66E5B236">
            <w:pPr>
              <w:widowControl/>
              <w:spacing w:line="360" w:lineRule="exact"/>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xml:space="preserve">   3、公务接待</w:t>
            </w:r>
          </w:p>
        </w:tc>
        <w:tc>
          <w:tcPr>
            <w:tcW w:w="2038" w:type="dxa"/>
            <w:gridSpan w:val="2"/>
            <w:tcBorders>
              <w:top w:val="single" w:color="auto" w:sz="4" w:space="0"/>
              <w:left w:val="nil"/>
              <w:bottom w:val="single" w:color="auto" w:sz="4" w:space="0"/>
              <w:right w:val="single" w:color="000000" w:sz="4" w:space="0"/>
            </w:tcBorders>
            <w:noWrap w:val="0"/>
            <w:vAlign w:val="center"/>
          </w:tcPr>
          <w:p w14:paraId="7D3ED3E6">
            <w:pPr>
              <w:widowControl/>
              <w:spacing w:line="360" w:lineRule="exact"/>
              <w:jc w:val="center"/>
              <w:rPr>
                <w:rFonts w:hint="default" w:ascii="仿宋_GB2312" w:hAnsi="仿宋_GB2312" w:eastAsia="仿宋_GB2312" w:cs="仿宋_GB2312"/>
                <w:kern w:val="2"/>
                <w:sz w:val="20"/>
                <w:szCs w:val="20"/>
                <w:highlight w:val="none"/>
                <w:lang w:val="en-US" w:eastAsia="zh-CN" w:bidi="ar-SA"/>
              </w:rPr>
            </w:pPr>
            <w:r>
              <w:rPr>
                <w:rFonts w:hint="eastAsia" w:ascii="仿宋_GB2312" w:hAnsi="仿宋_GB2312" w:eastAsia="仿宋_GB2312" w:cs="仿宋_GB2312"/>
                <w:sz w:val="20"/>
                <w:szCs w:val="20"/>
                <w:highlight w:val="none"/>
                <w:lang w:val="en-US" w:eastAsia="zh-CN"/>
              </w:rPr>
              <w:t>0</w:t>
            </w:r>
          </w:p>
        </w:tc>
        <w:tc>
          <w:tcPr>
            <w:tcW w:w="2240" w:type="dxa"/>
            <w:gridSpan w:val="2"/>
            <w:tcBorders>
              <w:top w:val="single" w:color="auto" w:sz="4" w:space="0"/>
              <w:left w:val="nil"/>
              <w:bottom w:val="single" w:color="auto" w:sz="4" w:space="0"/>
              <w:right w:val="single" w:color="000000" w:sz="4" w:space="0"/>
            </w:tcBorders>
            <w:noWrap w:val="0"/>
            <w:vAlign w:val="center"/>
          </w:tcPr>
          <w:p w14:paraId="3421E7AE">
            <w:pPr>
              <w:widowControl/>
              <w:spacing w:line="360" w:lineRule="exact"/>
              <w:jc w:val="center"/>
              <w:rPr>
                <w:rFonts w:hint="default" w:ascii="仿宋_GB2312" w:hAnsi="仿宋_GB2312" w:eastAsia="仿宋_GB2312" w:cs="仿宋_GB2312"/>
                <w:kern w:val="2"/>
                <w:sz w:val="20"/>
                <w:szCs w:val="20"/>
                <w:highlight w:val="none"/>
                <w:lang w:val="en-US" w:eastAsia="zh-CN" w:bidi="ar-SA"/>
              </w:rPr>
            </w:pPr>
            <w:r>
              <w:rPr>
                <w:rFonts w:hint="eastAsia" w:ascii="仿宋_GB2312" w:hAnsi="仿宋_GB2312" w:eastAsia="仿宋_GB2312" w:cs="仿宋_GB2312"/>
                <w:sz w:val="20"/>
                <w:szCs w:val="20"/>
                <w:highlight w:val="none"/>
                <w:lang w:val="en-US" w:eastAsia="zh-CN"/>
              </w:rPr>
              <w:t>0</w:t>
            </w:r>
          </w:p>
        </w:tc>
        <w:tc>
          <w:tcPr>
            <w:tcW w:w="2041" w:type="dxa"/>
            <w:gridSpan w:val="2"/>
            <w:tcBorders>
              <w:top w:val="single" w:color="auto" w:sz="4" w:space="0"/>
              <w:left w:val="nil"/>
              <w:bottom w:val="single" w:color="auto" w:sz="4" w:space="0"/>
              <w:right w:val="single" w:color="000000" w:sz="4" w:space="0"/>
            </w:tcBorders>
            <w:noWrap w:val="0"/>
            <w:vAlign w:val="center"/>
          </w:tcPr>
          <w:p w14:paraId="04AAF948">
            <w:pPr>
              <w:widowControl/>
              <w:spacing w:line="360" w:lineRule="exact"/>
              <w:jc w:val="center"/>
              <w:rPr>
                <w:rFonts w:hint="default" w:ascii="仿宋_GB2312" w:hAnsi="仿宋_GB2312" w:eastAsia="仿宋_GB2312" w:cs="仿宋_GB2312"/>
                <w:kern w:val="2"/>
                <w:sz w:val="20"/>
                <w:szCs w:val="20"/>
                <w:highlight w:val="none"/>
                <w:lang w:val="en-US" w:eastAsia="zh-CN" w:bidi="ar-SA"/>
              </w:rPr>
            </w:pPr>
            <w:r>
              <w:rPr>
                <w:rFonts w:hint="eastAsia" w:ascii="仿宋_GB2312" w:hAnsi="仿宋_GB2312" w:eastAsia="仿宋_GB2312" w:cs="仿宋_GB2312"/>
                <w:sz w:val="20"/>
                <w:szCs w:val="20"/>
                <w:highlight w:val="none"/>
                <w:lang w:val="en-US" w:eastAsia="zh-CN"/>
              </w:rPr>
              <w:t>0</w:t>
            </w:r>
          </w:p>
        </w:tc>
      </w:tr>
      <w:tr w14:paraId="4E6F184A">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14:paraId="1A957982">
            <w:pPr>
              <w:widowControl/>
              <w:spacing w:line="360" w:lineRule="exact"/>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项目支出：</w:t>
            </w:r>
          </w:p>
        </w:tc>
        <w:tc>
          <w:tcPr>
            <w:tcW w:w="2038" w:type="dxa"/>
            <w:gridSpan w:val="2"/>
            <w:tcBorders>
              <w:top w:val="single" w:color="auto" w:sz="4" w:space="0"/>
              <w:left w:val="nil"/>
              <w:bottom w:val="single" w:color="auto" w:sz="4" w:space="0"/>
              <w:right w:val="single" w:color="000000" w:sz="4" w:space="0"/>
            </w:tcBorders>
            <w:noWrap w:val="0"/>
            <w:vAlign w:val="center"/>
          </w:tcPr>
          <w:p w14:paraId="198CC053">
            <w:pPr>
              <w:widowControl/>
              <w:spacing w:line="360" w:lineRule="exact"/>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0</w:t>
            </w:r>
          </w:p>
        </w:tc>
        <w:tc>
          <w:tcPr>
            <w:tcW w:w="2240" w:type="dxa"/>
            <w:gridSpan w:val="2"/>
            <w:tcBorders>
              <w:top w:val="single" w:color="auto" w:sz="4" w:space="0"/>
              <w:left w:val="nil"/>
              <w:bottom w:val="single" w:color="auto" w:sz="4" w:space="0"/>
              <w:right w:val="single" w:color="000000" w:sz="4" w:space="0"/>
            </w:tcBorders>
            <w:noWrap w:val="0"/>
            <w:vAlign w:val="center"/>
          </w:tcPr>
          <w:p w14:paraId="0360C21C">
            <w:pPr>
              <w:widowControl/>
              <w:spacing w:line="360" w:lineRule="exact"/>
              <w:jc w:val="center"/>
              <w:rPr>
                <w:rFonts w:hint="default" w:ascii="仿宋_GB2312" w:hAnsi="仿宋_GB2312" w:eastAsia="仿宋_GB2312" w:cs="仿宋_GB2312"/>
                <w:sz w:val="20"/>
                <w:szCs w:val="20"/>
                <w:highlight w:val="none"/>
                <w:lang w:val="en-US"/>
              </w:rPr>
            </w:pPr>
            <w:r>
              <w:rPr>
                <w:rFonts w:hint="eastAsia" w:ascii="仿宋_GB2312" w:hAnsi="仿宋_GB2312" w:eastAsia="仿宋_GB2312" w:cs="仿宋_GB2312"/>
                <w:sz w:val="20"/>
                <w:szCs w:val="20"/>
                <w:highlight w:val="none"/>
                <w:lang w:val="en-US" w:eastAsia="zh-CN"/>
              </w:rPr>
              <w:t>29.36</w:t>
            </w:r>
          </w:p>
        </w:tc>
        <w:tc>
          <w:tcPr>
            <w:tcW w:w="2041" w:type="dxa"/>
            <w:gridSpan w:val="2"/>
            <w:tcBorders>
              <w:top w:val="single" w:color="auto" w:sz="4" w:space="0"/>
              <w:left w:val="nil"/>
              <w:bottom w:val="single" w:color="auto" w:sz="4" w:space="0"/>
              <w:right w:val="single" w:color="000000" w:sz="4" w:space="0"/>
            </w:tcBorders>
            <w:noWrap w:val="0"/>
            <w:vAlign w:val="center"/>
          </w:tcPr>
          <w:p w14:paraId="7DA89500">
            <w:pPr>
              <w:widowControl/>
              <w:spacing w:line="36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29.22</w:t>
            </w:r>
          </w:p>
        </w:tc>
      </w:tr>
      <w:tr w14:paraId="5198CE98">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14:paraId="0BF49B8A">
            <w:pPr>
              <w:widowControl/>
              <w:spacing w:line="360" w:lineRule="exact"/>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xml:space="preserve">   1、业务工作经费</w:t>
            </w:r>
          </w:p>
        </w:tc>
        <w:tc>
          <w:tcPr>
            <w:tcW w:w="2038" w:type="dxa"/>
            <w:gridSpan w:val="2"/>
            <w:tcBorders>
              <w:top w:val="single" w:color="auto" w:sz="4" w:space="0"/>
              <w:left w:val="nil"/>
              <w:bottom w:val="single" w:color="auto" w:sz="4" w:space="0"/>
              <w:right w:val="single" w:color="000000" w:sz="4" w:space="0"/>
            </w:tcBorders>
            <w:noWrap w:val="0"/>
            <w:vAlign w:val="center"/>
          </w:tcPr>
          <w:p w14:paraId="2C95A862">
            <w:pPr>
              <w:widowControl/>
              <w:spacing w:line="360" w:lineRule="exact"/>
              <w:jc w:val="center"/>
              <w:rPr>
                <w:rFonts w:hint="default" w:ascii="仿宋_GB2312" w:hAnsi="仿宋_GB2312" w:eastAsia="仿宋_GB2312" w:cs="仿宋_GB2312"/>
                <w:kern w:val="2"/>
                <w:sz w:val="20"/>
                <w:szCs w:val="20"/>
                <w:highlight w:val="none"/>
                <w:lang w:val="en-US" w:eastAsia="zh-CN" w:bidi="ar-SA"/>
              </w:rPr>
            </w:pPr>
            <w:r>
              <w:rPr>
                <w:rFonts w:hint="eastAsia" w:ascii="仿宋_GB2312" w:hAnsi="仿宋_GB2312" w:eastAsia="仿宋_GB2312" w:cs="仿宋_GB2312"/>
                <w:sz w:val="20"/>
                <w:szCs w:val="20"/>
                <w:highlight w:val="none"/>
                <w:lang w:val="en-US" w:eastAsia="zh-CN"/>
              </w:rPr>
              <w:t>0</w:t>
            </w:r>
          </w:p>
        </w:tc>
        <w:tc>
          <w:tcPr>
            <w:tcW w:w="2240" w:type="dxa"/>
            <w:gridSpan w:val="2"/>
            <w:tcBorders>
              <w:top w:val="single" w:color="auto" w:sz="4" w:space="0"/>
              <w:left w:val="nil"/>
              <w:bottom w:val="single" w:color="auto" w:sz="4" w:space="0"/>
              <w:right w:val="single" w:color="000000" w:sz="4" w:space="0"/>
            </w:tcBorders>
            <w:noWrap w:val="0"/>
            <w:vAlign w:val="center"/>
          </w:tcPr>
          <w:p w14:paraId="2D69D84D">
            <w:pPr>
              <w:widowControl/>
              <w:spacing w:line="360" w:lineRule="exact"/>
              <w:jc w:val="center"/>
              <w:rPr>
                <w:rFonts w:hint="default" w:ascii="仿宋_GB2312" w:hAnsi="仿宋_GB2312" w:eastAsia="仿宋_GB2312" w:cs="仿宋_GB2312"/>
                <w:kern w:val="2"/>
                <w:sz w:val="20"/>
                <w:szCs w:val="20"/>
                <w:highlight w:val="none"/>
                <w:lang w:val="en-US" w:eastAsia="zh-CN" w:bidi="ar-SA"/>
              </w:rPr>
            </w:pPr>
            <w:r>
              <w:rPr>
                <w:rFonts w:hint="eastAsia" w:ascii="仿宋_GB2312" w:hAnsi="仿宋_GB2312" w:eastAsia="仿宋_GB2312" w:cs="仿宋_GB2312"/>
                <w:sz w:val="20"/>
                <w:szCs w:val="20"/>
                <w:highlight w:val="none"/>
                <w:lang w:val="en-US" w:eastAsia="zh-CN"/>
              </w:rPr>
              <w:t>0</w:t>
            </w:r>
          </w:p>
        </w:tc>
        <w:tc>
          <w:tcPr>
            <w:tcW w:w="2041" w:type="dxa"/>
            <w:gridSpan w:val="2"/>
            <w:tcBorders>
              <w:top w:val="single" w:color="auto" w:sz="4" w:space="0"/>
              <w:left w:val="nil"/>
              <w:bottom w:val="single" w:color="auto" w:sz="4" w:space="0"/>
              <w:right w:val="single" w:color="000000" w:sz="4" w:space="0"/>
            </w:tcBorders>
            <w:noWrap w:val="0"/>
            <w:vAlign w:val="center"/>
          </w:tcPr>
          <w:p w14:paraId="4E32A179">
            <w:pPr>
              <w:widowControl/>
              <w:spacing w:line="360" w:lineRule="exact"/>
              <w:jc w:val="center"/>
              <w:rPr>
                <w:rFonts w:hint="default" w:ascii="仿宋_GB2312" w:hAnsi="仿宋_GB2312" w:eastAsia="仿宋_GB2312" w:cs="仿宋_GB2312"/>
                <w:kern w:val="2"/>
                <w:sz w:val="20"/>
                <w:szCs w:val="20"/>
                <w:highlight w:val="none"/>
                <w:lang w:val="en-US" w:eastAsia="zh-CN" w:bidi="ar-SA"/>
              </w:rPr>
            </w:pPr>
            <w:r>
              <w:rPr>
                <w:rFonts w:hint="eastAsia" w:ascii="仿宋_GB2312" w:hAnsi="仿宋_GB2312" w:eastAsia="仿宋_GB2312" w:cs="仿宋_GB2312"/>
                <w:sz w:val="20"/>
                <w:szCs w:val="20"/>
                <w:highlight w:val="none"/>
                <w:lang w:val="en-US" w:eastAsia="zh-CN"/>
              </w:rPr>
              <w:t>0</w:t>
            </w:r>
          </w:p>
        </w:tc>
      </w:tr>
      <w:tr w14:paraId="239E7597">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14:paraId="518B3021">
            <w:pPr>
              <w:widowControl/>
              <w:spacing w:line="360" w:lineRule="exact"/>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xml:space="preserve">   2、运行维护经费</w:t>
            </w:r>
          </w:p>
        </w:tc>
        <w:tc>
          <w:tcPr>
            <w:tcW w:w="2038" w:type="dxa"/>
            <w:gridSpan w:val="2"/>
            <w:tcBorders>
              <w:top w:val="single" w:color="auto" w:sz="4" w:space="0"/>
              <w:left w:val="nil"/>
              <w:bottom w:val="single" w:color="auto" w:sz="4" w:space="0"/>
              <w:right w:val="single" w:color="000000" w:sz="4" w:space="0"/>
            </w:tcBorders>
            <w:noWrap w:val="0"/>
            <w:vAlign w:val="center"/>
          </w:tcPr>
          <w:p w14:paraId="3790CB73">
            <w:pPr>
              <w:widowControl/>
              <w:spacing w:line="360" w:lineRule="exact"/>
              <w:jc w:val="center"/>
              <w:rPr>
                <w:rFonts w:hint="default" w:ascii="仿宋_GB2312" w:hAnsi="仿宋_GB2312" w:eastAsia="仿宋_GB2312" w:cs="仿宋_GB2312"/>
                <w:kern w:val="2"/>
                <w:sz w:val="20"/>
                <w:szCs w:val="20"/>
                <w:highlight w:val="none"/>
                <w:lang w:val="en-US" w:eastAsia="zh-CN" w:bidi="ar-SA"/>
              </w:rPr>
            </w:pPr>
            <w:r>
              <w:rPr>
                <w:rFonts w:hint="eastAsia" w:ascii="仿宋_GB2312" w:hAnsi="仿宋_GB2312" w:eastAsia="仿宋_GB2312" w:cs="仿宋_GB2312"/>
                <w:sz w:val="20"/>
                <w:szCs w:val="20"/>
                <w:highlight w:val="none"/>
                <w:lang w:val="en-US" w:eastAsia="zh-CN"/>
              </w:rPr>
              <w:t>0</w:t>
            </w:r>
          </w:p>
        </w:tc>
        <w:tc>
          <w:tcPr>
            <w:tcW w:w="2240" w:type="dxa"/>
            <w:gridSpan w:val="2"/>
            <w:tcBorders>
              <w:top w:val="single" w:color="auto" w:sz="4" w:space="0"/>
              <w:left w:val="nil"/>
              <w:bottom w:val="single" w:color="auto" w:sz="4" w:space="0"/>
              <w:right w:val="single" w:color="000000" w:sz="4" w:space="0"/>
            </w:tcBorders>
            <w:noWrap w:val="0"/>
            <w:vAlign w:val="center"/>
          </w:tcPr>
          <w:p w14:paraId="6888716D">
            <w:pPr>
              <w:widowControl/>
              <w:spacing w:line="360" w:lineRule="exact"/>
              <w:jc w:val="center"/>
              <w:rPr>
                <w:rFonts w:hint="default" w:ascii="仿宋_GB2312" w:hAnsi="仿宋_GB2312" w:eastAsia="仿宋_GB2312" w:cs="仿宋_GB2312"/>
                <w:kern w:val="2"/>
                <w:sz w:val="20"/>
                <w:szCs w:val="20"/>
                <w:highlight w:val="none"/>
                <w:lang w:val="en-US" w:eastAsia="zh-CN" w:bidi="ar-SA"/>
              </w:rPr>
            </w:pPr>
            <w:r>
              <w:rPr>
                <w:rFonts w:hint="eastAsia" w:ascii="仿宋_GB2312" w:hAnsi="仿宋_GB2312" w:eastAsia="仿宋_GB2312" w:cs="仿宋_GB2312"/>
                <w:sz w:val="20"/>
                <w:szCs w:val="20"/>
                <w:highlight w:val="none"/>
                <w:lang w:val="en-US" w:eastAsia="zh-CN"/>
              </w:rPr>
              <w:t>0</w:t>
            </w:r>
          </w:p>
        </w:tc>
        <w:tc>
          <w:tcPr>
            <w:tcW w:w="2041" w:type="dxa"/>
            <w:gridSpan w:val="2"/>
            <w:tcBorders>
              <w:top w:val="single" w:color="auto" w:sz="4" w:space="0"/>
              <w:left w:val="nil"/>
              <w:bottom w:val="single" w:color="auto" w:sz="4" w:space="0"/>
              <w:right w:val="single" w:color="000000" w:sz="4" w:space="0"/>
            </w:tcBorders>
            <w:noWrap w:val="0"/>
            <w:vAlign w:val="center"/>
          </w:tcPr>
          <w:p w14:paraId="632BF935">
            <w:pPr>
              <w:widowControl/>
              <w:spacing w:line="360" w:lineRule="exact"/>
              <w:jc w:val="center"/>
              <w:rPr>
                <w:rFonts w:hint="default" w:ascii="仿宋_GB2312" w:hAnsi="仿宋_GB2312" w:eastAsia="仿宋_GB2312" w:cs="仿宋_GB2312"/>
                <w:kern w:val="2"/>
                <w:sz w:val="20"/>
                <w:szCs w:val="20"/>
                <w:highlight w:val="none"/>
                <w:lang w:val="en-US" w:eastAsia="zh-CN" w:bidi="ar-SA"/>
              </w:rPr>
            </w:pPr>
            <w:r>
              <w:rPr>
                <w:rFonts w:hint="eastAsia" w:ascii="仿宋_GB2312" w:hAnsi="仿宋_GB2312" w:eastAsia="仿宋_GB2312" w:cs="仿宋_GB2312"/>
                <w:sz w:val="20"/>
                <w:szCs w:val="20"/>
                <w:highlight w:val="none"/>
                <w:lang w:val="en-US" w:eastAsia="zh-CN"/>
              </w:rPr>
              <w:t>0</w:t>
            </w:r>
          </w:p>
        </w:tc>
      </w:tr>
      <w:tr w14:paraId="23E1BD1C">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14:paraId="705CBB29">
            <w:pPr>
              <w:widowControl/>
              <w:spacing w:line="360" w:lineRule="exact"/>
              <w:ind w:firstLine="300" w:firstLineChars="150"/>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3、</w:t>
            </w:r>
            <w:r>
              <w:rPr>
                <w:rFonts w:hint="eastAsia" w:ascii="仿宋_GB2312" w:hAnsi="仿宋_GB2312" w:eastAsia="仿宋_GB2312" w:cs="仿宋_GB2312"/>
                <w:sz w:val="20"/>
                <w:szCs w:val="20"/>
                <w:highlight w:val="none"/>
                <w:lang w:eastAsia="zh-CN"/>
              </w:rPr>
              <w:t>市级</w:t>
            </w:r>
            <w:r>
              <w:rPr>
                <w:rFonts w:hint="eastAsia" w:ascii="仿宋_GB2312" w:hAnsi="仿宋_GB2312" w:eastAsia="仿宋_GB2312" w:cs="仿宋_GB2312"/>
                <w:sz w:val="20"/>
                <w:szCs w:val="20"/>
                <w:highlight w:val="none"/>
              </w:rPr>
              <w:t>专项资金</w:t>
            </w:r>
          </w:p>
        </w:tc>
        <w:tc>
          <w:tcPr>
            <w:tcW w:w="2038" w:type="dxa"/>
            <w:gridSpan w:val="2"/>
            <w:tcBorders>
              <w:top w:val="single" w:color="auto" w:sz="4" w:space="0"/>
              <w:left w:val="nil"/>
              <w:bottom w:val="single" w:color="auto" w:sz="4" w:space="0"/>
              <w:right w:val="single" w:color="000000" w:sz="4" w:space="0"/>
            </w:tcBorders>
            <w:noWrap w:val="0"/>
            <w:vAlign w:val="center"/>
          </w:tcPr>
          <w:p w14:paraId="770B3DF8">
            <w:pPr>
              <w:widowControl/>
              <w:spacing w:line="360" w:lineRule="exact"/>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0</w:t>
            </w:r>
          </w:p>
        </w:tc>
        <w:tc>
          <w:tcPr>
            <w:tcW w:w="2240" w:type="dxa"/>
            <w:gridSpan w:val="2"/>
            <w:tcBorders>
              <w:top w:val="single" w:color="auto" w:sz="4" w:space="0"/>
              <w:left w:val="nil"/>
              <w:bottom w:val="single" w:color="auto" w:sz="4" w:space="0"/>
              <w:right w:val="single" w:color="000000" w:sz="4" w:space="0"/>
            </w:tcBorders>
            <w:noWrap w:val="0"/>
            <w:vAlign w:val="center"/>
          </w:tcPr>
          <w:p w14:paraId="0FD1719A">
            <w:pPr>
              <w:widowControl/>
              <w:spacing w:line="36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29.36</w:t>
            </w:r>
          </w:p>
        </w:tc>
        <w:tc>
          <w:tcPr>
            <w:tcW w:w="2041" w:type="dxa"/>
            <w:gridSpan w:val="2"/>
            <w:tcBorders>
              <w:top w:val="single" w:color="auto" w:sz="4" w:space="0"/>
              <w:left w:val="nil"/>
              <w:bottom w:val="single" w:color="auto" w:sz="4" w:space="0"/>
              <w:right w:val="single" w:color="000000" w:sz="4" w:space="0"/>
            </w:tcBorders>
            <w:noWrap w:val="0"/>
            <w:vAlign w:val="center"/>
          </w:tcPr>
          <w:p w14:paraId="59BE2B4C">
            <w:pPr>
              <w:widowControl/>
              <w:spacing w:line="360" w:lineRule="exact"/>
              <w:jc w:val="center"/>
              <w:rPr>
                <w:rFonts w:hint="default" w:ascii="仿宋_GB2312" w:hAnsi="仿宋_GB2312" w:eastAsia="仿宋_GB2312" w:cs="仿宋_GB2312"/>
                <w:sz w:val="20"/>
                <w:szCs w:val="20"/>
                <w:highlight w:val="none"/>
                <w:lang w:val="en-US"/>
              </w:rPr>
            </w:pPr>
            <w:r>
              <w:rPr>
                <w:rFonts w:hint="eastAsia" w:ascii="仿宋_GB2312" w:hAnsi="仿宋_GB2312" w:eastAsia="仿宋_GB2312" w:cs="仿宋_GB2312"/>
                <w:sz w:val="20"/>
                <w:szCs w:val="20"/>
                <w:highlight w:val="none"/>
                <w:lang w:val="en-US" w:eastAsia="zh-CN"/>
              </w:rPr>
              <w:t>29.22</w:t>
            </w:r>
          </w:p>
        </w:tc>
      </w:tr>
      <w:tr w14:paraId="18DC407E">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14:paraId="6868FF02">
            <w:pPr>
              <w:widowControl/>
              <w:spacing w:line="360" w:lineRule="exact"/>
              <w:ind w:firstLine="400" w:firstLineChars="200"/>
              <w:jc w:val="left"/>
              <w:rPr>
                <w:rFonts w:hint="eastAsia" w:ascii="仿宋_GB2312" w:hAnsi="仿宋_GB2312" w:eastAsia="仿宋_GB2312" w:cs="仿宋_GB2312"/>
                <w:sz w:val="20"/>
                <w:szCs w:val="20"/>
                <w:highlight w:val="none"/>
                <w:lang w:eastAsia="zh-CN"/>
              </w:rPr>
            </w:pPr>
            <w:r>
              <w:rPr>
                <w:rFonts w:hint="eastAsia" w:ascii="仿宋_GB2312" w:hAnsi="仿宋_GB2312" w:eastAsia="仿宋_GB2312" w:cs="仿宋_GB2312"/>
                <w:sz w:val="20"/>
                <w:szCs w:val="20"/>
                <w:highlight w:val="none"/>
                <w:lang w:eastAsia="zh-CN"/>
              </w:rPr>
              <w:t>办证专项经费</w:t>
            </w:r>
          </w:p>
        </w:tc>
        <w:tc>
          <w:tcPr>
            <w:tcW w:w="2038" w:type="dxa"/>
            <w:gridSpan w:val="2"/>
            <w:tcBorders>
              <w:top w:val="single" w:color="auto" w:sz="4" w:space="0"/>
              <w:left w:val="nil"/>
              <w:bottom w:val="single" w:color="auto" w:sz="4" w:space="0"/>
              <w:right w:val="single" w:color="000000" w:sz="4" w:space="0"/>
            </w:tcBorders>
            <w:noWrap w:val="0"/>
            <w:vAlign w:val="center"/>
          </w:tcPr>
          <w:p w14:paraId="478BF52A">
            <w:pPr>
              <w:widowControl/>
              <w:spacing w:line="36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0</w:t>
            </w:r>
          </w:p>
        </w:tc>
        <w:tc>
          <w:tcPr>
            <w:tcW w:w="2240" w:type="dxa"/>
            <w:gridSpan w:val="2"/>
            <w:tcBorders>
              <w:top w:val="single" w:color="auto" w:sz="4" w:space="0"/>
              <w:left w:val="nil"/>
              <w:bottom w:val="single" w:color="auto" w:sz="4" w:space="0"/>
              <w:right w:val="single" w:color="000000" w:sz="4" w:space="0"/>
            </w:tcBorders>
            <w:noWrap w:val="0"/>
            <w:vAlign w:val="center"/>
          </w:tcPr>
          <w:p w14:paraId="2C883646">
            <w:pPr>
              <w:widowControl/>
              <w:spacing w:line="36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29.36</w:t>
            </w:r>
          </w:p>
        </w:tc>
        <w:tc>
          <w:tcPr>
            <w:tcW w:w="2041" w:type="dxa"/>
            <w:gridSpan w:val="2"/>
            <w:tcBorders>
              <w:top w:val="single" w:color="auto" w:sz="4" w:space="0"/>
              <w:left w:val="nil"/>
              <w:bottom w:val="single" w:color="auto" w:sz="4" w:space="0"/>
              <w:right w:val="single" w:color="000000" w:sz="4" w:space="0"/>
            </w:tcBorders>
            <w:noWrap w:val="0"/>
            <w:vAlign w:val="center"/>
          </w:tcPr>
          <w:p w14:paraId="7EA1D568">
            <w:pPr>
              <w:widowControl/>
              <w:spacing w:line="36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29.22</w:t>
            </w:r>
          </w:p>
        </w:tc>
      </w:tr>
      <w:tr w14:paraId="515AF57F">
        <w:tblPrEx>
          <w:tblCellMar>
            <w:top w:w="0" w:type="dxa"/>
            <w:left w:w="108" w:type="dxa"/>
            <w:bottom w:w="0" w:type="dxa"/>
            <w:right w:w="108" w:type="dxa"/>
          </w:tblCellMar>
        </w:tblPrEx>
        <w:trPr>
          <w:trHeight w:val="90" w:hRule="atLeast"/>
          <w:jc w:val="center"/>
        </w:trPr>
        <w:tc>
          <w:tcPr>
            <w:tcW w:w="3354" w:type="dxa"/>
            <w:tcBorders>
              <w:top w:val="nil"/>
              <w:left w:val="single" w:color="auto" w:sz="4" w:space="0"/>
              <w:bottom w:val="single" w:color="auto" w:sz="4" w:space="0"/>
              <w:right w:val="single" w:color="auto" w:sz="4" w:space="0"/>
            </w:tcBorders>
            <w:noWrap w:val="0"/>
            <w:vAlign w:val="center"/>
          </w:tcPr>
          <w:p w14:paraId="15DDCBDB">
            <w:pPr>
              <w:widowControl/>
              <w:spacing w:line="360" w:lineRule="exact"/>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公用经费</w:t>
            </w:r>
          </w:p>
        </w:tc>
        <w:tc>
          <w:tcPr>
            <w:tcW w:w="2038" w:type="dxa"/>
            <w:gridSpan w:val="2"/>
            <w:tcBorders>
              <w:top w:val="single" w:color="auto" w:sz="4" w:space="0"/>
              <w:left w:val="nil"/>
              <w:bottom w:val="single" w:color="auto" w:sz="4" w:space="0"/>
              <w:right w:val="single" w:color="000000" w:sz="4" w:space="0"/>
            </w:tcBorders>
            <w:noWrap w:val="0"/>
            <w:vAlign w:val="center"/>
          </w:tcPr>
          <w:p w14:paraId="319E110D">
            <w:pPr>
              <w:widowControl/>
              <w:spacing w:line="360" w:lineRule="exact"/>
              <w:jc w:val="center"/>
              <w:rPr>
                <w:rFonts w:hint="default" w:ascii="仿宋_GB2312" w:hAnsi="仿宋_GB2312" w:eastAsia="仿宋_GB2312" w:cs="仿宋_GB2312"/>
                <w:sz w:val="20"/>
                <w:szCs w:val="20"/>
                <w:highlight w:val="none"/>
                <w:lang w:val="en-US"/>
              </w:rPr>
            </w:pPr>
            <w:r>
              <w:rPr>
                <w:rFonts w:hint="default" w:ascii="仿宋_GB2312" w:hAnsi="仿宋_GB2312" w:eastAsia="仿宋_GB2312" w:cs="仿宋_GB2312"/>
                <w:sz w:val="20"/>
                <w:szCs w:val="20"/>
                <w:highlight w:val="none"/>
                <w:lang w:val="en-US"/>
              </w:rPr>
              <w:t>20.83</w:t>
            </w:r>
          </w:p>
        </w:tc>
        <w:tc>
          <w:tcPr>
            <w:tcW w:w="2240" w:type="dxa"/>
            <w:gridSpan w:val="2"/>
            <w:tcBorders>
              <w:top w:val="single" w:color="auto" w:sz="4" w:space="0"/>
              <w:left w:val="nil"/>
              <w:bottom w:val="single" w:color="auto" w:sz="4" w:space="0"/>
              <w:right w:val="single" w:color="000000" w:sz="4" w:space="0"/>
            </w:tcBorders>
            <w:noWrap w:val="0"/>
            <w:vAlign w:val="center"/>
          </w:tcPr>
          <w:p w14:paraId="066191FD">
            <w:pPr>
              <w:widowControl/>
              <w:spacing w:line="360" w:lineRule="exact"/>
              <w:jc w:val="center"/>
              <w:rPr>
                <w:rFonts w:hint="default" w:ascii="仿宋_GB2312" w:hAnsi="仿宋_GB2312" w:eastAsia="仿宋_GB2312" w:cs="仿宋_GB2312"/>
                <w:sz w:val="20"/>
                <w:szCs w:val="20"/>
                <w:highlight w:val="none"/>
                <w:lang w:val="en-US" w:eastAsia="zh-CN"/>
              </w:rPr>
            </w:pPr>
            <w:r>
              <w:rPr>
                <w:rFonts w:hint="default" w:ascii="仿宋_GB2312" w:hAnsi="仿宋_GB2312" w:eastAsia="仿宋_GB2312" w:cs="仿宋_GB2312"/>
                <w:sz w:val="20"/>
                <w:szCs w:val="20"/>
                <w:highlight w:val="none"/>
                <w:lang w:val="en-US" w:eastAsia="zh-CN"/>
              </w:rPr>
              <w:t>23.48</w:t>
            </w:r>
          </w:p>
        </w:tc>
        <w:tc>
          <w:tcPr>
            <w:tcW w:w="2041" w:type="dxa"/>
            <w:gridSpan w:val="2"/>
            <w:tcBorders>
              <w:top w:val="single" w:color="auto" w:sz="4" w:space="0"/>
              <w:left w:val="nil"/>
              <w:bottom w:val="single" w:color="auto" w:sz="4" w:space="0"/>
              <w:right w:val="single" w:color="000000" w:sz="4" w:space="0"/>
            </w:tcBorders>
            <w:noWrap w:val="0"/>
            <w:vAlign w:val="center"/>
          </w:tcPr>
          <w:p w14:paraId="33C5C06E">
            <w:pPr>
              <w:widowControl/>
              <w:spacing w:line="36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15.68</w:t>
            </w:r>
          </w:p>
        </w:tc>
      </w:tr>
      <w:tr w14:paraId="436E5FAC">
        <w:tblPrEx>
          <w:tblCellMar>
            <w:top w:w="0" w:type="dxa"/>
            <w:left w:w="108" w:type="dxa"/>
            <w:bottom w:w="0" w:type="dxa"/>
            <w:right w:w="108" w:type="dxa"/>
          </w:tblCellMar>
        </w:tblPrEx>
        <w:trPr>
          <w:trHeight w:val="306" w:hRule="atLeast"/>
          <w:jc w:val="center"/>
        </w:trPr>
        <w:tc>
          <w:tcPr>
            <w:tcW w:w="3354" w:type="dxa"/>
            <w:tcBorders>
              <w:top w:val="nil"/>
              <w:left w:val="single" w:color="auto" w:sz="4" w:space="0"/>
              <w:bottom w:val="single" w:color="auto" w:sz="4" w:space="0"/>
              <w:right w:val="single" w:color="auto" w:sz="4" w:space="0"/>
            </w:tcBorders>
            <w:noWrap w:val="0"/>
            <w:vAlign w:val="center"/>
          </w:tcPr>
          <w:p w14:paraId="4D4BCE8D">
            <w:pPr>
              <w:widowControl/>
              <w:spacing w:line="360" w:lineRule="exact"/>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xml:space="preserve">    其中：办公经费</w:t>
            </w:r>
          </w:p>
        </w:tc>
        <w:tc>
          <w:tcPr>
            <w:tcW w:w="2038" w:type="dxa"/>
            <w:gridSpan w:val="2"/>
            <w:tcBorders>
              <w:top w:val="single" w:color="auto" w:sz="4" w:space="0"/>
              <w:left w:val="nil"/>
              <w:bottom w:val="single" w:color="auto" w:sz="4" w:space="0"/>
              <w:right w:val="single" w:color="000000" w:sz="4" w:space="0"/>
            </w:tcBorders>
            <w:noWrap w:val="0"/>
            <w:vAlign w:val="center"/>
          </w:tcPr>
          <w:p w14:paraId="67DEF31F">
            <w:pPr>
              <w:widowControl/>
              <w:spacing w:line="360" w:lineRule="exact"/>
              <w:jc w:val="center"/>
              <w:rPr>
                <w:rFonts w:hint="default" w:ascii="仿宋_GB2312" w:hAnsi="仿宋_GB2312" w:eastAsia="仿宋_GB2312" w:cs="仿宋_GB2312"/>
                <w:color w:val="000000"/>
                <w:sz w:val="20"/>
                <w:szCs w:val="20"/>
                <w:highlight w:val="none"/>
                <w:lang w:val="en-US"/>
              </w:rPr>
            </w:pPr>
            <w:r>
              <w:rPr>
                <w:rFonts w:hint="default" w:ascii="仿宋_GB2312" w:hAnsi="仿宋_GB2312" w:eastAsia="仿宋_GB2312" w:cs="仿宋_GB2312"/>
                <w:color w:val="000000"/>
                <w:sz w:val="20"/>
                <w:szCs w:val="20"/>
                <w:highlight w:val="none"/>
                <w:lang w:val="en-US"/>
              </w:rPr>
              <w:t>20.83</w:t>
            </w:r>
          </w:p>
        </w:tc>
        <w:tc>
          <w:tcPr>
            <w:tcW w:w="2240" w:type="dxa"/>
            <w:gridSpan w:val="2"/>
            <w:tcBorders>
              <w:top w:val="single" w:color="auto" w:sz="4" w:space="0"/>
              <w:left w:val="nil"/>
              <w:bottom w:val="single" w:color="auto" w:sz="4" w:space="0"/>
              <w:right w:val="single" w:color="000000" w:sz="4" w:space="0"/>
            </w:tcBorders>
            <w:noWrap w:val="0"/>
            <w:vAlign w:val="center"/>
          </w:tcPr>
          <w:p w14:paraId="1ABCC0EF">
            <w:pPr>
              <w:widowControl/>
              <w:spacing w:line="360" w:lineRule="exact"/>
              <w:jc w:val="center"/>
              <w:rPr>
                <w:rFonts w:hint="default" w:ascii="仿宋_GB2312" w:hAnsi="仿宋_GB2312" w:eastAsia="仿宋_GB2312" w:cs="仿宋_GB2312"/>
                <w:color w:val="000000"/>
                <w:sz w:val="20"/>
                <w:szCs w:val="20"/>
                <w:highlight w:val="none"/>
                <w:lang w:val="en-US" w:eastAsia="zh-CN"/>
              </w:rPr>
            </w:pPr>
            <w:r>
              <w:rPr>
                <w:rFonts w:hint="default" w:ascii="仿宋_GB2312" w:hAnsi="仿宋_GB2312" w:eastAsia="仿宋_GB2312" w:cs="仿宋_GB2312"/>
                <w:color w:val="000000"/>
                <w:sz w:val="20"/>
                <w:szCs w:val="20"/>
                <w:highlight w:val="none"/>
                <w:lang w:val="en-US" w:eastAsia="zh-CN"/>
              </w:rPr>
              <w:t>23.03</w:t>
            </w:r>
          </w:p>
        </w:tc>
        <w:tc>
          <w:tcPr>
            <w:tcW w:w="2041" w:type="dxa"/>
            <w:gridSpan w:val="2"/>
            <w:tcBorders>
              <w:top w:val="single" w:color="auto" w:sz="4" w:space="0"/>
              <w:left w:val="nil"/>
              <w:bottom w:val="single" w:color="auto" w:sz="4" w:space="0"/>
              <w:right w:val="single" w:color="000000" w:sz="4" w:space="0"/>
            </w:tcBorders>
            <w:noWrap w:val="0"/>
            <w:vAlign w:val="center"/>
          </w:tcPr>
          <w:p w14:paraId="5A22680D">
            <w:pPr>
              <w:widowControl/>
              <w:spacing w:line="360" w:lineRule="exact"/>
              <w:jc w:val="center"/>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15.23</w:t>
            </w:r>
          </w:p>
        </w:tc>
      </w:tr>
      <w:tr w14:paraId="5C3E761C">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14:paraId="7F4A9DB7">
            <w:pPr>
              <w:widowControl/>
              <w:spacing w:line="360" w:lineRule="exact"/>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xml:space="preserve">          水费、电费、差旅费</w:t>
            </w:r>
          </w:p>
        </w:tc>
        <w:tc>
          <w:tcPr>
            <w:tcW w:w="2038" w:type="dxa"/>
            <w:gridSpan w:val="2"/>
            <w:tcBorders>
              <w:top w:val="single" w:color="auto" w:sz="4" w:space="0"/>
              <w:left w:val="nil"/>
              <w:bottom w:val="single" w:color="auto" w:sz="4" w:space="0"/>
              <w:right w:val="single" w:color="000000" w:sz="4" w:space="0"/>
            </w:tcBorders>
            <w:noWrap w:val="0"/>
            <w:vAlign w:val="center"/>
          </w:tcPr>
          <w:p w14:paraId="5CFE2B6C">
            <w:pPr>
              <w:widowControl/>
              <w:spacing w:line="360" w:lineRule="exact"/>
              <w:jc w:val="center"/>
              <w:rPr>
                <w:rFonts w:hint="default" w:ascii="仿宋_GB2312" w:hAnsi="仿宋_GB2312" w:eastAsia="仿宋_GB2312" w:cs="仿宋_GB2312"/>
                <w:color w:val="000000"/>
                <w:sz w:val="20"/>
                <w:szCs w:val="20"/>
                <w:highlight w:val="none"/>
                <w:lang w:val="en-US"/>
              </w:rPr>
            </w:pPr>
            <w:r>
              <w:rPr>
                <w:rFonts w:hint="default" w:ascii="仿宋_GB2312" w:hAnsi="仿宋_GB2312" w:eastAsia="仿宋_GB2312" w:cs="仿宋_GB2312"/>
                <w:color w:val="000000"/>
                <w:sz w:val="20"/>
                <w:szCs w:val="20"/>
                <w:highlight w:val="none"/>
                <w:lang w:val="en-US"/>
              </w:rPr>
              <w:t>0</w:t>
            </w:r>
          </w:p>
        </w:tc>
        <w:tc>
          <w:tcPr>
            <w:tcW w:w="2240" w:type="dxa"/>
            <w:gridSpan w:val="2"/>
            <w:tcBorders>
              <w:top w:val="single" w:color="auto" w:sz="4" w:space="0"/>
              <w:left w:val="nil"/>
              <w:bottom w:val="single" w:color="auto" w:sz="4" w:space="0"/>
              <w:right w:val="single" w:color="000000" w:sz="4" w:space="0"/>
            </w:tcBorders>
            <w:noWrap w:val="0"/>
            <w:vAlign w:val="center"/>
          </w:tcPr>
          <w:p w14:paraId="48B9C226">
            <w:pPr>
              <w:widowControl/>
              <w:spacing w:line="360" w:lineRule="exact"/>
              <w:jc w:val="center"/>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0.45</w:t>
            </w:r>
          </w:p>
        </w:tc>
        <w:tc>
          <w:tcPr>
            <w:tcW w:w="2041" w:type="dxa"/>
            <w:gridSpan w:val="2"/>
            <w:tcBorders>
              <w:top w:val="single" w:color="auto" w:sz="4" w:space="0"/>
              <w:left w:val="nil"/>
              <w:bottom w:val="single" w:color="auto" w:sz="4" w:space="0"/>
              <w:right w:val="single" w:color="000000" w:sz="4" w:space="0"/>
            </w:tcBorders>
            <w:noWrap w:val="0"/>
            <w:vAlign w:val="center"/>
          </w:tcPr>
          <w:p w14:paraId="4EAE28AA">
            <w:pPr>
              <w:widowControl/>
              <w:spacing w:line="360" w:lineRule="exact"/>
              <w:jc w:val="center"/>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0.45</w:t>
            </w:r>
          </w:p>
        </w:tc>
      </w:tr>
      <w:tr w14:paraId="2AE95AF3">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14:paraId="140B1882">
            <w:pPr>
              <w:widowControl/>
              <w:spacing w:line="360" w:lineRule="exact"/>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xml:space="preserve">          会议费、培训费</w:t>
            </w:r>
          </w:p>
        </w:tc>
        <w:tc>
          <w:tcPr>
            <w:tcW w:w="2038" w:type="dxa"/>
            <w:gridSpan w:val="2"/>
            <w:tcBorders>
              <w:top w:val="single" w:color="auto" w:sz="4" w:space="0"/>
              <w:left w:val="nil"/>
              <w:bottom w:val="single" w:color="auto" w:sz="4" w:space="0"/>
              <w:right w:val="single" w:color="000000" w:sz="4" w:space="0"/>
            </w:tcBorders>
            <w:noWrap w:val="0"/>
            <w:vAlign w:val="center"/>
          </w:tcPr>
          <w:p w14:paraId="56764073">
            <w:pPr>
              <w:widowControl/>
              <w:spacing w:line="360" w:lineRule="exact"/>
              <w:jc w:val="center"/>
              <w:rPr>
                <w:rFonts w:hint="default" w:ascii="仿宋_GB2312" w:hAnsi="仿宋_GB2312" w:eastAsia="仿宋_GB2312" w:cs="仿宋_GB2312"/>
                <w:color w:val="000000"/>
                <w:sz w:val="20"/>
                <w:szCs w:val="20"/>
                <w:highlight w:val="none"/>
                <w:lang w:val="en-US"/>
              </w:rPr>
            </w:pPr>
            <w:r>
              <w:rPr>
                <w:rFonts w:hint="default" w:ascii="仿宋_GB2312" w:hAnsi="仿宋_GB2312" w:eastAsia="仿宋_GB2312" w:cs="仿宋_GB2312"/>
                <w:color w:val="000000"/>
                <w:sz w:val="20"/>
                <w:szCs w:val="20"/>
                <w:highlight w:val="none"/>
                <w:lang w:val="en-US"/>
              </w:rPr>
              <w:t>0</w:t>
            </w:r>
          </w:p>
        </w:tc>
        <w:tc>
          <w:tcPr>
            <w:tcW w:w="2240" w:type="dxa"/>
            <w:gridSpan w:val="2"/>
            <w:tcBorders>
              <w:top w:val="single" w:color="auto" w:sz="4" w:space="0"/>
              <w:left w:val="nil"/>
              <w:bottom w:val="single" w:color="auto" w:sz="4" w:space="0"/>
              <w:right w:val="single" w:color="000000" w:sz="4" w:space="0"/>
            </w:tcBorders>
            <w:noWrap w:val="0"/>
            <w:vAlign w:val="center"/>
          </w:tcPr>
          <w:p w14:paraId="2732CA93">
            <w:pPr>
              <w:widowControl/>
              <w:spacing w:line="360" w:lineRule="exact"/>
              <w:jc w:val="center"/>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0</w:t>
            </w:r>
          </w:p>
        </w:tc>
        <w:tc>
          <w:tcPr>
            <w:tcW w:w="2041" w:type="dxa"/>
            <w:gridSpan w:val="2"/>
            <w:tcBorders>
              <w:top w:val="single" w:color="auto" w:sz="4" w:space="0"/>
              <w:left w:val="nil"/>
              <w:bottom w:val="single" w:color="auto" w:sz="4" w:space="0"/>
              <w:right w:val="single" w:color="000000" w:sz="4" w:space="0"/>
            </w:tcBorders>
            <w:noWrap w:val="0"/>
            <w:vAlign w:val="center"/>
          </w:tcPr>
          <w:p w14:paraId="177F5827">
            <w:pPr>
              <w:widowControl/>
              <w:spacing w:line="360" w:lineRule="exact"/>
              <w:jc w:val="center"/>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0</w:t>
            </w:r>
          </w:p>
        </w:tc>
      </w:tr>
      <w:tr w14:paraId="24F658FC">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14:paraId="4B218623">
            <w:pPr>
              <w:widowControl/>
              <w:spacing w:line="360" w:lineRule="exact"/>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政府采购金额</w:t>
            </w:r>
          </w:p>
        </w:tc>
        <w:tc>
          <w:tcPr>
            <w:tcW w:w="2038" w:type="dxa"/>
            <w:gridSpan w:val="2"/>
            <w:tcBorders>
              <w:top w:val="single" w:color="auto" w:sz="4" w:space="0"/>
              <w:left w:val="nil"/>
              <w:bottom w:val="single" w:color="auto" w:sz="4" w:space="0"/>
              <w:right w:val="single" w:color="000000" w:sz="4" w:space="0"/>
            </w:tcBorders>
            <w:noWrap w:val="0"/>
            <w:vAlign w:val="center"/>
          </w:tcPr>
          <w:p w14:paraId="7DB9FCB3">
            <w:pPr>
              <w:widowControl/>
              <w:spacing w:line="36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17.35</w:t>
            </w:r>
          </w:p>
        </w:tc>
        <w:tc>
          <w:tcPr>
            <w:tcW w:w="2240" w:type="dxa"/>
            <w:gridSpan w:val="2"/>
            <w:tcBorders>
              <w:top w:val="single" w:color="auto" w:sz="4" w:space="0"/>
              <w:left w:val="nil"/>
              <w:bottom w:val="single" w:color="auto" w:sz="4" w:space="0"/>
              <w:right w:val="single" w:color="000000" w:sz="4" w:space="0"/>
            </w:tcBorders>
            <w:noWrap w:val="0"/>
            <w:vAlign w:val="center"/>
          </w:tcPr>
          <w:p w14:paraId="514AF928">
            <w:pPr>
              <w:widowControl/>
              <w:spacing w:line="36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20.98</w:t>
            </w:r>
          </w:p>
        </w:tc>
        <w:tc>
          <w:tcPr>
            <w:tcW w:w="2041" w:type="dxa"/>
            <w:gridSpan w:val="2"/>
            <w:tcBorders>
              <w:top w:val="single" w:color="auto" w:sz="4" w:space="0"/>
              <w:left w:val="nil"/>
              <w:bottom w:val="single" w:color="auto" w:sz="4" w:space="0"/>
              <w:right w:val="single" w:color="000000" w:sz="4" w:space="0"/>
            </w:tcBorders>
            <w:noWrap w:val="0"/>
            <w:vAlign w:val="center"/>
          </w:tcPr>
          <w:p w14:paraId="52786BD9">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lang w:val="en-US" w:eastAsia="zh-CN"/>
              </w:rPr>
              <w:t>16.98</w:t>
            </w:r>
          </w:p>
        </w:tc>
      </w:tr>
      <w:tr w14:paraId="655C252B">
        <w:tblPrEx>
          <w:tblCellMar>
            <w:top w:w="0" w:type="dxa"/>
            <w:left w:w="108" w:type="dxa"/>
            <w:bottom w:w="0" w:type="dxa"/>
            <w:right w:w="108" w:type="dxa"/>
          </w:tblCellMar>
        </w:tblPrEx>
        <w:trPr>
          <w:trHeight w:val="292" w:hRule="atLeast"/>
          <w:jc w:val="center"/>
        </w:trPr>
        <w:tc>
          <w:tcPr>
            <w:tcW w:w="3354" w:type="dxa"/>
            <w:tcBorders>
              <w:top w:val="nil"/>
              <w:left w:val="single" w:color="auto" w:sz="4" w:space="0"/>
              <w:bottom w:val="single" w:color="auto" w:sz="4" w:space="0"/>
              <w:right w:val="single" w:color="auto" w:sz="4" w:space="0"/>
            </w:tcBorders>
            <w:noWrap w:val="0"/>
            <w:vAlign w:val="center"/>
          </w:tcPr>
          <w:p w14:paraId="6169DD98">
            <w:pPr>
              <w:widowControl/>
              <w:spacing w:line="360" w:lineRule="exact"/>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xml:space="preserve">部门基本支出预算调整 </w:t>
            </w:r>
          </w:p>
        </w:tc>
        <w:tc>
          <w:tcPr>
            <w:tcW w:w="2038" w:type="dxa"/>
            <w:gridSpan w:val="2"/>
            <w:tcBorders>
              <w:top w:val="single" w:color="auto" w:sz="4" w:space="0"/>
              <w:left w:val="nil"/>
              <w:bottom w:val="single" w:color="auto" w:sz="4" w:space="0"/>
              <w:right w:val="single" w:color="000000" w:sz="4" w:space="0"/>
            </w:tcBorders>
            <w:noWrap w:val="0"/>
            <w:vAlign w:val="center"/>
          </w:tcPr>
          <w:p w14:paraId="14277F35">
            <w:pPr>
              <w:widowControl/>
              <w:spacing w:line="36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85.15</w:t>
            </w:r>
          </w:p>
        </w:tc>
        <w:tc>
          <w:tcPr>
            <w:tcW w:w="2240" w:type="dxa"/>
            <w:gridSpan w:val="2"/>
            <w:tcBorders>
              <w:top w:val="single" w:color="auto" w:sz="4" w:space="0"/>
              <w:left w:val="nil"/>
              <w:bottom w:val="single" w:color="auto" w:sz="4" w:space="0"/>
              <w:right w:val="single" w:color="000000" w:sz="4" w:space="0"/>
            </w:tcBorders>
            <w:noWrap w:val="0"/>
            <w:vAlign w:val="center"/>
          </w:tcPr>
          <w:p w14:paraId="738B4C48">
            <w:pPr>
              <w:widowControl/>
              <w:spacing w:line="360" w:lineRule="exact"/>
              <w:jc w:val="center"/>
              <w:rPr>
                <w:rFonts w:hint="default" w:ascii="仿宋_GB2312" w:hAnsi="仿宋_GB2312" w:eastAsia="仿宋_GB2312" w:cs="仿宋_GB2312"/>
                <w:sz w:val="20"/>
                <w:szCs w:val="20"/>
                <w:highlight w:val="none"/>
                <w:lang w:val="en-US" w:eastAsia="zh-CN"/>
              </w:rPr>
            </w:pPr>
            <w:r>
              <w:rPr>
                <w:rFonts w:hint="default" w:ascii="仿宋_GB2312" w:hAnsi="仿宋_GB2312" w:eastAsia="仿宋_GB2312" w:cs="仿宋_GB2312"/>
                <w:sz w:val="20"/>
                <w:szCs w:val="20"/>
                <w:highlight w:val="none"/>
                <w:lang w:val="en-US" w:eastAsia="zh-CN"/>
              </w:rPr>
              <w:t>272.2</w:t>
            </w:r>
          </w:p>
        </w:tc>
        <w:tc>
          <w:tcPr>
            <w:tcW w:w="2041" w:type="dxa"/>
            <w:gridSpan w:val="2"/>
            <w:tcBorders>
              <w:top w:val="single" w:color="auto" w:sz="4" w:space="0"/>
              <w:left w:val="nil"/>
              <w:bottom w:val="single" w:color="auto" w:sz="4" w:space="0"/>
              <w:right w:val="single" w:color="000000" w:sz="4" w:space="0"/>
            </w:tcBorders>
            <w:noWrap w:val="0"/>
            <w:vAlign w:val="center"/>
          </w:tcPr>
          <w:p w14:paraId="2AD29221">
            <w:pPr>
              <w:widowControl/>
              <w:spacing w:line="360" w:lineRule="exact"/>
              <w:jc w:val="center"/>
              <w:rPr>
                <w:rFonts w:hint="default" w:ascii="仿宋_GB2312" w:hAnsi="仿宋_GB2312" w:eastAsia="仿宋_GB2312" w:cs="仿宋_GB2312"/>
                <w:sz w:val="20"/>
                <w:szCs w:val="20"/>
                <w:highlight w:val="none"/>
                <w:lang w:val="en-US"/>
              </w:rPr>
            </w:pPr>
            <w:r>
              <w:rPr>
                <w:rFonts w:hint="default" w:ascii="仿宋_GB2312" w:hAnsi="仿宋_GB2312" w:eastAsia="仿宋_GB2312" w:cs="仿宋_GB2312"/>
                <w:sz w:val="20"/>
                <w:szCs w:val="20"/>
                <w:highlight w:val="none"/>
                <w:lang w:val="en-US"/>
              </w:rPr>
              <w:t>263.2</w:t>
            </w:r>
          </w:p>
        </w:tc>
      </w:tr>
      <w:tr w14:paraId="569F003E">
        <w:tblPrEx>
          <w:tblCellMar>
            <w:top w:w="0" w:type="dxa"/>
            <w:left w:w="108" w:type="dxa"/>
            <w:bottom w:w="0" w:type="dxa"/>
            <w:right w:w="108" w:type="dxa"/>
          </w:tblCellMar>
        </w:tblPrEx>
        <w:trPr>
          <w:trHeight w:val="919" w:hRule="atLeast"/>
          <w:jc w:val="center"/>
        </w:trPr>
        <w:tc>
          <w:tcPr>
            <w:tcW w:w="3354" w:type="dxa"/>
            <w:vMerge w:val="restart"/>
            <w:tcBorders>
              <w:top w:val="nil"/>
              <w:left w:val="single" w:color="auto" w:sz="4" w:space="0"/>
              <w:bottom w:val="single" w:color="auto" w:sz="4" w:space="0"/>
              <w:right w:val="single" w:color="auto" w:sz="4" w:space="0"/>
            </w:tcBorders>
            <w:noWrap w:val="0"/>
            <w:vAlign w:val="center"/>
          </w:tcPr>
          <w:p w14:paraId="5F48E7C4">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楼堂馆所控制情况</w:t>
            </w:r>
            <w:r>
              <w:rPr>
                <w:rFonts w:hint="eastAsia" w:ascii="仿宋_GB2312" w:hAnsi="仿宋_GB2312" w:eastAsia="仿宋_GB2312" w:cs="仿宋_GB2312"/>
                <w:sz w:val="20"/>
                <w:szCs w:val="20"/>
                <w:highlight w:val="none"/>
              </w:rPr>
              <w:br w:type="textWrapping"/>
            </w:r>
            <w:r>
              <w:rPr>
                <w:rFonts w:hint="eastAsia" w:ascii="仿宋_GB2312" w:hAnsi="仿宋_GB2312" w:eastAsia="仿宋_GB2312" w:cs="仿宋_GB2312"/>
                <w:sz w:val="20"/>
                <w:szCs w:val="20"/>
                <w:highlight w:val="none"/>
              </w:rPr>
              <w:t>（202</w:t>
            </w:r>
            <w:r>
              <w:rPr>
                <w:rFonts w:hint="eastAsia" w:ascii="仿宋_GB2312" w:hAnsi="仿宋_GB2312" w:eastAsia="仿宋_GB2312" w:cs="仿宋_GB2312"/>
                <w:sz w:val="20"/>
                <w:szCs w:val="20"/>
                <w:highlight w:val="none"/>
                <w:lang w:val="en-US" w:eastAsia="zh-CN"/>
              </w:rPr>
              <w:t>4</w:t>
            </w:r>
            <w:r>
              <w:rPr>
                <w:rFonts w:hint="eastAsia" w:ascii="仿宋_GB2312" w:hAnsi="仿宋_GB2312" w:eastAsia="仿宋_GB2312" w:cs="仿宋_GB2312"/>
                <w:sz w:val="20"/>
                <w:szCs w:val="20"/>
                <w:highlight w:val="none"/>
              </w:rPr>
              <w:t>年完工项目）</w:t>
            </w:r>
          </w:p>
        </w:tc>
        <w:tc>
          <w:tcPr>
            <w:tcW w:w="1189" w:type="dxa"/>
            <w:tcBorders>
              <w:top w:val="nil"/>
              <w:left w:val="nil"/>
              <w:bottom w:val="single" w:color="auto" w:sz="4" w:space="0"/>
              <w:right w:val="single" w:color="auto" w:sz="4" w:space="0"/>
            </w:tcBorders>
            <w:noWrap w:val="0"/>
            <w:vAlign w:val="center"/>
          </w:tcPr>
          <w:p w14:paraId="0AA5FF57">
            <w:pPr>
              <w:widowControl/>
              <w:spacing w:line="360" w:lineRule="exact"/>
              <w:jc w:val="center"/>
              <w:rPr>
                <w:rFonts w:hint="eastAsia" w:ascii="仿宋_GB2312" w:hAnsi="仿宋_GB2312" w:eastAsia="仿宋_GB2312" w:cs="仿宋_GB2312"/>
                <w:bCs/>
                <w:sz w:val="20"/>
                <w:szCs w:val="20"/>
                <w:highlight w:val="none"/>
              </w:rPr>
            </w:pPr>
            <w:r>
              <w:rPr>
                <w:rFonts w:hint="eastAsia" w:ascii="仿宋_GB2312" w:hAnsi="仿宋_GB2312" w:eastAsia="仿宋_GB2312" w:cs="仿宋_GB2312"/>
                <w:bCs/>
                <w:sz w:val="20"/>
                <w:szCs w:val="20"/>
                <w:highlight w:val="none"/>
              </w:rPr>
              <w:t>批复规模</w:t>
            </w:r>
            <w:r>
              <w:rPr>
                <w:rFonts w:hint="eastAsia" w:ascii="仿宋_GB2312" w:hAnsi="仿宋_GB2312" w:eastAsia="仿宋_GB2312" w:cs="仿宋_GB2312"/>
                <w:bCs/>
                <w:sz w:val="20"/>
                <w:szCs w:val="20"/>
                <w:highlight w:val="none"/>
              </w:rPr>
              <w:br w:type="textWrapping"/>
            </w:r>
            <w:r>
              <w:rPr>
                <w:rFonts w:hint="eastAsia" w:ascii="仿宋_GB2312" w:hAnsi="仿宋_GB2312" w:eastAsia="仿宋_GB2312" w:cs="仿宋_GB2312"/>
                <w:bCs/>
                <w:sz w:val="20"/>
                <w:szCs w:val="20"/>
                <w:highlight w:val="none"/>
              </w:rPr>
              <w:t>（㎡）</w:t>
            </w:r>
          </w:p>
        </w:tc>
        <w:tc>
          <w:tcPr>
            <w:tcW w:w="849" w:type="dxa"/>
            <w:tcBorders>
              <w:top w:val="nil"/>
              <w:left w:val="nil"/>
              <w:bottom w:val="single" w:color="auto" w:sz="4" w:space="0"/>
              <w:right w:val="single" w:color="auto" w:sz="4" w:space="0"/>
            </w:tcBorders>
            <w:noWrap w:val="0"/>
            <w:vAlign w:val="center"/>
          </w:tcPr>
          <w:p w14:paraId="43495D2D">
            <w:pPr>
              <w:widowControl/>
              <w:spacing w:line="360" w:lineRule="exact"/>
              <w:jc w:val="center"/>
              <w:rPr>
                <w:rFonts w:hint="eastAsia" w:ascii="仿宋_GB2312" w:hAnsi="仿宋_GB2312" w:eastAsia="仿宋_GB2312" w:cs="仿宋_GB2312"/>
                <w:bCs/>
                <w:sz w:val="20"/>
                <w:szCs w:val="20"/>
                <w:highlight w:val="none"/>
              </w:rPr>
            </w:pPr>
            <w:r>
              <w:rPr>
                <w:rFonts w:hint="eastAsia" w:ascii="仿宋_GB2312" w:hAnsi="仿宋_GB2312" w:eastAsia="仿宋_GB2312" w:cs="仿宋_GB2312"/>
                <w:bCs/>
                <w:sz w:val="20"/>
                <w:szCs w:val="20"/>
                <w:highlight w:val="none"/>
              </w:rPr>
              <w:t>实际规模（㎡）</w:t>
            </w:r>
          </w:p>
        </w:tc>
        <w:tc>
          <w:tcPr>
            <w:tcW w:w="1129" w:type="dxa"/>
            <w:tcBorders>
              <w:top w:val="nil"/>
              <w:left w:val="nil"/>
              <w:bottom w:val="single" w:color="auto" w:sz="4" w:space="0"/>
              <w:right w:val="single" w:color="auto" w:sz="4" w:space="0"/>
            </w:tcBorders>
            <w:noWrap w:val="0"/>
            <w:vAlign w:val="center"/>
          </w:tcPr>
          <w:p w14:paraId="365DF46C">
            <w:pPr>
              <w:widowControl/>
              <w:spacing w:line="360" w:lineRule="exact"/>
              <w:jc w:val="center"/>
              <w:rPr>
                <w:rFonts w:hint="eastAsia" w:ascii="仿宋_GB2312" w:hAnsi="仿宋_GB2312" w:eastAsia="仿宋_GB2312" w:cs="仿宋_GB2312"/>
                <w:bCs/>
                <w:sz w:val="20"/>
                <w:szCs w:val="20"/>
                <w:highlight w:val="none"/>
              </w:rPr>
            </w:pPr>
            <w:r>
              <w:rPr>
                <w:rFonts w:hint="eastAsia" w:ascii="仿宋_GB2312" w:hAnsi="仿宋_GB2312" w:eastAsia="仿宋_GB2312" w:cs="仿宋_GB2312"/>
                <w:bCs/>
                <w:sz w:val="20"/>
                <w:szCs w:val="20"/>
                <w:highlight w:val="none"/>
              </w:rPr>
              <w:t>规模控制率</w:t>
            </w:r>
          </w:p>
        </w:tc>
        <w:tc>
          <w:tcPr>
            <w:tcW w:w="1111" w:type="dxa"/>
            <w:tcBorders>
              <w:top w:val="nil"/>
              <w:left w:val="nil"/>
              <w:bottom w:val="single" w:color="auto" w:sz="4" w:space="0"/>
              <w:right w:val="single" w:color="auto" w:sz="4" w:space="0"/>
            </w:tcBorders>
            <w:noWrap w:val="0"/>
            <w:vAlign w:val="center"/>
          </w:tcPr>
          <w:p w14:paraId="102CBFAA">
            <w:pPr>
              <w:widowControl/>
              <w:spacing w:line="360" w:lineRule="exact"/>
              <w:jc w:val="center"/>
              <w:rPr>
                <w:rFonts w:hint="eastAsia" w:ascii="仿宋_GB2312" w:hAnsi="仿宋_GB2312" w:eastAsia="仿宋_GB2312" w:cs="仿宋_GB2312"/>
                <w:bCs/>
                <w:sz w:val="20"/>
                <w:szCs w:val="20"/>
                <w:highlight w:val="none"/>
              </w:rPr>
            </w:pPr>
            <w:r>
              <w:rPr>
                <w:rFonts w:hint="eastAsia" w:ascii="仿宋_GB2312" w:hAnsi="仿宋_GB2312" w:eastAsia="仿宋_GB2312" w:cs="仿宋_GB2312"/>
                <w:bCs/>
                <w:sz w:val="20"/>
                <w:szCs w:val="20"/>
                <w:highlight w:val="none"/>
              </w:rPr>
              <w:t>预算投资（万元）</w:t>
            </w:r>
          </w:p>
        </w:tc>
        <w:tc>
          <w:tcPr>
            <w:tcW w:w="1081" w:type="dxa"/>
            <w:tcBorders>
              <w:top w:val="nil"/>
              <w:left w:val="nil"/>
              <w:bottom w:val="single" w:color="auto" w:sz="4" w:space="0"/>
              <w:right w:val="single" w:color="auto" w:sz="4" w:space="0"/>
            </w:tcBorders>
            <w:noWrap w:val="0"/>
            <w:vAlign w:val="center"/>
          </w:tcPr>
          <w:p w14:paraId="4A12F223">
            <w:pPr>
              <w:widowControl/>
              <w:spacing w:line="360" w:lineRule="exact"/>
              <w:jc w:val="center"/>
              <w:rPr>
                <w:rFonts w:hint="eastAsia" w:ascii="仿宋_GB2312" w:hAnsi="仿宋_GB2312" w:eastAsia="仿宋_GB2312" w:cs="仿宋_GB2312"/>
                <w:bCs/>
                <w:sz w:val="20"/>
                <w:szCs w:val="20"/>
                <w:highlight w:val="none"/>
              </w:rPr>
            </w:pPr>
            <w:r>
              <w:rPr>
                <w:rFonts w:hint="eastAsia" w:ascii="仿宋_GB2312" w:hAnsi="仿宋_GB2312" w:eastAsia="仿宋_GB2312" w:cs="仿宋_GB2312"/>
                <w:bCs/>
                <w:sz w:val="20"/>
                <w:szCs w:val="20"/>
                <w:highlight w:val="none"/>
              </w:rPr>
              <w:t>实际投资（万元）</w:t>
            </w:r>
          </w:p>
        </w:tc>
        <w:tc>
          <w:tcPr>
            <w:tcW w:w="960" w:type="dxa"/>
            <w:tcBorders>
              <w:top w:val="nil"/>
              <w:left w:val="nil"/>
              <w:bottom w:val="single" w:color="auto" w:sz="4" w:space="0"/>
              <w:right w:val="single" w:color="auto" w:sz="4" w:space="0"/>
            </w:tcBorders>
            <w:noWrap w:val="0"/>
            <w:vAlign w:val="center"/>
          </w:tcPr>
          <w:p w14:paraId="7E8F4536">
            <w:pPr>
              <w:widowControl/>
              <w:spacing w:line="360" w:lineRule="exact"/>
              <w:jc w:val="center"/>
              <w:rPr>
                <w:rFonts w:hint="eastAsia" w:ascii="仿宋_GB2312" w:hAnsi="仿宋_GB2312" w:eastAsia="仿宋_GB2312" w:cs="仿宋_GB2312"/>
                <w:bCs/>
                <w:sz w:val="20"/>
                <w:szCs w:val="20"/>
                <w:highlight w:val="none"/>
              </w:rPr>
            </w:pPr>
            <w:r>
              <w:rPr>
                <w:rFonts w:hint="eastAsia" w:ascii="仿宋_GB2312" w:hAnsi="仿宋_GB2312" w:eastAsia="仿宋_GB2312" w:cs="仿宋_GB2312"/>
                <w:bCs/>
                <w:sz w:val="20"/>
                <w:szCs w:val="20"/>
                <w:highlight w:val="none"/>
              </w:rPr>
              <w:t>投资概算控制率</w:t>
            </w:r>
          </w:p>
        </w:tc>
      </w:tr>
      <w:tr w14:paraId="39DE4A9B">
        <w:tblPrEx>
          <w:tblCellMar>
            <w:top w:w="0" w:type="dxa"/>
            <w:left w:w="108" w:type="dxa"/>
            <w:bottom w:w="0" w:type="dxa"/>
            <w:right w:w="108" w:type="dxa"/>
          </w:tblCellMar>
        </w:tblPrEx>
        <w:trPr>
          <w:trHeight w:val="0" w:hRule="atLeast"/>
          <w:jc w:val="center"/>
        </w:trPr>
        <w:tc>
          <w:tcPr>
            <w:tcW w:w="3354" w:type="dxa"/>
            <w:vMerge w:val="continue"/>
            <w:tcBorders>
              <w:top w:val="nil"/>
              <w:left w:val="single" w:color="auto" w:sz="4" w:space="0"/>
              <w:bottom w:val="single" w:color="auto" w:sz="4" w:space="0"/>
              <w:right w:val="single" w:color="auto" w:sz="4" w:space="0"/>
            </w:tcBorders>
            <w:noWrap w:val="0"/>
            <w:vAlign w:val="center"/>
          </w:tcPr>
          <w:p w14:paraId="70CE5958">
            <w:pPr>
              <w:widowControl/>
              <w:spacing w:line="360" w:lineRule="exact"/>
              <w:jc w:val="left"/>
              <w:rPr>
                <w:rFonts w:hint="eastAsia" w:ascii="仿宋_GB2312" w:hAnsi="仿宋_GB2312" w:eastAsia="仿宋_GB2312" w:cs="仿宋_GB2312"/>
                <w:sz w:val="20"/>
                <w:szCs w:val="20"/>
                <w:highlight w:val="none"/>
              </w:rPr>
            </w:pPr>
          </w:p>
        </w:tc>
        <w:tc>
          <w:tcPr>
            <w:tcW w:w="1189" w:type="dxa"/>
            <w:tcBorders>
              <w:top w:val="nil"/>
              <w:left w:val="nil"/>
              <w:bottom w:val="single" w:color="auto" w:sz="4" w:space="0"/>
              <w:right w:val="single" w:color="auto" w:sz="4" w:space="0"/>
            </w:tcBorders>
            <w:noWrap w:val="0"/>
            <w:vAlign w:val="center"/>
          </w:tcPr>
          <w:p w14:paraId="75F3DAC0">
            <w:pPr>
              <w:widowControl/>
              <w:spacing w:line="36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0</w:t>
            </w:r>
          </w:p>
        </w:tc>
        <w:tc>
          <w:tcPr>
            <w:tcW w:w="849" w:type="dxa"/>
            <w:tcBorders>
              <w:top w:val="nil"/>
              <w:left w:val="nil"/>
              <w:bottom w:val="single" w:color="auto" w:sz="4" w:space="0"/>
              <w:right w:val="single" w:color="auto" w:sz="4" w:space="0"/>
            </w:tcBorders>
            <w:noWrap w:val="0"/>
            <w:vAlign w:val="center"/>
          </w:tcPr>
          <w:p w14:paraId="2C8E3936">
            <w:pPr>
              <w:widowControl/>
              <w:spacing w:line="36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0</w:t>
            </w:r>
          </w:p>
        </w:tc>
        <w:tc>
          <w:tcPr>
            <w:tcW w:w="1129" w:type="dxa"/>
            <w:tcBorders>
              <w:top w:val="nil"/>
              <w:left w:val="nil"/>
              <w:bottom w:val="single" w:color="auto" w:sz="4" w:space="0"/>
              <w:right w:val="single" w:color="auto" w:sz="4" w:space="0"/>
            </w:tcBorders>
            <w:noWrap w:val="0"/>
            <w:vAlign w:val="center"/>
          </w:tcPr>
          <w:p w14:paraId="46DF43FF">
            <w:pPr>
              <w:widowControl/>
              <w:spacing w:line="36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0</w:t>
            </w:r>
          </w:p>
        </w:tc>
        <w:tc>
          <w:tcPr>
            <w:tcW w:w="1111" w:type="dxa"/>
            <w:tcBorders>
              <w:top w:val="nil"/>
              <w:left w:val="nil"/>
              <w:bottom w:val="single" w:color="auto" w:sz="4" w:space="0"/>
              <w:right w:val="single" w:color="auto" w:sz="4" w:space="0"/>
            </w:tcBorders>
            <w:noWrap w:val="0"/>
            <w:vAlign w:val="center"/>
          </w:tcPr>
          <w:p w14:paraId="0728E77D">
            <w:pPr>
              <w:widowControl/>
              <w:spacing w:line="36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0</w:t>
            </w:r>
          </w:p>
        </w:tc>
        <w:tc>
          <w:tcPr>
            <w:tcW w:w="1081" w:type="dxa"/>
            <w:tcBorders>
              <w:top w:val="nil"/>
              <w:left w:val="nil"/>
              <w:bottom w:val="single" w:color="auto" w:sz="4" w:space="0"/>
              <w:right w:val="single" w:color="auto" w:sz="4" w:space="0"/>
            </w:tcBorders>
            <w:noWrap w:val="0"/>
            <w:vAlign w:val="center"/>
          </w:tcPr>
          <w:p w14:paraId="65DBD0DA">
            <w:pPr>
              <w:widowControl/>
              <w:spacing w:line="36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0</w:t>
            </w:r>
          </w:p>
        </w:tc>
        <w:tc>
          <w:tcPr>
            <w:tcW w:w="960" w:type="dxa"/>
            <w:tcBorders>
              <w:top w:val="nil"/>
              <w:left w:val="nil"/>
              <w:bottom w:val="single" w:color="auto" w:sz="4" w:space="0"/>
              <w:right w:val="single" w:color="auto" w:sz="4" w:space="0"/>
            </w:tcBorders>
            <w:noWrap w:val="0"/>
            <w:vAlign w:val="center"/>
          </w:tcPr>
          <w:p w14:paraId="041F7200">
            <w:pPr>
              <w:widowControl/>
              <w:spacing w:line="36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0</w:t>
            </w:r>
          </w:p>
        </w:tc>
      </w:tr>
      <w:tr w14:paraId="42EC5853">
        <w:tblPrEx>
          <w:tblCellMar>
            <w:top w:w="0" w:type="dxa"/>
            <w:left w:w="108" w:type="dxa"/>
            <w:bottom w:w="0" w:type="dxa"/>
            <w:right w:w="108" w:type="dxa"/>
          </w:tblCellMar>
        </w:tblPrEx>
        <w:trPr>
          <w:trHeight w:val="1605" w:hRule="atLeast"/>
          <w:jc w:val="center"/>
        </w:trPr>
        <w:tc>
          <w:tcPr>
            <w:tcW w:w="3354" w:type="dxa"/>
            <w:tcBorders>
              <w:top w:val="nil"/>
              <w:left w:val="single" w:color="auto" w:sz="4" w:space="0"/>
              <w:bottom w:val="single" w:color="auto" w:sz="4" w:space="0"/>
              <w:right w:val="single" w:color="auto" w:sz="4" w:space="0"/>
            </w:tcBorders>
            <w:noWrap w:val="0"/>
            <w:vAlign w:val="center"/>
          </w:tcPr>
          <w:p w14:paraId="71FDBE0E">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厉行节约保障措施</w:t>
            </w:r>
          </w:p>
        </w:tc>
        <w:tc>
          <w:tcPr>
            <w:tcW w:w="6319" w:type="dxa"/>
            <w:gridSpan w:val="6"/>
            <w:tcBorders>
              <w:top w:val="single" w:color="auto" w:sz="4" w:space="0"/>
              <w:left w:val="nil"/>
              <w:bottom w:val="single" w:color="auto" w:sz="4" w:space="0"/>
              <w:right w:val="single" w:color="000000" w:sz="4" w:space="0"/>
            </w:tcBorders>
            <w:noWrap w:val="0"/>
            <w:vAlign w:val="center"/>
          </w:tcPr>
          <w:p w14:paraId="0B10407B">
            <w:pPr>
              <w:widowControl/>
              <w:spacing w:line="360" w:lineRule="exact"/>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xml:space="preserve"> </w:t>
            </w:r>
            <w:r>
              <w:rPr>
                <w:rFonts w:hint="eastAsia" w:ascii="仿宋_GB2312" w:hAnsi="仿宋_GB2312" w:eastAsia="仿宋_GB2312" w:cs="仿宋_GB2312"/>
                <w:sz w:val="20"/>
                <w:szCs w:val="20"/>
                <w:highlight w:val="none"/>
                <w:lang w:val="en-US" w:eastAsia="zh-CN"/>
              </w:rPr>
              <w:t xml:space="preserve"> </w:t>
            </w:r>
            <w:r>
              <w:rPr>
                <w:rFonts w:hint="eastAsia" w:ascii="仿宋_GB2312" w:hAnsi="仿宋_GB2312" w:eastAsia="仿宋_GB2312" w:cs="仿宋_GB2312"/>
                <w:sz w:val="20"/>
                <w:szCs w:val="20"/>
                <w:highlight w:val="none"/>
              </w:rPr>
              <w:t>1.党员干部起模范带头作用，精打细算，厉行节约</w:t>
            </w:r>
            <w:r>
              <w:rPr>
                <w:rFonts w:hint="eastAsia" w:ascii="仿宋_GB2312" w:hAnsi="仿宋_GB2312" w:eastAsia="仿宋_GB2312" w:cs="仿宋_GB2312"/>
                <w:sz w:val="20"/>
                <w:szCs w:val="20"/>
                <w:highlight w:val="none"/>
                <w:lang w:eastAsia="zh-CN"/>
              </w:rPr>
              <w:t>，</w:t>
            </w:r>
            <w:r>
              <w:rPr>
                <w:rFonts w:hint="eastAsia" w:ascii="仿宋_GB2312" w:hAnsi="仿宋_GB2312" w:eastAsia="仿宋_GB2312" w:cs="仿宋_GB2312"/>
                <w:sz w:val="20"/>
                <w:szCs w:val="20"/>
                <w:highlight w:val="none"/>
              </w:rPr>
              <w:t>严格控制公用经费。</w:t>
            </w:r>
          </w:p>
          <w:p w14:paraId="605A0CFA">
            <w:pPr>
              <w:widowControl/>
              <w:spacing w:line="360" w:lineRule="exact"/>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xml:space="preserve">  </w:t>
            </w:r>
            <w:r>
              <w:rPr>
                <w:rFonts w:hint="eastAsia" w:ascii="仿宋_GB2312" w:hAnsi="仿宋_GB2312" w:eastAsia="仿宋_GB2312" w:cs="仿宋_GB2312"/>
                <w:sz w:val="20"/>
                <w:szCs w:val="20"/>
                <w:highlight w:val="none"/>
                <w:lang w:val="en-US" w:eastAsia="zh-CN"/>
              </w:rPr>
              <w:t>2</w:t>
            </w:r>
            <w:r>
              <w:rPr>
                <w:rFonts w:hint="eastAsia" w:ascii="仿宋_GB2312" w:hAnsi="仿宋_GB2312" w:eastAsia="仿宋_GB2312" w:cs="仿宋_GB2312"/>
                <w:sz w:val="20"/>
                <w:szCs w:val="20"/>
                <w:highlight w:val="none"/>
              </w:rPr>
              <w:t>.加强对预算管理及财务收支管理。严格</w:t>
            </w:r>
            <w:r>
              <w:rPr>
                <w:rFonts w:hint="eastAsia" w:ascii="仿宋_GB2312" w:hAnsi="仿宋_GB2312" w:eastAsia="仿宋_GB2312" w:cs="仿宋_GB2312"/>
                <w:sz w:val="20"/>
                <w:szCs w:val="20"/>
                <w:highlight w:val="none"/>
                <w:lang w:val="en-US" w:eastAsia="zh-CN"/>
              </w:rPr>
              <w:t>按</w:t>
            </w:r>
            <w:r>
              <w:rPr>
                <w:rFonts w:hint="eastAsia" w:ascii="仿宋_GB2312" w:hAnsi="仿宋_GB2312" w:eastAsia="仿宋_GB2312" w:cs="仿宋_GB2312"/>
                <w:sz w:val="20"/>
                <w:szCs w:val="20"/>
                <w:highlight w:val="none"/>
              </w:rPr>
              <w:t>照“先有预算后有支出”预算管理要求，控制经费预算，对超预算资金严格管控；加强财务收支管理，对支出每笔费用认真审核，对不符合规定的费用拒绝支付，把控资金支付的合规性、合法性、准确性。　　</w:t>
            </w:r>
          </w:p>
        </w:tc>
      </w:tr>
    </w:tbl>
    <w:p w14:paraId="1C22EB89">
      <w:pPr>
        <w:widowControl/>
        <w:spacing w:afterLines="0" w:line="400" w:lineRule="exact"/>
        <w:ind w:left="660" w:hanging="660" w:hangingChars="300"/>
        <w:jc w:val="left"/>
        <w:rPr>
          <w:rFonts w:hint="default" w:ascii="Times New Roman" w:hAnsi="Times New Roman" w:eastAsia="仿宋_GB2312" w:cs="Times New Roman"/>
          <w:sz w:val="22"/>
          <w:highlight w:val="none"/>
        </w:rPr>
      </w:pPr>
      <w:r>
        <w:rPr>
          <w:rFonts w:hint="default" w:ascii="Times New Roman" w:hAnsi="Times New Roman" w:eastAsia="仿宋_GB2312" w:cs="Times New Roman"/>
          <w:sz w:val="22"/>
          <w:highlight w:val="none"/>
        </w:rPr>
        <w:t>说明：“项目支出”需要填报基本支出以外的所有项目支出情况，“公用经费”填报基本支出中的一般商品和服务支出。</w:t>
      </w:r>
    </w:p>
    <w:p w14:paraId="49FDF7F7">
      <w:pPr>
        <w:widowControl/>
        <w:spacing w:after="0" w:afterLines="0" w:line="400" w:lineRule="exact"/>
        <w:jc w:val="left"/>
        <w:rPr>
          <w:rFonts w:hint="default" w:ascii="Times New Roman" w:hAnsi="Times New Roman" w:eastAsia="仿宋_GB2312" w:cs="Times New Roman"/>
          <w:sz w:val="22"/>
          <w:szCs w:val="22"/>
          <w:highlight w:val="none"/>
        </w:rPr>
      </w:pPr>
      <w:r>
        <w:rPr>
          <w:rFonts w:hint="default" w:ascii="Times New Roman" w:hAnsi="Times New Roman" w:eastAsia="仿宋_GB2312" w:cs="Times New Roman"/>
          <w:sz w:val="22"/>
          <w:szCs w:val="22"/>
          <w:highlight w:val="none"/>
        </w:rPr>
        <w:t xml:space="preserve">填表人：       </w:t>
      </w:r>
      <w:r>
        <w:rPr>
          <w:rFonts w:hint="eastAsia" w:ascii="Times New Roman" w:hAnsi="Times New Roman" w:eastAsia="仿宋_GB2312" w:cs="Times New Roman"/>
          <w:sz w:val="22"/>
          <w:szCs w:val="22"/>
          <w:highlight w:val="none"/>
          <w:lang w:val="en-US" w:eastAsia="zh-CN"/>
        </w:rPr>
        <w:t xml:space="preserve"> </w:t>
      </w:r>
      <w:r>
        <w:rPr>
          <w:rFonts w:hint="default" w:ascii="Times New Roman" w:hAnsi="Times New Roman" w:eastAsia="仿宋_GB2312" w:cs="Times New Roman"/>
          <w:sz w:val="22"/>
          <w:szCs w:val="22"/>
          <w:highlight w:val="none"/>
        </w:rPr>
        <w:t xml:space="preserve">填报日期：     </w:t>
      </w:r>
      <w:r>
        <w:rPr>
          <w:rFonts w:hint="eastAsia" w:ascii="Times New Roman" w:hAnsi="Times New Roman" w:eastAsia="仿宋_GB2312" w:cs="Times New Roman"/>
          <w:sz w:val="22"/>
          <w:szCs w:val="22"/>
          <w:highlight w:val="none"/>
          <w:lang w:val="en-US" w:eastAsia="zh-CN"/>
        </w:rPr>
        <w:t xml:space="preserve">      </w:t>
      </w:r>
      <w:r>
        <w:rPr>
          <w:rFonts w:hint="default" w:ascii="Times New Roman" w:hAnsi="Times New Roman" w:eastAsia="仿宋_GB2312" w:cs="Times New Roman"/>
          <w:sz w:val="22"/>
          <w:szCs w:val="22"/>
          <w:highlight w:val="none"/>
        </w:rPr>
        <w:t xml:space="preserve">联系电话：   </w:t>
      </w:r>
      <w:r>
        <w:rPr>
          <w:rFonts w:hint="eastAsia" w:ascii="Times New Roman" w:hAnsi="Times New Roman" w:eastAsia="仿宋_GB2312" w:cs="Times New Roman"/>
          <w:sz w:val="22"/>
          <w:szCs w:val="22"/>
          <w:highlight w:val="none"/>
          <w:lang w:val="en-US" w:eastAsia="zh-CN"/>
        </w:rPr>
        <w:t xml:space="preserve">         </w:t>
      </w:r>
      <w:r>
        <w:rPr>
          <w:rFonts w:hint="default" w:ascii="Times New Roman" w:hAnsi="Times New Roman" w:eastAsia="仿宋_GB2312" w:cs="Times New Roman"/>
          <w:sz w:val="22"/>
          <w:szCs w:val="22"/>
          <w:highlight w:val="none"/>
        </w:rPr>
        <w:t xml:space="preserve"> 单位负责人签字：</w:t>
      </w:r>
      <w:r>
        <w:rPr>
          <w:rFonts w:hint="default" w:ascii="Times New Roman" w:hAnsi="Times New Roman" w:eastAsia="仿宋_GB2312" w:cs="Times New Roman"/>
          <w:sz w:val="22"/>
          <w:szCs w:val="22"/>
          <w:highlight w:val="none"/>
        </w:rPr>
        <w:br w:type="page"/>
      </w:r>
    </w:p>
    <w:p w14:paraId="537035E7">
      <w:pPr>
        <w:widowControl/>
        <w:spacing w:after="0" w:afterLines="0" w:line="400" w:lineRule="exact"/>
        <w:jc w:val="left"/>
        <w:rPr>
          <w:rFonts w:hint="eastAsia" w:ascii="黑体" w:hAnsi="黑体" w:eastAsia="黑体" w:cs="黑体"/>
          <w:sz w:val="32"/>
          <w:szCs w:val="32"/>
          <w:highlight w:val="none"/>
          <w:lang w:val="en-US" w:eastAsia="zh-CN"/>
        </w:rPr>
      </w:pPr>
      <w:r>
        <w:rPr>
          <w:rFonts w:hint="eastAsia" w:ascii="黑体" w:hAnsi="黑体" w:eastAsia="黑体" w:cs="黑体"/>
          <w:sz w:val="32"/>
          <w:szCs w:val="32"/>
          <w:highlight w:val="none"/>
        </w:rPr>
        <w:t>附件</w:t>
      </w:r>
      <w:r>
        <w:rPr>
          <w:rFonts w:hint="eastAsia" w:ascii="黑体" w:hAnsi="黑体" w:eastAsia="黑体" w:cs="黑体"/>
          <w:sz w:val="32"/>
          <w:szCs w:val="32"/>
          <w:highlight w:val="none"/>
          <w:lang w:val="en-US" w:eastAsia="zh-CN"/>
        </w:rPr>
        <w:t>2</w:t>
      </w:r>
    </w:p>
    <w:p w14:paraId="2FC5755F">
      <w:pPr>
        <w:widowControl/>
        <w:spacing w:after="120" w:afterLines="50"/>
        <w:jc w:val="center"/>
        <w:rPr>
          <w:rFonts w:hint="eastAsia" w:ascii="方正小标宋简体" w:hAnsi="方正小标宋简体" w:eastAsia="方正小标宋简体" w:cs="方正小标宋简体"/>
          <w:color w:val="000000"/>
          <w:sz w:val="36"/>
          <w:szCs w:val="36"/>
          <w:highlight w:val="none"/>
        </w:rPr>
      </w:pPr>
      <w:r>
        <w:rPr>
          <w:rFonts w:hint="eastAsia" w:ascii="方正小标宋简体" w:hAnsi="方正小标宋简体" w:eastAsia="方正小标宋简体" w:cs="方正小标宋简体"/>
          <w:color w:val="000000"/>
          <w:sz w:val="36"/>
          <w:szCs w:val="36"/>
          <w:highlight w:val="none"/>
        </w:rPr>
        <w:t>202</w:t>
      </w:r>
      <w:r>
        <w:rPr>
          <w:rFonts w:hint="eastAsia" w:ascii="方正小标宋简体" w:hAnsi="方正小标宋简体" w:eastAsia="方正小标宋简体" w:cs="方正小标宋简体"/>
          <w:color w:val="000000"/>
          <w:sz w:val="36"/>
          <w:szCs w:val="36"/>
          <w:highlight w:val="none"/>
          <w:lang w:val="en-US" w:eastAsia="zh-CN"/>
        </w:rPr>
        <w:t>4</w:t>
      </w:r>
      <w:r>
        <w:rPr>
          <w:rFonts w:hint="eastAsia" w:ascii="方正小标宋简体" w:hAnsi="方正小标宋简体" w:eastAsia="方正小标宋简体" w:cs="方正小标宋简体"/>
          <w:color w:val="000000"/>
          <w:sz w:val="36"/>
          <w:szCs w:val="36"/>
          <w:highlight w:val="none"/>
        </w:rPr>
        <w:t>年度部门整体支出绩效自评表</w:t>
      </w:r>
    </w:p>
    <w:tbl>
      <w:tblPr>
        <w:tblStyle w:val="9"/>
        <w:tblW w:w="10079" w:type="dxa"/>
        <w:jc w:val="center"/>
        <w:tblLayout w:type="autofit"/>
        <w:tblCellMar>
          <w:top w:w="0" w:type="dxa"/>
          <w:left w:w="108" w:type="dxa"/>
          <w:bottom w:w="0" w:type="dxa"/>
          <w:right w:w="108" w:type="dxa"/>
        </w:tblCellMar>
      </w:tblPr>
      <w:tblGrid>
        <w:gridCol w:w="1080"/>
        <w:gridCol w:w="1080"/>
        <w:gridCol w:w="1034"/>
        <w:gridCol w:w="1507"/>
        <w:gridCol w:w="1234"/>
        <w:gridCol w:w="1247"/>
        <w:gridCol w:w="578"/>
        <w:gridCol w:w="873"/>
        <w:gridCol w:w="1446"/>
      </w:tblGrid>
      <w:tr w14:paraId="40B7FF58">
        <w:tblPrEx>
          <w:tblCellMar>
            <w:top w:w="0" w:type="dxa"/>
            <w:left w:w="108" w:type="dxa"/>
            <w:bottom w:w="0" w:type="dxa"/>
            <w:right w:w="108" w:type="dxa"/>
          </w:tblCellMar>
        </w:tblPrEx>
        <w:trPr>
          <w:trHeight w:val="389" w:hRule="atLeast"/>
          <w:jc w:val="center"/>
        </w:trPr>
        <w:tc>
          <w:tcPr>
            <w:tcW w:w="1080" w:type="dxa"/>
            <w:tcBorders>
              <w:top w:val="single" w:color="auto" w:sz="4" w:space="0"/>
              <w:left w:val="single" w:color="auto" w:sz="4" w:space="0"/>
              <w:bottom w:val="single" w:color="auto" w:sz="4" w:space="0"/>
              <w:right w:val="single" w:color="auto" w:sz="4" w:space="0"/>
            </w:tcBorders>
            <w:noWrap w:val="0"/>
            <w:vAlign w:val="center"/>
          </w:tcPr>
          <w:p w14:paraId="1531092D">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eastAsia="zh-CN"/>
              </w:rPr>
              <w:t>市</w:t>
            </w:r>
            <w:r>
              <w:rPr>
                <w:rFonts w:hint="eastAsia" w:ascii="仿宋_GB2312" w:hAnsi="仿宋_GB2312" w:eastAsia="仿宋_GB2312" w:cs="仿宋_GB2312"/>
                <w:color w:val="000000"/>
                <w:sz w:val="20"/>
                <w:szCs w:val="20"/>
                <w:highlight w:val="none"/>
              </w:rPr>
              <w:t>级预算部门名称</w:t>
            </w:r>
          </w:p>
        </w:tc>
        <w:tc>
          <w:tcPr>
            <w:tcW w:w="8999" w:type="dxa"/>
            <w:gridSpan w:val="8"/>
            <w:tcBorders>
              <w:top w:val="single" w:color="auto" w:sz="4" w:space="0"/>
              <w:left w:val="nil"/>
              <w:bottom w:val="single" w:color="auto" w:sz="4" w:space="0"/>
              <w:right w:val="single" w:color="auto" w:sz="4" w:space="0"/>
            </w:tcBorders>
            <w:noWrap w:val="0"/>
            <w:vAlign w:val="center"/>
          </w:tcPr>
          <w:p w14:paraId="251F410C">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eastAsia="zh-CN"/>
              </w:rPr>
              <w:t>岳阳市房地产交易中心</w:t>
            </w:r>
            <w:r>
              <w:rPr>
                <w:rFonts w:hint="eastAsia" w:ascii="仿宋_GB2312" w:hAnsi="仿宋_GB2312" w:eastAsia="仿宋_GB2312" w:cs="仿宋_GB2312"/>
                <w:color w:val="000000"/>
                <w:sz w:val="20"/>
                <w:szCs w:val="20"/>
                <w:highlight w:val="none"/>
              </w:rPr>
              <w:t>　</w:t>
            </w:r>
          </w:p>
        </w:tc>
      </w:tr>
      <w:tr w14:paraId="2BAA8010">
        <w:tblPrEx>
          <w:tblCellMar>
            <w:top w:w="0" w:type="dxa"/>
            <w:left w:w="108" w:type="dxa"/>
            <w:bottom w:w="0" w:type="dxa"/>
            <w:right w:w="108" w:type="dxa"/>
          </w:tblCellMar>
        </w:tblPrEx>
        <w:trPr>
          <w:jc w:val="center"/>
        </w:trPr>
        <w:tc>
          <w:tcPr>
            <w:tcW w:w="1080" w:type="dxa"/>
            <w:vMerge w:val="restart"/>
            <w:tcBorders>
              <w:top w:val="nil"/>
              <w:left w:val="single" w:color="auto" w:sz="4" w:space="0"/>
              <w:right w:val="single" w:color="auto" w:sz="4" w:space="0"/>
            </w:tcBorders>
            <w:noWrap w:val="0"/>
            <w:vAlign w:val="center"/>
          </w:tcPr>
          <w:p w14:paraId="2318C2D9">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年度预</w:t>
            </w:r>
          </w:p>
          <w:p w14:paraId="47613977">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算申请</w:t>
            </w:r>
            <w:r>
              <w:rPr>
                <w:rFonts w:hint="eastAsia" w:ascii="仿宋_GB2312" w:hAnsi="仿宋_GB2312" w:eastAsia="仿宋_GB2312" w:cs="仿宋_GB2312"/>
                <w:color w:val="000000"/>
                <w:sz w:val="20"/>
                <w:szCs w:val="20"/>
                <w:highlight w:val="none"/>
              </w:rPr>
              <w:br w:type="textWrapping"/>
            </w:r>
            <w:r>
              <w:rPr>
                <w:rFonts w:hint="eastAsia" w:ascii="仿宋_GB2312" w:hAnsi="仿宋_GB2312" w:eastAsia="仿宋_GB2312" w:cs="仿宋_GB2312"/>
                <w:color w:val="000000"/>
                <w:sz w:val="20"/>
                <w:szCs w:val="20"/>
                <w:highlight w:val="none"/>
              </w:rPr>
              <w:t>（万元）</w:t>
            </w:r>
          </w:p>
        </w:tc>
        <w:tc>
          <w:tcPr>
            <w:tcW w:w="2114" w:type="dxa"/>
            <w:gridSpan w:val="2"/>
            <w:tcBorders>
              <w:top w:val="nil"/>
              <w:left w:val="nil"/>
              <w:bottom w:val="single" w:color="auto" w:sz="4" w:space="0"/>
              <w:right w:val="single" w:color="auto" w:sz="4" w:space="0"/>
            </w:tcBorders>
            <w:noWrap w:val="0"/>
            <w:vAlign w:val="center"/>
          </w:tcPr>
          <w:p w14:paraId="75966535">
            <w:pPr>
              <w:spacing w:line="240" w:lineRule="exact"/>
              <w:jc w:val="center"/>
              <w:rPr>
                <w:rFonts w:hint="eastAsia" w:ascii="仿宋_GB2312" w:hAnsi="仿宋_GB2312" w:eastAsia="仿宋_GB2312" w:cs="仿宋_GB2312"/>
                <w:sz w:val="20"/>
                <w:szCs w:val="20"/>
                <w:highlight w:val="none"/>
              </w:rPr>
            </w:pPr>
          </w:p>
        </w:tc>
        <w:tc>
          <w:tcPr>
            <w:tcW w:w="1507" w:type="dxa"/>
            <w:tcBorders>
              <w:top w:val="nil"/>
              <w:left w:val="nil"/>
              <w:bottom w:val="single" w:color="auto" w:sz="4" w:space="0"/>
              <w:right w:val="single" w:color="auto" w:sz="4" w:space="0"/>
            </w:tcBorders>
            <w:noWrap w:val="0"/>
            <w:vAlign w:val="center"/>
          </w:tcPr>
          <w:p w14:paraId="6371F866">
            <w:pPr>
              <w:spacing w:line="24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年初预算数</w:t>
            </w:r>
          </w:p>
        </w:tc>
        <w:tc>
          <w:tcPr>
            <w:tcW w:w="1234" w:type="dxa"/>
            <w:tcBorders>
              <w:top w:val="nil"/>
              <w:left w:val="nil"/>
              <w:bottom w:val="single" w:color="auto" w:sz="4" w:space="0"/>
              <w:right w:val="single" w:color="auto" w:sz="4" w:space="0"/>
            </w:tcBorders>
            <w:noWrap w:val="0"/>
            <w:vAlign w:val="center"/>
          </w:tcPr>
          <w:p w14:paraId="4A624000">
            <w:pPr>
              <w:spacing w:line="24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全年预算数</w:t>
            </w:r>
          </w:p>
        </w:tc>
        <w:tc>
          <w:tcPr>
            <w:tcW w:w="1247" w:type="dxa"/>
            <w:tcBorders>
              <w:top w:val="nil"/>
              <w:left w:val="nil"/>
              <w:bottom w:val="single" w:color="auto" w:sz="4" w:space="0"/>
              <w:right w:val="single" w:color="auto" w:sz="4" w:space="0"/>
            </w:tcBorders>
            <w:noWrap w:val="0"/>
            <w:vAlign w:val="center"/>
          </w:tcPr>
          <w:p w14:paraId="675F3D07">
            <w:pPr>
              <w:spacing w:line="24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全年执行数</w:t>
            </w:r>
          </w:p>
        </w:tc>
        <w:tc>
          <w:tcPr>
            <w:tcW w:w="578" w:type="dxa"/>
            <w:tcBorders>
              <w:top w:val="nil"/>
              <w:left w:val="nil"/>
              <w:bottom w:val="single" w:color="auto" w:sz="4" w:space="0"/>
              <w:right w:val="single" w:color="auto" w:sz="4" w:space="0"/>
            </w:tcBorders>
            <w:noWrap w:val="0"/>
            <w:vAlign w:val="center"/>
          </w:tcPr>
          <w:p w14:paraId="5F5B3739">
            <w:pPr>
              <w:spacing w:line="24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分值</w:t>
            </w:r>
          </w:p>
        </w:tc>
        <w:tc>
          <w:tcPr>
            <w:tcW w:w="873" w:type="dxa"/>
            <w:tcBorders>
              <w:top w:val="nil"/>
              <w:left w:val="nil"/>
              <w:bottom w:val="single" w:color="auto" w:sz="4" w:space="0"/>
              <w:right w:val="single" w:color="auto" w:sz="4" w:space="0"/>
            </w:tcBorders>
            <w:noWrap w:val="0"/>
            <w:vAlign w:val="center"/>
          </w:tcPr>
          <w:p w14:paraId="7CDC340F">
            <w:pPr>
              <w:spacing w:line="24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执行率</w:t>
            </w:r>
          </w:p>
        </w:tc>
        <w:tc>
          <w:tcPr>
            <w:tcW w:w="1446" w:type="dxa"/>
            <w:tcBorders>
              <w:top w:val="nil"/>
              <w:left w:val="nil"/>
              <w:bottom w:val="single" w:color="auto" w:sz="4" w:space="0"/>
              <w:right w:val="single" w:color="auto" w:sz="4" w:space="0"/>
            </w:tcBorders>
            <w:noWrap w:val="0"/>
            <w:vAlign w:val="center"/>
          </w:tcPr>
          <w:p w14:paraId="63298387">
            <w:pPr>
              <w:spacing w:line="24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得分</w:t>
            </w:r>
          </w:p>
        </w:tc>
      </w:tr>
      <w:tr w14:paraId="51D77469">
        <w:tblPrEx>
          <w:tblCellMar>
            <w:top w:w="0" w:type="dxa"/>
            <w:left w:w="108" w:type="dxa"/>
            <w:bottom w:w="0" w:type="dxa"/>
            <w:right w:w="108" w:type="dxa"/>
          </w:tblCellMar>
        </w:tblPrEx>
        <w:trPr>
          <w:jc w:val="center"/>
        </w:trPr>
        <w:tc>
          <w:tcPr>
            <w:tcW w:w="1080" w:type="dxa"/>
            <w:vMerge w:val="continue"/>
            <w:tcBorders>
              <w:top w:val="nil"/>
              <w:left w:val="single" w:color="auto" w:sz="4" w:space="0"/>
              <w:right w:val="single" w:color="auto" w:sz="4" w:space="0"/>
            </w:tcBorders>
            <w:noWrap w:val="0"/>
            <w:vAlign w:val="center"/>
          </w:tcPr>
          <w:p w14:paraId="30265A16">
            <w:pPr>
              <w:widowControl/>
              <w:spacing w:line="240" w:lineRule="exact"/>
              <w:jc w:val="center"/>
              <w:rPr>
                <w:rFonts w:hint="eastAsia" w:ascii="仿宋_GB2312" w:hAnsi="仿宋_GB2312" w:eastAsia="仿宋_GB2312" w:cs="仿宋_GB2312"/>
                <w:color w:val="000000"/>
                <w:sz w:val="20"/>
                <w:szCs w:val="20"/>
                <w:highlight w:val="none"/>
              </w:rPr>
            </w:pPr>
          </w:p>
        </w:tc>
        <w:tc>
          <w:tcPr>
            <w:tcW w:w="2114" w:type="dxa"/>
            <w:gridSpan w:val="2"/>
            <w:tcBorders>
              <w:top w:val="nil"/>
              <w:left w:val="nil"/>
              <w:bottom w:val="single" w:color="auto" w:sz="4" w:space="0"/>
              <w:right w:val="single" w:color="auto" w:sz="4" w:space="0"/>
            </w:tcBorders>
            <w:noWrap w:val="0"/>
            <w:vAlign w:val="center"/>
          </w:tcPr>
          <w:p w14:paraId="4F546DFD">
            <w:pPr>
              <w:spacing w:line="24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color w:val="000000"/>
                <w:sz w:val="20"/>
                <w:szCs w:val="20"/>
                <w:highlight w:val="none"/>
              </w:rPr>
              <w:t>年度资金总额</w:t>
            </w:r>
          </w:p>
        </w:tc>
        <w:tc>
          <w:tcPr>
            <w:tcW w:w="1507" w:type="dxa"/>
            <w:tcBorders>
              <w:top w:val="nil"/>
              <w:left w:val="nil"/>
              <w:bottom w:val="single" w:color="auto" w:sz="4" w:space="0"/>
              <w:right w:val="single" w:color="auto" w:sz="4" w:space="0"/>
            </w:tcBorders>
            <w:noWrap w:val="0"/>
            <w:vAlign w:val="center"/>
          </w:tcPr>
          <w:p w14:paraId="783180DE">
            <w:pPr>
              <w:spacing w:line="240" w:lineRule="exact"/>
              <w:jc w:val="center"/>
              <w:rPr>
                <w:rFonts w:hint="default" w:ascii="仿宋_GB2312" w:hAnsi="仿宋_GB2312" w:eastAsia="仿宋_GB2312" w:cs="仿宋_GB2312"/>
                <w:sz w:val="20"/>
                <w:szCs w:val="20"/>
                <w:highlight w:val="none"/>
                <w:lang w:val="en-US" w:eastAsia="zh-CN"/>
              </w:rPr>
            </w:pPr>
            <w:r>
              <w:rPr>
                <w:rFonts w:hint="default" w:ascii="仿宋_GB2312" w:hAnsi="仿宋_GB2312" w:eastAsia="仿宋_GB2312" w:cs="仿宋_GB2312"/>
                <w:sz w:val="20"/>
                <w:szCs w:val="20"/>
                <w:highlight w:val="none"/>
                <w:lang w:val="en-US"/>
              </w:rPr>
              <w:t>23</w:t>
            </w:r>
            <w:r>
              <w:rPr>
                <w:rFonts w:hint="eastAsia" w:ascii="仿宋_GB2312" w:hAnsi="仿宋_GB2312" w:eastAsia="仿宋_GB2312" w:cs="仿宋_GB2312"/>
                <w:sz w:val="20"/>
                <w:szCs w:val="20"/>
                <w:highlight w:val="none"/>
                <w:lang w:val="en-US" w:eastAsia="zh-CN"/>
              </w:rPr>
              <w:t>1.94</w:t>
            </w:r>
          </w:p>
        </w:tc>
        <w:tc>
          <w:tcPr>
            <w:tcW w:w="1234" w:type="dxa"/>
            <w:tcBorders>
              <w:top w:val="nil"/>
              <w:left w:val="nil"/>
              <w:bottom w:val="single" w:color="auto" w:sz="4" w:space="0"/>
              <w:right w:val="single" w:color="auto" w:sz="4" w:space="0"/>
            </w:tcBorders>
            <w:noWrap w:val="0"/>
            <w:vAlign w:val="center"/>
          </w:tcPr>
          <w:p w14:paraId="5926C4C3">
            <w:pPr>
              <w:spacing w:line="24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301.56</w:t>
            </w:r>
          </w:p>
        </w:tc>
        <w:tc>
          <w:tcPr>
            <w:tcW w:w="1247" w:type="dxa"/>
            <w:tcBorders>
              <w:top w:val="nil"/>
              <w:left w:val="nil"/>
              <w:bottom w:val="single" w:color="auto" w:sz="4" w:space="0"/>
              <w:right w:val="single" w:color="auto" w:sz="4" w:space="0"/>
            </w:tcBorders>
            <w:noWrap w:val="0"/>
            <w:vAlign w:val="center"/>
          </w:tcPr>
          <w:p w14:paraId="07E394ED">
            <w:pPr>
              <w:spacing w:line="24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292.42</w:t>
            </w:r>
          </w:p>
        </w:tc>
        <w:tc>
          <w:tcPr>
            <w:tcW w:w="578" w:type="dxa"/>
            <w:tcBorders>
              <w:top w:val="nil"/>
              <w:left w:val="nil"/>
              <w:bottom w:val="single" w:color="auto" w:sz="4" w:space="0"/>
              <w:right w:val="single" w:color="auto" w:sz="4" w:space="0"/>
            </w:tcBorders>
            <w:noWrap w:val="0"/>
            <w:vAlign w:val="center"/>
          </w:tcPr>
          <w:p w14:paraId="0428A8BA">
            <w:pPr>
              <w:spacing w:line="24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10</w:t>
            </w:r>
          </w:p>
        </w:tc>
        <w:tc>
          <w:tcPr>
            <w:tcW w:w="873" w:type="dxa"/>
            <w:tcBorders>
              <w:top w:val="nil"/>
              <w:left w:val="nil"/>
              <w:bottom w:val="single" w:color="auto" w:sz="4" w:space="0"/>
              <w:right w:val="single" w:color="auto" w:sz="4" w:space="0"/>
            </w:tcBorders>
            <w:noWrap w:val="0"/>
            <w:vAlign w:val="center"/>
          </w:tcPr>
          <w:p w14:paraId="623D9920">
            <w:pPr>
              <w:spacing w:line="240" w:lineRule="exact"/>
              <w:jc w:val="center"/>
              <w:rPr>
                <w:rFonts w:hint="default" w:ascii="仿宋_GB2312" w:hAnsi="仿宋_GB2312" w:eastAsia="仿宋_GB2312" w:cs="仿宋_GB2312"/>
                <w:sz w:val="20"/>
                <w:szCs w:val="20"/>
                <w:highlight w:val="none"/>
                <w:lang w:val="en-US"/>
              </w:rPr>
            </w:pPr>
            <w:r>
              <w:rPr>
                <w:rFonts w:hint="eastAsia" w:ascii="仿宋_GB2312" w:hAnsi="仿宋_GB2312" w:eastAsia="仿宋_GB2312" w:cs="仿宋_GB2312"/>
                <w:sz w:val="20"/>
                <w:szCs w:val="20"/>
                <w:highlight w:val="none"/>
                <w:lang w:val="en-US" w:eastAsia="zh-CN"/>
              </w:rPr>
              <w:t>97.0</w:t>
            </w:r>
            <w:r>
              <w:rPr>
                <w:rFonts w:hint="default" w:ascii="仿宋_GB2312" w:hAnsi="仿宋_GB2312" w:eastAsia="仿宋_GB2312" w:cs="仿宋_GB2312"/>
                <w:sz w:val="20"/>
                <w:szCs w:val="20"/>
                <w:highlight w:val="none"/>
                <w:lang w:val="en-US"/>
              </w:rPr>
              <w:t>%</w:t>
            </w:r>
          </w:p>
        </w:tc>
        <w:tc>
          <w:tcPr>
            <w:tcW w:w="1446" w:type="dxa"/>
            <w:tcBorders>
              <w:top w:val="nil"/>
              <w:left w:val="nil"/>
              <w:bottom w:val="single" w:color="auto" w:sz="4" w:space="0"/>
              <w:right w:val="single" w:color="auto" w:sz="4" w:space="0"/>
            </w:tcBorders>
            <w:noWrap w:val="0"/>
            <w:vAlign w:val="center"/>
          </w:tcPr>
          <w:p w14:paraId="79CA423E">
            <w:pPr>
              <w:spacing w:line="24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9.7</w:t>
            </w:r>
          </w:p>
        </w:tc>
      </w:tr>
      <w:tr w14:paraId="6FCCE1E8">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14:paraId="21FD2FB6">
            <w:pPr>
              <w:widowControl/>
              <w:spacing w:line="240" w:lineRule="exact"/>
              <w:jc w:val="left"/>
              <w:rPr>
                <w:rFonts w:hint="eastAsia" w:ascii="仿宋_GB2312" w:hAnsi="仿宋_GB2312" w:eastAsia="仿宋_GB2312" w:cs="仿宋_GB2312"/>
                <w:color w:val="000000"/>
                <w:sz w:val="20"/>
                <w:szCs w:val="20"/>
                <w:highlight w:val="none"/>
              </w:rPr>
            </w:pPr>
          </w:p>
        </w:tc>
        <w:tc>
          <w:tcPr>
            <w:tcW w:w="4855" w:type="dxa"/>
            <w:gridSpan w:val="4"/>
            <w:tcBorders>
              <w:top w:val="nil"/>
              <w:left w:val="nil"/>
              <w:bottom w:val="single" w:color="auto" w:sz="4" w:space="0"/>
              <w:right w:val="single" w:color="auto" w:sz="4" w:space="0"/>
            </w:tcBorders>
            <w:noWrap w:val="0"/>
            <w:vAlign w:val="center"/>
          </w:tcPr>
          <w:p w14:paraId="1FE66FE0">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按收入性质分：</w:t>
            </w:r>
          </w:p>
        </w:tc>
        <w:tc>
          <w:tcPr>
            <w:tcW w:w="4144" w:type="dxa"/>
            <w:gridSpan w:val="4"/>
            <w:tcBorders>
              <w:top w:val="nil"/>
              <w:left w:val="nil"/>
              <w:bottom w:val="single" w:color="auto" w:sz="4" w:space="0"/>
              <w:right w:val="single" w:color="auto" w:sz="4" w:space="0"/>
            </w:tcBorders>
            <w:noWrap w:val="0"/>
            <w:vAlign w:val="center"/>
          </w:tcPr>
          <w:p w14:paraId="4BBE816B">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按支出性质分：</w:t>
            </w:r>
          </w:p>
        </w:tc>
      </w:tr>
      <w:tr w14:paraId="2DD2D120">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14:paraId="0D807B11">
            <w:pPr>
              <w:widowControl/>
              <w:spacing w:line="240" w:lineRule="exact"/>
              <w:jc w:val="left"/>
              <w:rPr>
                <w:rFonts w:hint="eastAsia" w:ascii="仿宋_GB2312" w:hAnsi="仿宋_GB2312" w:eastAsia="仿宋_GB2312" w:cs="仿宋_GB2312"/>
                <w:color w:val="000000"/>
                <w:sz w:val="20"/>
                <w:szCs w:val="20"/>
                <w:highlight w:val="none"/>
              </w:rPr>
            </w:pPr>
          </w:p>
        </w:tc>
        <w:tc>
          <w:tcPr>
            <w:tcW w:w="4855" w:type="dxa"/>
            <w:gridSpan w:val="4"/>
            <w:tcBorders>
              <w:top w:val="nil"/>
              <w:left w:val="nil"/>
              <w:bottom w:val="single" w:color="auto" w:sz="4" w:space="0"/>
              <w:right w:val="single" w:color="auto" w:sz="4" w:space="0"/>
            </w:tcBorders>
            <w:noWrap w:val="0"/>
            <w:vAlign w:val="center"/>
          </w:tcPr>
          <w:p w14:paraId="5850F818">
            <w:pPr>
              <w:widowControl/>
              <w:spacing w:line="240" w:lineRule="exact"/>
              <w:jc w:val="left"/>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xml:space="preserve">  其中：  一般公共预算：</w:t>
            </w:r>
            <w:r>
              <w:rPr>
                <w:rFonts w:hint="eastAsia" w:ascii="仿宋_GB2312" w:hAnsi="仿宋_GB2312" w:eastAsia="仿宋_GB2312" w:cs="仿宋_GB2312"/>
                <w:color w:val="000000"/>
                <w:sz w:val="20"/>
                <w:szCs w:val="20"/>
                <w:highlight w:val="none"/>
                <w:lang w:val="en-US" w:eastAsia="zh-CN"/>
              </w:rPr>
              <w:t>262.94</w:t>
            </w:r>
          </w:p>
        </w:tc>
        <w:tc>
          <w:tcPr>
            <w:tcW w:w="4144" w:type="dxa"/>
            <w:gridSpan w:val="4"/>
            <w:tcBorders>
              <w:top w:val="nil"/>
              <w:left w:val="nil"/>
              <w:bottom w:val="single" w:color="auto" w:sz="4" w:space="0"/>
              <w:right w:val="single" w:color="auto" w:sz="4" w:space="0"/>
            </w:tcBorders>
            <w:noWrap w:val="0"/>
            <w:vAlign w:val="center"/>
          </w:tcPr>
          <w:p w14:paraId="077844C3">
            <w:pPr>
              <w:widowControl/>
              <w:spacing w:line="240" w:lineRule="exact"/>
              <w:jc w:val="left"/>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其中：基本支出：</w:t>
            </w:r>
            <w:r>
              <w:rPr>
                <w:rFonts w:hint="default" w:ascii="仿宋_GB2312" w:hAnsi="仿宋_GB2312" w:eastAsia="仿宋_GB2312" w:cs="仿宋_GB2312"/>
                <w:color w:val="000000"/>
                <w:sz w:val="20"/>
                <w:szCs w:val="20"/>
                <w:highlight w:val="none"/>
                <w:lang w:val="en-US"/>
              </w:rPr>
              <w:t>26</w:t>
            </w:r>
            <w:r>
              <w:rPr>
                <w:rFonts w:hint="eastAsia" w:ascii="仿宋_GB2312" w:hAnsi="仿宋_GB2312" w:eastAsia="仿宋_GB2312" w:cs="仿宋_GB2312"/>
                <w:color w:val="000000"/>
                <w:sz w:val="20"/>
                <w:szCs w:val="20"/>
                <w:highlight w:val="none"/>
                <w:lang w:val="en-US" w:eastAsia="zh-CN"/>
              </w:rPr>
              <w:t>3.2</w:t>
            </w:r>
          </w:p>
        </w:tc>
      </w:tr>
      <w:tr w14:paraId="44089E75">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14:paraId="10C3BA71">
            <w:pPr>
              <w:widowControl/>
              <w:spacing w:line="240" w:lineRule="exact"/>
              <w:jc w:val="left"/>
              <w:rPr>
                <w:rFonts w:hint="eastAsia" w:ascii="仿宋_GB2312" w:hAnsi="仿宋_GB2312" w:eastAsia="仿宋_GB2312" w:cs="仿宋_GB2312"/>
                <w:color w:val="000000"/>
                <w:sz w:val="20"/>
                <w:szCs w:val="20"/>
                <w:highlight w:val="none"/>
              </w:rPr>
            </w:pPr>
          </w:p>
        </w:tc>
        <w:tc>
          <w:tcPr>
            <w:tcW w:w="4855" w:type="dxa"/>
            <w:gridSpan w:val="4"/>
            <w:tcBorders>
              <w:top w:val="nil"/>
              <w:left w:val="nil"/>
              <w:bottom w:val="single" w:color="auto" w:sz="4" w:space="0"/>
              <w:right w:val="single" w:color="auto" w:sz="4" w:space="0"/>
            </w:tcBorders>
            <w:noWrap w:val="0"/>
            <w:vAlign w:val="center"/>
          </w:tcPr>
          <w:p w14:paraId="7CF0F5C3">
            <w:pPr>
              <w:widowControl/>
              <w:spacing w:line="240" w:lineRule="exact"/>
              <w:ind w:firstLine="800" w:firstLineChars="400"/>
              <w:jc w:val="left"/>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政府性基金拨款：</w:t>
            </w:r>
            <w:r>
              <w:rPr>
                <w:rFonts w:hint="eastAsia" w:ascii="仿宋_GB2312" w:hAnsi="仿宋_GB2312" w:eastAsia="仿宋_GB2312" w:cs="仿宋_GB2312"/>
                <w:color w:val="000000"/>
                <w:sz w:val="20"/>
                <w:szCs w:val="20"/>
                <w:highlight w:val="none"/>
                <w:lang w:val="en-US" w:eastAsia="zh-CN"/>
              </w:rPr>
              <w:t>0</w:t>
            </w:r>
          </w:p>
        </w:tc>
        <w:tc>
          <w:tcPr>
            <w:tcW w:w="4144" w:type="dxa"/>
            <w:gridSpan w:val="4"/>
            <w:tcBorders>
              <w:top w:val="nil"/>
              <w:left w:val="nil"/>
              <w:bottom w:val="single" w:color="auto" w:sz="4" w:space="0"/>
              <w:right w:val="single" w:color="auto" w:sz="4" w:space="0"/>
            </w:tcBorders>
            <w:noWrap w:val="0"/>
            <w:vAlign w:val="center"/>
          </w:tcPr>
          <w:p w14:paraId="4DDDCED4">
            <w:pPr>
              <w:widowControl/>
              <w:spacing w:line="240" w:lineRule="exact"/>
              <w:ind w:firstLine="600" w:firstLineChars="300"/>
              <w:jc w:val="left"/>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项目支出：</w:t>
            </w:r>
            <w:r>
              <w:rPr>
                <w:rFonts w:hint="eastAsia" w:ascii="仿宋_GB2312" w:hAnsi="仿宋_GB2312" w:eastAsia="仿宋_GB2312" w:cs="仿宋_GB2312"/>
                <w:color w:val="000000"/>
                <w:sz w:val="20"/>
                <w:szCs w:val="20"/>
                <w:highlight w:val="none"/>
                <w:lang w:val="en-US" w:eastAsia="zh-CN"/>
              </w:rPr>
              <w:t>29.22</w:t>
            </w:r>
          </w:p>
        </w:tc>
      </w:tr>
      <w:tr w14:paraId="50FB5610">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14:paraId="5F2F0BAD">
            <w:pPr>
              <w:widowControl/>
              <w:spacing w:line="240" w:lineRule="exact"/>
              <w:jc w:val="left"/>
              <w:rPr>
                <w:rFonts w:hint="eastAsia" w:ascii="仿宋_GB2312" w:hAnsi="仿宋_GB2312" w:eastAsia="仿宋_GB2312" w:cs="仿宋_GB2312"/>
                <w:color w:val="000000"/>
                <w:sz w:val="20"/>
                <w:szCs w:val="20"/>
                <w:highlight w:val="none"/>
              </w:rPr>
            </w:pPr>
          </w:p>
        </w:tc>
        <w:tc>
          <w:tcPr>
            <w:tcW w:w="4855" w:type="dxa"/>
            <w:gridSpan w:val="4"/>
            <w:tcBorders>
              <w:top w:val="nil"/>
              <w:left w:val="nil"/>
              <w:bottom w:val="single" w:color="auto" w:sz="4" w:space="0"/>
              <w:right w:val="single" w:color="auto" w:sz="4" w:space="0"/>
            </w:tcBorders>
            <w:noWrap w:val="0"/>
            <w:vAlign w:val="center"/>
          </w:tcPr>
          <w:p w14:paraId="5D89D1E7">
            <w:pPr>
              <w:widowControl/>
              <w:spacing w:line="240" w:lineRule="exact"/>
              <w:jc w:val="left"/>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纳入专户管理的非税收入拨款：</w:t>
            </w:r>
            <w:r>
              <w:rPr>
                <w:rFonts w:hint="eastAsia" w:ascii="仿宋_GB2312" w:hAnsi="仿宋_GB2312" w:eastAsia="仿宋_GB2312" w:cs="仿宋_GB2312"/>
                <w:color w:val="000000"/>
                <w:sz w:val="20"/>
                <w:szCs w:val="20"/>
                <w:highlight w:val="none"/>
                <w:lang w:val="en-US" w:eastAsia="zh-CN"/>
              </w:rPr>
              <w:t xml:space="preserve">0                                                                                                                                                                                                                                                                                                                                                                                                                                                                                                                                                                                                                                                                                                                                                                                                                                                                                                                                                                                                                                                                                                                                                                                                                                                                                                                                                                                                                                                                                                                                                                                                               </w:t>
            </w:r>
          </w:p>
        </w:tc>
        <w:tc>
          <w:tcPr>
            <w:tcW w:w="4144" w:type="dxa"/>
            <w:gridSpan w:val="4"/>
            <w:tcBorders>
              <w:top w:val="nil"/>
              <w:left w:val="nil"/>
              <w:bottom w:val="single" w:color="auto" w:sz="4" w:space="0"/>
              <w:right w:val="single" w:color="auto" w:sz="4" w:space="0"/>
            </w:tcBorders>
            <w:noWrap w:val="0"/>
            <w:vAlign w:val="center"/>
          </w:tcPr>
          <w:p w14:paraId="3D7A7ED1">
            <w:pPr>
              <w:widowControl/>
              <w:spacing w:line="240" w:lineRule="exact"/>
              <w:jc w:val="left"/>
              <w:rPr>
                <w:rFonts w:hint="eastAsia" w:ascii="仿宋_GB2312" w:hAnsi="仿宋_GB2312" w:eastAsia="仿宋_GB2312" w:cs="仿宋_GB2312"/>
                <w:color w:val="000000"/>
                <w:sz w:val="20"/>
                <w:szCs w:val="20"/>
                <w:highlight w:val="none"/>
              </w:rPr>
            </w:pPr>
          </w:p>
        </w:tc>
      </w:tr>
      <w:tr w14:paraId="38CE32C2">
        <w:tblPrEx>
          <w:tblCellMar>
            <w:top w:w="0" w:type="dxa"/>
            <w:left w:w="108" w:type="dxa"/>
            <w:bottom w:w="0" w:type="dxa"/>
            <w:right w:w="108" w:type="dxa"/>
          </w:tblCellMar>
        </w:tblPrEx>
        <w:trPr>
          <w:trHeight w:val="159" w:hRule="atLeast"/>
          <w:jc w:val="center"/>
        </w:trPr>
        <w:tc>
          <w:tcPr>
            <w:tcW w:w="1080" w:type="dxa"/>
            <w:vMerge w:val="continue"/>
            <w:tcBorders>
              <w:left w:val="single" w:color="auto" w:sz="4" w:space="0"/>
              <w:bottom w:val="single" w:color="000000" w:sz="4" w:space="0"/>
              <w:right w:val="single" w:color="auto" w:sz="4" w:space="0"/>
            </w:tcBorders>
            <w:noWrap w:val="0"/>
            <w:vAlign w:val="center"/>
          </w:tcPr>
          <w:p w14:paraId="34BB8C72">
            <w:pPr>
              <w:widowControl/>
              <w:spacing w:line="240" w:lineRule="exact"/>
              <w:jc w:val="left"/>
              <w:rPr>
                <w:rFonts w:hint="eastAsia" w:ascii="仿宋_GB2312" w:hAnsi="仿宋_GB2312" w:eastAsia="仿宋_GB2312" w:cs="仿宋_GB2312"/>
                <w:color w:val="000000"/>
                <w:sz w:val="20"/>
                <w:szCs w:val="20"/>
                <w:highlight w:val="none"/>
              </w:rPr>
            </w:pPr>
          </w:p>
        </w:tc>
        <w:tc>
          <w:tcPr>
            <w:tcW w:w="4855" w:type="dxa"/>
            <w:gridSpan w:val="4"/>
            <w:tcBorders>
              <w:top w:val="nil"/>
              <w:left w:val="nil"/>
              <w:bottom w:val="single" w:color="auto" w:sz="4" w:space="0"/>
              <w:right w:val="single" w:color="auto" w:sz="4" w:space="0"/>
            </w:tcBorders>
            <w:noWrap w:val="0"/>
            <w:vAlign w:val="center"/>
          </w:tcPr>
          <w:p w14:paraId="1847FF35">
            <w:pPr>
              <w:widowControl/>
              <w:spacing w:line="240" w:lineRule="exact"/>
              <w:ind w:firstLine="1400" w:firstLineChars="700"/>
              <w:jc w:val="left"/>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其他资金：</w:t>
            </w:r>
            <w:r>
              <w:rPr>
                <w:rFonts w:hint="eastAsia" w:ascii="仿宋_GB2312" w:hAnsi="仿宋_GB2312" w:eastAsia="仿宋_GB2312" w:cs="仿宋_GB2312"/>
                <w:color w:val="000000"/>
                <w:sz w:val="20"/>
                <w:szCs w:val="20"/>
                <w:highlight w:val="none"/>
                <w:lang w:val="en-US" w:eastAsia="zh-CN"/>
              </w:rPr>
              <w:t>38.62</w:t>
            </w:r>
          </w:p>
        </w:tc>
        <w:tc>
          <w:tcPr>
            <w:tcW w:w="4144" w:type="dxa"/>
            <w:gridSpan w:val="4"/>
            <w:tcBorders>
              <w:top w:val="nil"/>
              <w:left w:val="nil"/>
              <w:bottom w:val="single" w:color="auto" w:sz="4" w:space="0"/>
              <w:right w:val="single" w:color="auto" w:sz="4" w:space="0"/>
            </w:tcBorders>
            <w:noWrap w:val="0"/>
            <w:vAlign w:val="center"/>
          </w:tcPr>
          <w:p w14:paraId="2D931BB9">
            <w:pPr>
              <w:widowControl/>
              <w:spacing w:line="240" w:lineRule="exact"/>
              <w:jc w:val="left"/>
              <w:rPr>
                <w:rFonts w:hint="eastAsia" w:ascii="仿宋_GB2312" w:hAnsi="仿宋_GB2312" w:eastAsia="仿宋_GB2312" w:cs="仿宋_GB2312"/>
                <w:color w:val="000000"/>
                <w:sz w:val="20"/>
                <w:szCs w:val="20"/>
                <w:highlight w:val="none"/>
              </w:rPr>
            </w:pPr>
          </w:p>
        </w:tc>
      </w:tr>
      <w:tr w14:paraId="22384A28">
        <w:tblPrEx>
          <w:tblCellMar>
            <w:top w:w="0" w:type="dxa"/>
            <w:left w:w="108" w:type="dxa"/>
            <w:bottom w:w="0" w:type="dxa"/>
            <w:right w:w="108" w:type="dxa"/>
          </w:tblCellMar>
        </w:tblPrEx>
        <w:trPr>
          <w:jc w:val="center"/>
        </w:trPr>
        <w:tc>
          <w:tcPr>
            <w:tcW w:w="1080" w:type="dxa"/>
            <w:vMerge w:val="restart"/>
            <w:tcBorders>
              <w:top w:val="nil"/>
              <w:left w:val="single" w:color="auto" w:sz="4" w:space="0"/>
              <w:bottom w:val="single" w:color="000000" w:sz="4" w:space="0"/>
              <w:right w:val="single" w:color="auto" w:sz="4" w:space="0"/>
            </w:tcBorders>
            <w:noWrap w:val="0"/>
            <w:vAlign w:val="center"/>
          </w:tcPr>
          <w:p w14:paraId="5F917FD3">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年度总体目标</w:t>
            </w:r>
          </w:p>
        </w:tc>
        <w:tc>
          <w:tcPr>
            <w:tcW w:w="4855" w:type="dxa"/>
            <w:gridSpan w:val="4"/>
            <w:tcBorders>
              <w:top w:val="single" w:color="auto" w:sz="4" w:space="0"/>
              <w:left w:val="nil"/>
              <w:bottom w:val="single" w:color="auto" w:sz="4" w:space="0"/>
              <w:right w:val="single" w:color="000000" w:sz="4" w:space="0"/>
            </w:tcBorders>
            <w:noWrap w:val="0"/>
            <w:vAlign w:val="center"/>
          </w:tcPr>
          <w:p w14:paraId="47F651DB">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预期目标</w:t>
            </w:r>
          </w:p>
        </w:tc>
        <w:tc>
          <w:tcPr>
            <w:tcW w:w="4144" w:type="dxa"/>
            <w:gridSpan w:val="4"/>
            <w:tcBorders>
              <w:top w:val="single" w:color="auto" w:sz="4" w:space="0"/>
              <w:left w:val="nil"/>
              <w:bottom w:val="single" w:color="auto" w:sz="4" w:space="0"/>
              <w:right w:val="single" w:color="auto" w:sz="4" w:space="0"/>
            </w:tcBorders>
            <w:noWrap w:val="0"/>
            <w:vAlign w:val="center"/>
          </w:tcPr>
          <w:p w14:paraId="6BC5F970">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实际完成情况　</w:t>
            </w:r>
          </w:p>
        </w:tc>
      </w:tr>
      <w:tr w14:paraId="2AC8E9D6">
        <w:tblPrEx>
          <w:tblCellMar>
            <w:top w:w="0" w:type="dxa"/>
            <w:left w:w="108" w:type="dxa"/>
            <w:bottom w:w="0" w:type="dxa"/>
            <w:right w:w="108" w:type="dxa"/>
          </w:tblCellMar>
        </w:tblPrEx>
        <w:trPr>
          <w:jc w:val="center"/>
        </w:trPr>
        <w:tc>
          <w:tcPr>
            <w:tcW w:w="1080" w:type="dxa"/>
            <w:vMerge w:val="continue"/>
            <w:tcBorders>
              <w:top w:val="nil"/>
              <w:left w:val="single" w:color="auto" w:sz="4" w:space="0"/>
              <w:bottom w:val="single" w:color="000000" w:sz="4" w:space="0"/>
              <w:right w:val="single" w:color="auto" w:sz="4" w:space="0"/>
            </w:tcBorders>
            <w:noWrap w:val="0"/>
            <w:vAlign w:val="center"/>
          </w:tcPr>
          <w:p w14:paraId="0580A25C">
            <w:pPr>
              <w:widowControl/>
              <w:spacing w:line="240" w:lineRule="exact"/>
              <w:jc w:val="left"/>
              <w:rPr>
                <w:rFonts w:hint="eastAsia" w:ascii="仿宋_GB2312" w:hAnsi="仿宋_GB2312" w:eastAsia="仿宋_GB2312" w:cs="仿宋_GB2312"/>
                <w:color w:val="000000"/>
                <w:sz w:val="20"/>
                <w:szCs w:val="20"/>
                <w:highlight w:val="none"/>
              </w:rPr>
            </w:pPr>
          </w:p>
        </w:tc>
        <w:tc>
          <w:tcPr>
            <w:tcW w:w="4855" w:type="dxa"/>
            <w:gridSpan w:val="4"/>
            <w:tcBorders>
              <w:top w:val="single" w:color="auto" w:sz="4" w:space="0"/>
              <w:left w:val="nil"/>
              <w:bottom w:val="single" w:color="auto" w:sz="4" w:space="0"/>
              <w:right w:val="single" w:color="000000" w:sz="4" w:space="0"/>
            </w:tcBorders>
            <w:noWrap w:val="0"/>
            <w:vAlign w:val="center"/>
          </w:tcPr>
          <w:p w14:paraId="38ACE668">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1、完成各类房屋交易备案，提高服务质量，不断优化工作流程，更加便企利民，为企业和群众多办实事；2、按工作需要，及时、规范使用资金，确保各项工作正常运转。</w:t>
            </w:r>
            <w:r>
              <w:rPr>
                <w:rFonts w:hint="eastAsia" w:ascii="仿宋_GB2312" w:hAnsi="仿宋_GB2312" w:eastAsia="仿宋_GB2312" w:cs="仿宋_GB2312"/>
                <w:color w:val="000000"/>
                <w:sz w:val="20"/>
                <w:szCs w:val="20"/>
                <w:highlight w:val="none"/>
              </w:rPr>
              <w:t>　　</w:t>
            </w:r>
          </w:p>
        </w:tc>
        <w:tc>
          <w:tcPr>
            <w:tcW w:w="4144" w:type="dxa"/>
            <w:gridSpan w:val="4"/>
            <w:tcBorders>
              <w:top w:val="single" w:color="auto" w:sz="4" w:space="0"/>
              <w:left w:val="nil"/>
              <w:bottom w:val="single" w:color="auto" w:sz="4" w:space="0"/>
              <w:right w:val="single" w:color="auto" w:sz="4" w:space="0"/>
            </w:tcBorders>
            <w:noWrap w:val="0"/>
            <w:vAlign w:val="center"/>
          </w:tcPr>
          <w:p w14:paraId="23DDA0DF">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年度总体目标全部完成</w:t>
            </w:r>
          </w:p>
        </w:tc>
      </w:tr>
      <w:tr w14:paraId="3257A3C3">
        <w:tblPrEx>
          <w:tblCellMar>
            <w:top w:w="0" w:type="dxa"/>
            <w:left w:w="108" w:type="dxa"/>
            <w:bottom w:w="0" w:type="dxa"/>
            <w:right w:w="108" w:type="dxa"/>
          </w:tblCellMar>
        </w:tblPrEx>
        <w:trPr>
          <w:jc w:val="center"/>
        </w:trPr>
        <w:tc>
          <w:tcPr>
            <w:tcW w:w="1080" w:type="dxa"/>
            <w:vMerge w:val="restart"/>
            <w:tcBorders>
              <w:top w:val="nil"/>
              <w:left w:val="single" w:color="auto" w:sz="4" w:space="0"/>
              <w:right w:val="single" w:color="auto" w:sz="4" w:space="0"/>
            </w:tcBorders>
            <w:noWrap w:val="0"/>
            <w:vAlign w:val="center"/>
          </w:tcPr>
          <w:p w14:paraId="6D1BF507">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绩</w:t>
            </w:r>
          </w:p>
          <w:p w14:paraId="4B1996E8">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效</w:t>
            </w:r>
          </w:p>
          <w:p w14:paraId="5366AEEE">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指</w:t>
            </w:r>
          </w:p>
          <w:p w14:paraId="0186C87D">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标</w:t>
            </w:r>
          </w:p>
          <w:p w14:paraId="0C196C6A">
            <w:pPr>
              <w:widowControl/>
              <w:spacing w:line="240" w:lineRule="exact"/>
              <w:jc w:val="center"/>
              <w:rPr>
                <w:rFonts w:hint="eastAsia" w:ascii="仿宋_GB2312" w:hAnsi="仿宋_GB2312" w:eastAsia="仿宋_GB2312" w:cs="仿宋_GB2312"/>
                <w:color w:val="000000"/>
                <w:sz w:val="20"/>
                <w:szCs w:val="20"/>
                <w:highlight w:val="none"/>
              </w:rPr>
            </w:pPr>
          </w:p>
        </w:tc>
        <w:tc>
          <w:tcPr>
            <w:tcW w:w="1080" w:type="dxa"/>
            <w:tcBorders>
              <w:top w:val="nil"/>
              <w:left w:val="nil"/>
              <w:bottom w:val="single" w:color="auto" w:sz="4" w:space="0"/>
              <w:right w:val="single" w:color="auto" w:sz="4" w:space="0"/>
            </w:tcBorders>
            <w:noWrap w:val="0"/>
            <w:vAlign w:val="center"/>
          </w:tcPr>
          <w:p w14:paraId="5404B05D">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一级指标</w:t>
            </w:r>
          </w:p>
        </w:tc>
        <w:tc>
          <w:tcPr>
            <w:tcW w:w="1034" w:type="dxa"/>
            <w:tcBorders>
              <w:top w:val="nil"/>
              <w:left w:val="nil"/>
              <w:bottom w:val="single" w:color="auto" w:sz="4" w:space="0"/>
              <w:right w:val="single" w:color="auto" w:sz="4" w:space="0"/>
            </w:tcBorders>
            <w:noWrap w:val="0"/>
            <w:vAlign w:val="center"/>
          </w:tcPr>
          <w:p w14:paraId="59F076B3">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二级指标</w:t>
            </w:r>
          </w:p>
        </w:tc>
        <w:tc>
          <w:tcPr>
            <w:tcW w:w="1507" w:type="dxa"/>
            <w:tcBorders>
              <w:top w:val="nil"/>
              <w:left w:val="nil"/>
              <w:bottom w:val="single" w:color="auto" w:sz="4" w:space="0"/>
              <w:right w:val="single" w:color="auto" w:sz="4" w:space="0"/>
            </w:tcBorders>
            <w:noWrap w:val="0"/>
            <w:vAlign w:val="center"/>
          </w:tcPr>
          <w:p w14:paraId="69628FF4">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三级指标</w:t>
            </w:r>
          </w:p>
        </w:tc>
        <w:tc>
          <w:tcPr>
            <w:tcW w:w="1234" w:type="dxa"/>
            <w:tcBorders>
              <w:top w:val="nil"/>
              <w:left w:val="nil"/>
              <w:bottom w:val="single" w:color="auto" w:sz="4" w:space="0"/>
              <w:right w:val="single" w:color="auto" w:sz="4" w:space="0"/>
            </w:tcBorders>
            <w:noWrap w:val="0"/>
            <w:vAlign w:val="center"/>
          </w:tcPr>
          <w:p w14:paraId="5EAAFCEA">
            <w:pPr>
              <w:widowControl/>
              <w:spacing w:line="240" w:lineRule="exact"/>
              <w:jc w:val="both"/>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年度指标值</w:t>
            </w:r>
          </w:p>
        </w:tc>
        <w:tc>
          <w:tcPr>
            <w:tcW w:w="1247" w:type="dxa"/>
            <w:tcBorders>
              <w:top w:val="nil"/>
              <w:left w:val="nil"/>
              <w:bottom w:val="single" w:color="auto" w:sz="4" w:space="0"/>
              <w:right w:val="single" w:color="auto" w:sz="4" w:space="0"/>
            </w:tcBorders>
            <w:noWrap w:val="0"/>
            <w:vAlign w:val="center"/>
          </w:tcPr>
          <w:p w14:paraId="5C7C7D65">
            <w:pPr>
              <w:widowControl/>
              <w:spacing w:line="240" w:lineRule="exac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实际完成值</w:t>
            </w:r>
          </w:p>
        </w:tc>
        <w:tc>
          <w:tcPr>
            <w:tcW w:w="578" w:type="dxa"/>
            <w:tcBorders>
              <w:top w:val="nil"/>
              <w:left w:val="nil"/>
              <w:bottom w:val="single" w:color="auto" w:sz="4" w:space="0"/>
              <w:right w:val="single" w:color="auto" w:sz="4" w:space="0"/>
            </w:tcBorders>
            <w:noWrap w:val="0"/>
            <w:vAlign w:val="center"/>
          </w:tcPr>
          <w:p w14:paraId="03F8995C">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分值</w:t>
            </w:r>
          </w:p>
        </w:tc>
        <w:tc>
          <w:tcPr>
            <w:tcW w:w="873" w:type="dxa"/>
            <w:tcBorders>
              <w:top w:val="nil"/>
              <w:left w:val="nil"/>
              <w:bottom w:val="single" w:color="auto" w:sz="4" w:space="0"/>
              <w:right w:val="single" w:color="auto" w:sz="4" w:space="0"/>
            </w:tcBorders>
            <w:noWrap w:val="0"/>
            <w:vAlign w:val="center"/>
          </w:tcPr>
          <w:p w14:paraId="4F530894">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得分</w:t>
            </w:r>
          </w:p>
        </w:tc>
        <w:tc>
          <w:tcPr>
            <w:tcW w:w="1446" w:type="dxa"/>
            <w:tcBorders>
              <w:top w:val="nil"/>
              <w:left w:val="nil"/>
              <w:bottom w:val="single" w:color="auto" w:sz="4" w:space="0"/>
              <w:right w:val="single" w:color="auto" w:sz="4" w:space="0"/>
            </w:tcBorders>
            <w:noWrap w:val="0"/>
            <w:vAlign w:val="center"/>
          </w:tcPr>
          <w:p w14:paraId="04D3F1F0">
            <w:pPr>
              <w:widowControl/>
              <w:spacing w:line="240" w:lineRule="exact"/>
              <w:jc w:val="both"/>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偏差原因分析及改进措施</w:t>
            </w:r>
          </w:p>
        </w:tc>
      </w:tr>
      <w:tr w14:paraId="16BA7634">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14:paraId="65D8B2F6">
            <w:pPr>
              <w:spacing w:line="240" w:lineRule="exact"/>
              <w:jc w:val="left"/>
              <w:rPr>
                <w:rFonts w:hint="eastAsia" w:ascii="仿宋_GB2312" w:hAnsi="仿宋_GB2312" w:eastAsia="仿宋_GB2312" w:cs="仿宋_GB2312"/>
                <w:color w:val="000000"/>
                <w:sz w:val="20"/>
                <w:szCs w:val="20"/>
                <w:highlight w:val="none"/>
              </w:rPr>
            </w:pPr>
          </w:p>
        </w:tc>
        <w:tc>
          <w:tcPr>
            <w:tcW w:w="1080" w:type="dxa"/>
            <w:vMerge w:val="restart"/>
            <w:tcBorders>
              <w:top w:val="single" w:color="auto" w:sz="4" w:space="0"/>
              <w:left w:val="single" w:color="auto" w:sz="4" w:space="0"/>
              <w:bottom w:val="single" w:color="auto" w:sz="4" w:space="0"/>
              <w:right w:val="single" w:color="auto" w:sz="4" w:space="0"/>
            </w:tcBorders>
            <w:noWrap w:val="0"/>
            <w:vAlign w:val="center"/>
          </w:tcPr>
          <w:p w14:paraId="31D11627">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产出指标</w:t>
            </w:r>
          </w:p>
          <w:p w14:paraId="6BA32605">
            <w:pPr>
              <w:widowControl/>
              <w:spacing w:line="240" w:lineRule="exact"/>
              <w:jc w:val="center"/>
              <w:rPr>
                <w:rFonts w:hint="eastAsia" w:ascii="仿宋_GB2312" w:hAnsi="仿宋_GB2312" w:eastAsia="仿宋_GB2312" w:cs="仿宋_GB2312"/>
                <w:color w:val="000000"/>
                <w:sz w:val="20"/>
                <w:szCs w:val="20"/>
                <w:highlight w:val="none"/>
              </w:rPr>
            </w:pPr>
          </w:p>
          <w:p w14:paraId="3521CFFF">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(50分)</w:t>
            </w:r>
          </w:p>
        </w:tc>
        <w:tc>
          <w:tcPr>
            <w:tcW w:w="1034" w:type="dxa"/>
            <w:vMerge w:val="restart"/>
            <w:tcBorders>
              <w:top w:val="single" w:color="auto" w:sz="4" w:space="0"/>
              <w:left w:val="single" w:color="auto" w:sz="4" w:space="0"/>
              <w:bottom w:val="single" w:color="auto" w:sz="4" w:space="0"/>
              <w:right w:val="single" w:color="auto" w:sz="4" w:space="0"/>
            </w:tcBorders>
            <w:noWrap w:val="0"/>
            <w:vAlign w:val="center"/>
          </w:tcPr>
          <w:p w14:paraId="6B0311FC">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数量指标</w:t>
            </w:r>
          </w:p>
        </w:tc>
        <w:tc>
          <w:tcPr>
            <w:tcW w:w="1507" w:type="dxa"/>
            <w:tcBorders>
              <w:top w:val="single" w:color="auto" w:sz="4" w:space="0"/>
              <w:left w:val="single" w:color="auto" w:sz="4" w:space="0"/>
              <w:bottom w:val="single" w:color="auto" w:sz="4" w:space="0"/>
              <w:right w:val="single" w:color="auto" w:sz="4" w:space="0"/>
            </w:tcBorders>
            <w:noWrap w:val="0"/>
            <w:vAlign w:val="center"/>
          </w:tcPr>
          <w:p w14:paraId="3EBF604A">
            <w:pPr>
              <w:widowControl/>
              <w:spacing w:line="240" w:lineRule="exact"/>
              <w:jc w:val="left"/>
              <w:rPr>
                <w:rFonts w:hint="eastAsia" w:ascii="仿宋_GB2312" w:hAnsi="仿宋_GB2312" w:eastAsia="仿宋_GB2312" w:cs="仿宋_GB2312"/>
                <w:color w:val="000000"/>
                <w:kern w:val="2"/>
                <w:sz w:val="20"/>
                <w:szCs w:val="20"/>
                <w:highlight w:val="none"/>
                <w:lang w:val="en-US" w:eastAsia="zh-CN" w:bidi="ar-SA"/>
              </w:rPr>
            </w:pPr>
            <w:r>
              <w:rPr>
                <w:rFonts w:hint="eastAsia" w:ascii="仿宋_GB2312" w:hAnsi="仿宋_GB2312" w:eastAsia="仿宋_GB2312" w:cs="仿宋_GB2312"/>
                <w:color w:val="000000"/>
                <w:sz w:val="20"/>
                <w:szCs w:val="20"/>
                <w:highlight w:val="none"/>
                <w:lang w:val="en-US" w:eastAsia="zh-CN"/>
              </w:rPr>
              <w:t>完成商品房合同备案套数</w:t>
            </w:r>
          </w:p>
        </w:tc>
        <w:tc>
          <w:tcPr>
            <w:tcW w:w="1234" w:type="dxa"/>
            <w:tcBorders>
              <w:top w:val="single" w:color="auto" w:sz="4" w:space="0"/>
              <w:left w:val="single" w:color="auto" w:sz="4" w:space="0"/>
              <w:bottom w:val="single" w:color="auto" w:sz="4" w:space="0"/>
              <w:right w:val="single" w:color="auto" w:sz="4" w:space="0"/>
            </w:tcBorders>
            <w:noWrap w:val="0"/>
            <w:vAlign w:val="center"/>
          </w:tcPr>
          <w:p w14:paraId="2FE4BAAC">
            <w:pPr>
              <w:widowControl/>
              <w:spacing w:line="240" w:lineRule="exact"/>
              <w:jc w:val="center"/>
              <w:rPr>
                <w:rFonts w:hint="eastAsia" w:ascii="仿宋_GB2312" w:hAnsi="仿宋_GB2312" w:eastAsia="仿宋_GB2312" w:cs="仿宋_GB2312"/>
                <w:color w:val="000000"/>
                <w:kern w:val="2"/>
                <w:sz w:val="20"/>
                <w:szCs w:val="20"/>
                <w:highlight w:val="none"/>
                <w:lang w:val="en-US" w:eastAsia="zh-CN" w:bidi="ar-SA"/>
              </w:rPr>
            </w:pPr>
            <w:r>
              <w:rPr>
                <w:rFonts w:hint="eastAsia" w:ascii="仿宋_GB2312" w:hAnsi="仿宋_GB2312" w:eastAsia="仿宋_GB2312" w:cs="仿宋_GB2312"/>
                <w:color w:val="000000"/>
                <w:sz w:val="20"/>
                <w:szCs w:val="20"/>
                <w:highlight w:val="none"/>
              </w:rPr>
              <w:t>≥</w:t>
            </w:r>
            <w:r>
              <w:rPr>
                <w:rFonts w:hint="eastAsia" w:ascii="仿宋_GB2312" w:hAnsi="仿宋_GB2312" w:eastAsia="仿宋_GB2312" w:cs="仿宋_GB2312"/>
                <w:color w:val="000000"/>
                <w:sz w:val="20"/>
                <w:szCs w:val="20"/>
                <w:highlight w:val="none"/>
                <w:lang w:val="en-US" w:eastAsia="zh-CN"/>
              </w:rPr>
              <w:t>5000份</w:t>
            </w:r>
          </w:p>
        </w:tc>
        <w:tc>
          <w:tcPr>
            <w:tcW w:w="1247" w:type="dxa"/>
            <w:tcBorders>
              <w:top w:val="nil"/>
              <w:left w:val="nil"/>
              <w:bottom w:val="single" w:color="auto" w:sz="4" w:space="0"/>
              <w:right w:val="single" w:color="auto" w:sz="4" w:space="0"/>
            </w:tcBorders>
            <w:noWrap w:val="0"/>
            <w:vAlign w:val="center"/>
          </w:tcPr>
          <w:p w14:paraId="3CE20313">
            <w:pPr>
              <w:widowControl/>
              <w:spacing w:line="240" w:lineRule="exact"/>
              <w:jc w:val="left"/>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9270份</w:t>
            </w:r>
          </w:p>
        </w:tc>
        <w:tc>
          <w:tcPr>
            <w:tcW w:w="578" w:type="dxa"/>
            <w:tcBorders>
              <w:top w:val="nil"/>
              <w:left w:val="nil"/>
              <w:bottom w:val="single" w:color="auto" w:sz="4" w:space="0"/>
              <w:right w:val="single" w:color="auto" w:sz="4" w:space="0"/>
            </w:tcBorders>
            <w:noWrap w:val="0"/>
            <w:vAlign w:val="center"/>
          </w:tcPr>
          <w:p w14:paraId="47DAC94A">
            <w:pPr>
              <w:widowControl/>
              <w:spacing w:line="240" w:lineRule="exact"/>
              <w:jc w:val="center"/>
              <w:rPr>
                <w:rFonts w:hint="default" w:ascii="仿宋_GB2312" w:hAnsi="仿宋_GB2312" w:eastAsia="仿宋_GB2312" w:cs="仿宋_GB2312"/>
                <w:color w:val="000000"/>
                <w:sz w:val="20"/>
                <w:szCs w:val="20"/>
                <w:highlight w:val="none"/>
                <w:lang w:val="en-US"/>
              </w:rPr>
            </w:pPr>
            <w:r>
              <w:rPr>
                <w:rFonts w:hint="default" w:ascii="仿宋_GB2312" w:hAnsi="仿宋_GB2312" w:eastAsia="仿宋_GB2312" w:cs="仿宋_GB2312"/>
                <w:color w:val="000000"/>
                <w:sz w:val="20"/>
                <w:szCs w:val="20"/>
                <w:highlight w:val="none"/>
                <w:lang w:val="en-US" w:eastAsia="zh-CN"/>
              </w:rPr>
              <w:t>5</w:t>
            </w:r>
          </w:p>
        </w:tc>
        <w:tc>
          <w:tcPr>
            <w:tcW w:w="873" w:type="dxa"/>
            <w:tcBorders>
              <w:top w:val="nil"/>
              <w:left w:val="nil"/>
              <w:bottom w:val="single" w:color="auto" w:sz="4" w:space="0"/>
              <w:right w:val="single" w:color="auto" w:sz="4" w:space="0"/>
            </w:tcBorders>
            <w:noWrap w:val="0"/>
            <w:vAlign w:val="center"/>
          </w:tcPr>
          <w:p w14:paraId="59B245AF">
            <w:pPr>
              <w:widowControl/>
              <w:spacing w:line="240" w:lineRule="exact"/>
              <w:jc w:val="center"/>
              <w:rPr>
                <w:rFonts w:hint="default" w:ascii="仿宋_GB2312" w:hAnsi="仿宋_GB2312" w:eastAsia="仿宋_GB2312" w:cs="仿宋_GB2312"/>
                <w:color w:val="000000"/>
                <w:sz w:val="20"/>
                <w:szCs w:val="20"/>
                <w:highlight w:val="none"/>
                <w:lang w:val="en-US" w:eastAsia="zh-CN"/>
              </w:rPr>
            </w:pPr>
            <w:r>
              <w:rPr>
                <w:rFonts w:hint="default" w:ascii="仿宋_GB2312" w:hAnsi="仿宋_GB2312" w:eastAsia="仿宋_GB2312" w:cs="仿宋_GB2312"/>
                <w:color w:val="000000"/>
                <w:sz w:val="20"/>
                <w:szCs w:val="20"/>
                <w:highlight w:val="none"/>
                <w:lang w:val="en-US" w:eastAsia="zh-CN"/>
              </w:rPr>
              <w:t>5</w:t>
            </w:r>
          </w:p>
        </w:tc>
        <w:tc>
          <w:tcPr>
            <w:tcW w:w="1446" w:type="dxa"/>
            <w:tcBorders>
              <w:top w:val="nil"/>
              <w:left w:val="nil"/>
              <w:bottom w:val="single" w:color="auto" w:sz="4" w:space="0"/>
              <w:right w:val="single" w:color="auto" w:sz="4" w:space="0"/>
            </w:tcBorders>
            <w:noWrap w:val="0"/>
            <w:vAlign w:val="center"/>
          </w:tcPr>
          <w:p w14:paraId="52098983">
            <w:pPr>
              <w:widowControl/>
              <w:spacing w:line="240" w:lineRule="exact"/>
              <w:jc w:val="center"/>
              <w:rPr>
                <w:rFonts w:hint="eastAsia" w:ascii="仿宋_GB2312" w:hAnsi="仿宋_GB2312" w:eastAsia="仿宋_GB2312" w:cs="仿宋_GB2312"/>
                <w:color w:val="000000"/>
                <w:sz w:val="20"/>
                <w:szCs w:val="20"/>
                <w:highlight w:val="none"/>
                <w:lang w:eastAsia="zh-CN"/>
              </w:rPr>
            </w:pPr>
          </w:p>
        </w:tc>
      </w:tr>
      <w:tr w14:paraId="0BEDDB87">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14:paraId="4931F678">
            <w:pPr>
              <w:spacing w:line="240" w:lineRule="exact"/>
              <w:jc w:val="left"/>
              <w:rPr>
                <w:rFonts w:hint="eastAsia" w:ascii="仿宋_GB2312" w:hAnsi="仿宋_GB2312" w:eastAsia="仿宋_GB2312" w:cs="仿宋_GB2312"/>
                <w:color w:val="000000"/>
                <w:sz w:val="20"/>
                <w:szCs w:val="20"/>
                <w:highlight w:val="none"/>
              </w:rPr>
            </w:pPr>
          </w:p>
        </w:tc>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14:paraId="04101555">
            <w:pPr>
              <w:spacing w:line="240" w:lineRule="exact"/>
              <w:jc w:val="left"/>
              <w:rPr>
                <w:rFonts w:hint="eastAsia" w:ascii="仿宋_GB2312" w:hAnsi="仿宋_GB2312" w:eastAsia="仿宋_GB2312" w:cs="仿宋_GB2312"/>
                <w:color w:val="000000"/>
                <w:sz w:val="20"/>
                <w:szCs w:val="20"/>
                <w:highlight w:val="none"/>
              </w:rPr>
            </w:pPr>
          </w:p>
        </w:tc>
        <w:tc>
          <w:tcPr>
            <w:tcW w:w="1034" w:type="dxa"/>
            <w:vMerge w:val="continue"/>
            <w:tcBorders>
              <w:top w:val="single" w:color="auto" w:sz="4" w:space="0"/>
              <w:left w:val="single" w:color="auto" w:sz="4" w:space="0"/>
              <w:bottom w:val="single" w:color="auto" w:sz="4" w:space="0"/>
              <w:right w:val="single" w:color="auto" w:sz="4" w:space="0"/>
            </w:tcBorders>
            <w:noWrap w:val="0"/>
            <w:vAlign w:val="center"/>
          </w:tcPr>
          <w:p w14:paraId="5AD9A91D">
            <w:pPr>
              <w:spacing w:line="240" w:lineRule="exact"/>
              <w:jc w:val="center"/>
              <w:rPr>
                <w:rFonts w:hint="eastAsia" w:ascii="仿宋_GB2312" w:hAnsi="仿宋_GB2312" w:eastAsia="仿宋_GB2312" w:cs="仿宋_GB2312"/>
                <w:color w:val="000000"/>
                <w:sz w:val="20"/>
                <w:szCs w:val="20"/>
                <w:highlight w:val="none"/>
              </w:rPr>
            </w:pPr>
          </w:p>
        </w:tc>
        <w:tc>
          <w:tcPr>
            <w:tcW w:w="1507" w:type="dxa"/>
            <w:tcBorders>
              <w:top w:val="single" w:color="auto" w:sz="4" w:space="0"/>
              <w:left w:val="single" w:color="auto" w:sz="4" w:space="0"/>
              <w:bottom w:val="single" w:color="auto" w:sz="4" w:space="0"/>
              <w:right w:val="single" w:color="auto" w:sz="4" w:space="0"/>
            </w:tcBorders>
            <w:noWrap w:val="0"/>
            <w:vAlign w:val="center"/>
          </w:tcPr>
          <w:p w14:paraId="1A41D107">
            <w:pPr>
              <w:widowControl/>
              <w:spacing w:line="240" w:lineRule="exact"/>
              <w:jc w:val="left"/>
              <w:rPr>
                <w:rFonts w:hint="eastAsia" w:ascii="仿宋_GB2312" w:hAnsi="仿宋_GB2312" w:eastAsia="仿宋_GB2312" w:cs="仿宋_GB2312"/>
                <w:color w:val="000000"/>
                <w:kern w:val="2"/>
                <w:sz w:val="20"/>
                <w:szCs w:val="20"/>
                <w:highlight w:val="none"/>
                <w:lang w:val="en-US" w:eastAsia="zh-CN" w:bidi="ar-SA"/>
              </w:rPr>
            </w:pPr>
            <w:r>
              <w:rPr>
                <w:rFonts w:hint="eastAsia" w:ascii="仿宋_GB2312" w:hAnsi="仿宋_GB2312" w:eastAsia="仿宋_GB2312" w:cs="仿宋_GB2312"/>
                <w:color w:val="000000"/>
                <w:sz w:val="20"/>
                <w:szCs w:val="20"/>
                <w:highlight w:val="none"/>
                <w:lang w:val="en-US" w:eastAsia="zh-CN"/>
              </w:rPr>
              <w:t>完成房屋网签查询数</w:t>
            </w:r>
          </w:p>
        </w:tc>
        <w:tc>
          <w:tcPr>
            <w:tcW w:w="1234" w:type="dxa"/>
            <w:tcBorders>
              <w:top w:val="single" w:color="auto" w:sz="4" w:space="0"/>
              <w:left w:val="single" w:color="auto" w:sz="4" w:space="0"/>
              <w:bottom w:val="single" w:color="auto" w:sz="4" w:space="0"/>
              <w:right w:val="single" w:color="auto" w:sz="4" w:space="0"/>
            </w:tcBorders>
            <w:noWrap w:val="0"/>
            <w:vAlign w:val="center"/>
          </w:tcPr>
          <w:p w14:paraId="26E74325">
            <w:pPr>
              <w:widowControl/>
              <w:spacing w:line="240" w:lineRule="exact"/>
              <w:jc w:val="center"/>
              <w:rPr>
                <w:rFonts w:hint="eastAsia" w:ascii="仿宋_GB2312" w:hAnsi="仿宋_GB2312" w:eastAsia="仿宋_GB2312" w:cs="仿宋_GB2312"/>
                <w:color w:val="000000"/>
                <w:kern w:val="2"/>
                <w:sz w:val="20"/>
                <w:szCs w:val="20"/>
                <w:highlight w:val="none"/>
                <w:lang w:val="en-US" w:eastAsia="zh-CN" w:bidi="ar-SA"/>
              </w:rPr>
            </w:pPr>
            <w:r>
              <w:rPr>
                <w:rFonts w:hint="eastAsia" w:ascii="仿宋_GB2312" w:hAnsi="仿宋_GB2312" w:eastAsia="仿宋_GB2312" w:cs="仿宋_GB2312"/>
                <w:color w:val="000000"/>
                <w:sz w:val="20"/>
                <w:szCs w:val="20"/>
                <w:highlight w:val="none"/>
              </w:rPr>
              <w:t>≥</w:t>
            </w:r>
            <w:r>
              <w:rPr>
                <w:rFonts w:hint="eastAsia" w:ascii="仿宋_GB2312" w:hAnsi="仿宋_GB2312" w:eastAsia="仿宋_GB2312" w:cs="仿宋_GB2312"/>
                <w:color w:val="000000"/>
                <w:sz w:val="20"/>
                <w:szCs w:val="20"/>
                <w:highlight w:val="none"/>
                <w:lang w:val="en-US" w:eastAsia="zh-CN"/>
              </w:rPr>
              <w:t>5000套</w:t>
            </w:r>
          </w:p>
        </w:tc>
        <w:tc>
          <w:tcPr>
            <w:tcW w:w="1247" w:type="dxa"/>
            <w:tcBorders>
              <w:top w:val="nil"/>
              <w:left w:val="nil"/>
              <w:bottom w:val="single" w:color="auto" w:sz="4" w:space="0"/>
              <w:right w:val="single" w:color="auto" w:sz="4" w:space="0"/>
            </w:tcBorders>
            <w:noWrap w:val="0"/>
            <w:vAlign w:val="center"/>
          </w:tcPr>
          <w:p w14:paraId="6C7A4873">
            <w:pPr>
              <w:widowControl/>
              <w:spacing w:line="240" w:lineRule="exact"/>
              <w:jc w:val="left"/>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6101套</w:t>
            </w:r>
          </w:p>
        </w:tc>
        <w:tc>
          <w:tcPr>
            <w:tcW w:w="578" w:type="dxa"/>
            <w:tcBorders>
              <w:top w:val="nil"/>
              <w:left w:val="nil"/>
              <w:bottom w:val="single" w:color="auto" w:sz="4" w:space="0"/>
              <w:right w:val="single" w:color="auto" w:sz="4" w:space="0"/>
            </w:tcBorders>
            <w:noWrap w:val="0"/>
            <w:vAlign w:val="center"/>
          </w:tcPr>
          <w:p w14:paraId="6DAB7740">
            <w:pPr>
              <w:widowControl/>
              <w:spacing w:line="240" w:lineRule="exact"/>
              <w:jc w:val="center"/>
              <w:rPr>
                <w:rFonts w:hint="default" w:ascii="仿宋_GB2312" w:hAnsi="仿宋_GB2312" w:eastAsia="仿宋_GB2312" w:cs="仿宋_GB2312"/>
                <w:color w:val="000000"/>
                <w:sz w:val="20"/>
                <w:szCs w:val="20"/>
                <w:highlight w:val="none"/>
                <w:lang w:val="en-US" w:eastAsia="zh-CN"/>
              </w:rPr>
            </w:pPr>
            <w:r>
              <w:rPr>
                <w:rFonts w:hint="default" w:ascii="仿宋_GB2312" w:hAnsi="仿宋_GB2312" w:eastAsia="仿宋_GB2312" w:cs="仿宋_GB2312"/>
                <w:color w:val="000000"/>
                <w:sz w:val="20"/>
                <w:szCs w:val="20"/>
                <w:highlight w:val="none"/>
                <w:lang w:val="en-US" w:eastAsia="zh-CN"/>
              </w:rPr>
              <w:t>5</w:t>
            </w:r>
          </w:p>
        </w:tc>
        <w:tc>
          <w:tcPr>
            <w:tcW w:w="873" w:type="dxa"/>
            <w:tcBorders>
              <w:top w:val="nil"/>
              <w:left w:val="nil"/>
              <w:bottom w:val="single" w:color="auto" w:sz="4" w:space="0"/>
              <w:right w:val="single" w:color="auto" w:sz="4" w:space="0"/>
            </w:tcBorders>
            <w:noWrap w:val="0"/>
            <w:vAlign w:val="center"/>
          </w:tcPr>
          <w:p w14:paraId="067A8CFF">
            <w:pPr>
              <w:widowControl/>
              <w:spacing w:line="240" w:lineRule="exact"/>
              <w:jc w:val="center"/>
              <w:rPr>
                <w:rFonts w:hint="default" w:ascii="仿宋_GB2312" w:hAnsi="仿宋_GB2312" w:eastAsia="仿宋_GB2312" w:cs="仿宋_GB2312"/>
                <w:color w:val="000000"/>
                <w:sz w:val="20"/>
                <w:szCs w:val="20"/>
                <w:highlight w:val="none"/>
                <w:lang w:val="en-US" w:eastAsia="zh-CN"/>
              </w:rPr>
            </w:pPr>
            <w:r>
              <w:rPr>
                <w:rFonts w:hint="default" w:ascii="仿宋_GB2312" w:hAnsi="仿宋_GB2312" w:eastAsia="仿宋_GB2312" w:cs="仿宋_GB2312"/>
                <w:color w:val="000000"/>
                <w:sz w:val="20"/>
                <w:szCs w:val="20"/>
                <w:highlight w:val="none"/>
                <w:lang w:val="en-US" w:eastAsia="zh-CN"/>
              </w:rPr>
              <w:t>5</w:t>
            </w:r>
          </w:p>
        </w:tc>
        <w:tc>
          <w:tcPr>
            <w:tcW w:w="1446" w:type="dxa"/>
            <w:tcBorders>
              <w:top w:val="nil"/>
              <w:left w:val="nil"/>
              <w:bottom w:val="single" w:color="auto" w:sz="4" w:space="0"/>
              <w:right w:val="single" w:color="auto" w:sz="4" w:space="0"/>
            </w:tcBorders>
            <w:noWrap w:val="0"/>
            <w:vAlign w:val="center"/>
          </w:tcPr>
          <w:p w14:paraId="01703275">
            <w:pPr>
              <w:widowControl/>
              <w:spacing w:line="240" w:lineRule="exact"/>
              <w:jc w:val="center"/>
              <w:rPr>
                <w:rFonts w:hint="eastAsia" w:ascii="仿宋_GB2312" w:hAnsi="仿宋_GB2312" w:eastAsia="仿宋_GB2312" w:cs="仿宋_GB2312"/>
                <w:color w:val="000000"/>
                <w:sz w:val="20"/>
                <w:szCs w:val="20"/>
                <w:highlight w:val="none"/>
              </w:rPr>
            </w:pPr>
          </w:p>
        </w:tc>
      </w:tr>
      <w:tr w14:paraId="328DF801">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14:paraId="4E4D3564">
            <w:pPr>
              <w:spacing w:line="240" w:lineRule="exact"/>
              <w:jc w:val="left"/>
              <w:rPr>
                <w:rFonts w:hint="eastAsia" w:ascii="仿宋_GB2312" w:hAnsi="仿宋_GB2312" w:eastAsia="仿宋_GB2312" w:cs="仿宋_GB2312"/>
                <w:color w:val="000000"/>
                <w:sz w:val="20"/>
                <w:szCs w:val="20"/>
                <w:highlight w:val="none"/>
              </w:rPr>
            </w:pPr>
          </w:p>
        </w:tc>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14:paraId="6BBA80D9">
            <w:pPr>
              <w:spacing w:line="240" w:lineRule="exact"/>
              <w:jc w:val="left"/>
              <w:rPr>
                <w:rFonts w:hint="eastAsia" w:ascii="仿宋_GB2312" w:hAnsi="仿宋_GB2312" w:eastAsia="仿宋_GB2312" w:cs="仿宋_GB2312"/>
                <w:color w:val="000000"/>
                <w:sz w:val="20"/>
                <w:szCs w:val="20"/>
                <w:highlight w:val="none"/>
              </w:rPr>
            </w:pPr>
          </w:p>
        </w:tc>
        <w:tc>
          <w:tcPr>
            <w:tcW w:w="1034" w:type="dxa"/>
            <w:vMerge w:val="continue"/>
            <w:tcBorders>
              <w:top w:val="single" w:color="auto" w:sz="4" w:space="0"/>
              <w:left w:val="single" w:color="auto" w:sz="4" w:space="0"/>
              <w:bottom w:val="single" w:color="auto" w:sz="4" w:space="0"/>
              <w:right w:val="single" w:color="auto" w:sz="4" w:space="0"/>
            </w:tcBorders>
            <w:noWrap w:val="0"/>
            <w:vAlign w:val="center"/>
          </w:tcPr>
          <w:p w14:paraId="59D5F11F">
            <w:pPr>
              <w:widowControl/>
              <w:spacing w:line="240" w:lineRule="exact"/>
              <w:jc w:val="center"/>
              <w:rPr>
                <w:rFonts w:hint="eastAsia" w:ascii="仿宋_GB2312" w:hAnsi="仿宋_GB2312" w:eastAsia="仿宋_GB2312" w:cs="仿宋_GB2312"/>
                <w:color w:val="000000"/>
                <w:sz w:val="20"/>
                <w:szCs w:val="20"/>
                <w:highlight w:val="none"/>
              </w:rPr>
            </w:pPr>
          </w:p>
        </w:tc>
        <w:tc>
          <w:tcPr>
            <w:tcW w:w="1507" w:type="dxa"/>
            <w:tcBorders>
              <w:top w:val="single" w:color="auto" w:sz="4" w:space="0"/>
              <w:left w:val="single" w:color="auto" w:sz="4" w:space="0"/>
              <w:bottom w:val="single" w:color="auto" w:sz="4" w:space="0"/>
              <w:right w:val="single" w:color="auto" w:sz="4" w:space="0"/>
            </w:tcBorders>
            <w:noWrap w:val="0"/>
            <w:vAlign w:val="center"/>
          </w:tcPr>
          <w:p w14:paraId="63E54B4A">
            <w:pPr>
              <w:widowControl/>
              <w:spacing w:line="240" w:lineRule="exact"/>
              <w:jc w:val="left"/>
              <w:rPr>
                <w:rFonts w:hint="eastAsia" w:ascii="仿宋_GB2312" w:hAnsi="仿宋_GB2312" w:eastAsia="仿宋_GB2312" w:cs="仿宋_GB2312"/>
                <w:color w:val="000000"/>
                <w:kern w:val="2"/>
                <w:sz w:val="20"/>
                <w:szCs w:val="20"/>
                <w:highlight w:val="none"/>
                <w:lang w:val="en-US" w:eastAsia="zh-CN" w:bidi="ar-SA"/>
              </w:rPr>
            </w:pPr>
            <w:r>
              <w:rPr>
                <w:rFonts w:hint="eastAsia" w:ascii="仿宋_GB2312" w:hAnsi="仿宋_GB2312" w:eastAsia="仿宋_GB2312" w:cs="仿宋_GB2312"/>
                <w:color w:val="000000"/>
                <w:sz w:val="20"/>
                <w:szCs w:val="20"/>
                <w:highlight w:val="none"/>
                <w:lang w:val="en-US" w:eastAsia="zh-CN"/>
              </w:rPr>
              <w:t>完成房屋交易内部限制及解除内部限制业务笔数</w:t>
            </w:r>
          </w:p>
        </w:tc>
        <w:tc>
          <w:tcPr>
            <w:tcW w:w="1234" w:type="dxa"/>
            <w:tcBorders>
              <w:top w:val="single" w:color="auto" w:sz="4" w:space="0"/>
              <w:left w:val="single" w:color="auto" w:sz="4" w:space="0"/>
              <w:bottom w:val="single" w:color="auto" w:sz="4" w:space="0"/>
              <w:right w:val="single" w:color="auto" w:sz="4" w:space="0"/>
            </w:tcBorders>
            <w:noWrap w:val="0"/>
            <w:vAlign w:val="center"/>
          </w:tcPr>
          <w:p w14:paraId="094F556C">
            <w:pPr>
              <w:widowControl/>
              <w:spacing w:line="240" w:lineRule="exact"/>
              <w:jc w:val="center"/>
              <w:rPr>
                <w:rFonts w:hint="eastAsia" w:ascii="仿宋_GB2312" w:hAnsi="仿宋_GB2312" w:eastAsia="仿宋_GB2312" w:cs="仿宋_GB2312"/>
                <w:color w:val="000000"/>
                <w:kern w:val="2"/>
                <w:sz w:val="20"/>
                <w:szCs w:val="20"/>
                <w:highlight w:val="none"/>
                <w:lang w:val="en-US" w:eastAsia="zh-CN" w:bidi="ar-SA"/>
              </w:rPr>
            </w:pPr>
            <w:r>
              <w:rPr>
                <w:rFonts w:hint="eastAsia" w:ascii="仿宋_GB2312" w:hAnsi="仿宋_GB2312" w:eastAsia="仿宋_GB2312" w:cs="仿宋_GB2312"/>
                <w:color w:val="000000"/>
                <w:sz w:val="20"/>
                <w:szCs w:val="20"/>
                <w:highlight w:val="none"/>
              </w:rPr>
              <w:t>≥</w:t>
            </w:r>
            <w:r>
              <w:rPr>
                <w:rFonts w:hint="default" w:ascii="仿宋_GB2312" w:hAnsi="仿宋_GB2312" w:eastAsia="仿宋_GB2312" w:cs="仿宋_GB2312"/>
                <w:color w:val="000000"/>
                <w:sz w:val="20"/>
                <w:szCs w:val="20"/>
                <w:highlight w:val="none"/>
                <w:lang w:val="en-US" w:eastAsia="zh-CN"/>
              </w:rPr>
              <w:t>1</w:t>
            </w:r>
            <w:r>
              <w:rPr>
                <w:rFonts w:hint="eastAsia" w:ascii="仿宋_GB2312" w:hAnsi="仿宋_GB2312" w:eastAsia="仿宋_GB2312" w:cs="仿宋_GB2312"/>
                <w:color w:val="000000"/>
                <w:sz w:val="20"/>
                <w:szCs w:val="20"/>
                <w:highlight w:val="none"/>
                <w:lang w:val="en-US" w:eastAsia="zh-CN"/>
              </w:rPr>
              <w:t>00笔</w:t>
            </w:r>
          </w:p>
        </w:tc>
        <w:tc>
          <w:tcPr>
            <w:tcW w:w="1247" w:type="dxa"/>
            <w:tcBorders>
              <w:top w:val="nil"/>
              <w:left w:val="nil"/>
              <w:bottom w:val="single" w:color="auto" w:sz="4" w:space="0"/>
              <w:right w:val="single" w:color="auto" w:sz="4" w:space="0"/>
            </w:tcBorders>
            <w:noWrap w:val="0"/>
            <w:vAlign w:val="center"/>
          </w:tcPr>
          <w:p w14:paraId="0C9EB7E1">
            <w:pPr>
              <w:widowControl/>
              <w:spacing w:line="240" w:lineRule="exact"/>
              <w:jc w:val="left"/>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213笔</w:t>
            </w:r>
          </w:p>
        </w:tc>
        <w:tc>
          <w:tcPr>
            <w:tcW w:w="578" w:type="dxa"/>
            <w:tcBorders>
              <w:top w:val="nil"/>
              <w:left w:val="nil"/>
              <w:bottom w:val="single" w:color="auto" w:sz="4" w:space="0"/>
              <w:right w:val="single" w:color="auto" w:sz="4" w:space="0"/>
            </w:tcBorders>
            <w:noWrap w:val="0"/>
            <w:vAlign w:val="center"/>
          </w:tcPr>
          <w:p w14:paraId="68EE33DB">
            <w:pPr>
              <w:widowControl/>
              <w:spacing w:line="240" w:lineRule="exact"/>
              <w:jc w:val="center"/>
              <w:rPr>
                <w:rFonts w:hint="default" w:ascii="仿宋_GB2312" w:hAnsi="仿宋_GB2312" w:eastAsia="仿宋_GB2312" w:cs="仿宋_GB2312"/>
                <w:color w:val="000000"/>
                <w:sz w:val="20"/>
                <w:szCs w:val="20"/>
                <w:highlight w:val="none"/>
                <w:lang w:val="en-US" w:eastAsia="zh-CN"/>
              </w:rPr>
            </w:pPr>
            <w:r>
              <w:rPr>
                <w:rFonts w:hint="default" w:ascii="仿宋_GB2312" w:hAnsi="仿宋_GB2312" w:eastAsia="仿宋_GB2312" w:cs="仿宋_GB2312"/>
                <w:color w:val="000000"/>
                <w:sz w:val="20"/>
                <w:szCs w:val="20"/>
                <w:highlight w:val="none"/>
                <w:lang w:val="en-US" w:eastAsia="zh-CN"/>
              </w:rPr>
              <w:t>5</w:t>
            </w:r>
          </w:p>
        </w:tc>
        <w:tc>
          <w:tcPr>
            <w:tcW w:w="873" w:type="dxa"/>
            <w:tcBorders>
              <w:top w:val="nil"/>
              <w:left w:val="nil"/>
              <w:bottom w:val="single" w:color="auto" w:sz="4" w:space="0"/>
              <w:right w:val="single" w:color="auto" w:sz="4" w:space="0"/>
            </w:tcBorders>
            <w:noWrap w:val="0"/>
            <w:vAlign w:val="center"/>
          </w:tcPr>
          <w:p w14:paraId="69B0A9B5">
            <w:pPr>
              <w:widowControl/>
              <w:spacing w:line="240" w:lineRule="exact"/>
              <w:jc w:val="center"/>
              <w:rPr>
                <w:rFonts w:hint="default" w:ascii="仿宋_GB2312" w:hAnsi="仿宋_GB2312" w:eastAsia="仿宋_GB2312" w:cs="仿宋_GB2312"/>
                <w:color w:val="000000"/>
                <w:sz w:val="20"/>
                <w:szCs w:val="20"/>
                <w:highlight w:val="none"/>
                <w:lang w:val="en-US" w:eastAsia="zh-CN"/>
              </w:rPr>
            </w:pPr>
            <w:r>
              <w:rPr>
                <w:rFonts w:hint="default" w:ascii="仿宋_GB2312" w:hAnsi="仿宋_GB2312" w:eastAsia="仿宋_GB2312" w:cs="仿宋_GB2312"/>
                <w:color w:val="000000"/>
                <w:sz w:val="20"/>
                <w:szCs w:val="20"/>
                <w:highlight w:val="none"/>
                <w:lang w:val="en-US" w:eastAsia="zh-CN"/>
              </w:rPr>
              <w:t>5</w:t>
            </w:r>
          </w:p>
        </w:tc>
        <w:tc>
          <w:tcPr>
            <w:tcW w:w="1446" w:type="dxa"/>
            <w:tcBorders>
              <w:top w:val="nil"/>
              <w:left w:val="nil"/>
              <w:bottom w:val="single" w:color="auto" w:sz="4" w:space="0"/>
              <w:right w:val="single" w:color="auto" w:sz="4" w:space="0"/>
            </w:tcBorders>
            <w:noWrap w:val="0"/>
            <w:vAlign w:val="center"/>
          </w:tcPr>
          <w:p w14:paraId="36C1003C">
            <w:pPr>
              <w:widowControl/>
              <w:spacing w:line="240" w:lineRule="exact"/>
              <w:jc w:val="center"/>
              <w:rPr>
                <w:rFonts w:hint="eastAsia" w:ascii="仿宋_GB2312" w:hAnsi="仿宋_GB2312" w:eastAsia="仿宋_GB2312" w:cs="仿宋_GB2312"/>
                <w:color w:val="000000"/>
                <w:sz w:val="20"/>
                <w:szCs w:val="20"/>
                <w:highlight w:val="none"/>
              </w:rPr>
            </w:pPr>
          </w:p>
        </w:tc>
      </w:tr>
      <w:tr w14:paraId="214A4F4A">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14:paraId="710EFF61">
            <w:pPr>
              <w:spacing w:line="240" w:lineRule="exact"/>
              <w:jc w:val="left"/>
              <w:rPr>
                <w:rFonts w:hint="eastAsia" w:ascii="仿宋_GB2312" w:hAnsi="仿宋_GB2312" w:eastAsia="仿宋_GB2312" w:cs="仿宋_GB2312"/>
                <w:color w:val="000000"/>
                <w:sz w:val="20"/>
                <w:szCs w:val="20"/>
                <w:highlight w:val="none"/>
              </w:rPr>
            </w:pPr>
          </w:p>
        </w:tc>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14:paraId="4D794ED7">
            <w:pPr>
              <w:spacing w:line="240" w:lineRule="exact"/>
              <w:jc w:val="left"/>
              <w:rPr>
                <w:rFonts w:hint="eastAsia" w:ascii="仿宋_GB2312" w:hAnsi="仿宋_GB2312" w:eastAsia="仿宋_GB2312" w:cs="仿宋_GB2312"/>
                <w:color w:val="000000"/>
                <w:sz w:val="20"/>
                <w:szCs w:val="20"/>
                <w:highlight w:val="none"/>
              </w:rPr>
            </w:pPr>
          </w:p>
        </w:tc>
        <w:tc>
          <w:tcPr>
            <w:tcW w:w="1034" w:type="dxa"/>
            <w:vMerge w:val="restart"/>
            <w:tcBorders>
              <w:top w:val="single" w:color="auto" w:sz="4" w:space="0"/>
              <w:left w:val="single" w:color="auto" w:sz="4" w:space="0"/>
              <w:bottom w:val="single" w:color="auto" w:sz="4" w:space="0"/>
              <w:right w:val="single" w:color="auto" w:sz="4" w:space="0"/>
            </w:tcBorders>
            <w:noWrap w:val="0"/>
            <w:vAlign w:val="center"/>
          </w:tcPr>
          <w:p w14:paraId="28F0A59C">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质量指标</w:t>
            </w:r>
          </w:p>
        </w:tc>
        <w:tc>
          <w:tcPr>
            <w:tcW w:w="1507" w:type="dxa"/>
            <w:tcBorders>
              <w:top w:val="single" w:color="auto" w:sz="4" w:space="0"/>
              <w:left w:val="single" w:color="auto" w:sz="4" w:space="0"/>
              <w:bottom w:val="single" w:color="auto" w:sz="4" w:space="0"/>
              <w:right w:val="single" w:color="auto" w:sz="4" w:space="0"/>
            </w:tcBorders>
            <w:noWrap w:val="0"/>
            <w:vAlign w:val="center"/>
          </w:tcPr>
          <w:p w14:paraId="08491515">
            <w:pPr>
              <w:widowControl/>
              <w:spacing w:line="240" w:lineRule="exact"/>
              <w:jc w:val="left"/>
              <w:rPr>
                <w:rFonts w:hint="eastAsia" w:ascii="仿宋_GB2312" w:hAnsi="仿宋_GB2312" w:eastAsia="仿宋_GB2312" w:cs="仿宋_GB2312"/>
                <w:color w:val="000000"/>
                <w:kern w:val="2"/>
                <w:sz w:val="20"/>
                <w:szCs w:val="20"/>
                <w:highlight w:val="none"/>
                <w:lang w:val="en-US" w:eastAsia="zh-CN" w:bidi="ar-SA"/>
              </w:rPr>
            </w:pPr>
            <w:r>
              <w:rPr>
                <w:rFonts w:hint="eastAsia" w:ascii="仿宋_GB2312" w:hAnsi="仿宋_GB2312" w:eastAsia="仿宋_GB2312" w:cs="仿宋_GB2312"/>
                <w:color w:val="000000"/>
                <w:sz w:val="20"/>
                <w:szCs w:val="20"/>
                <w:highlight w:val="none"/>
                <w:lang w:val="en-US" w:eastAsia="zh-CN"/>
              </w:rPr>
              <w:t>完成房屋网签查询办结率</w:t>
            </w:r>
          </w:p>
        </w:tc>
        <w:tc>
          <w:tcPr>
            <w:tcW w:w="1234" w:type="dxa"/>
            <w:tcBorders>
              <w:top w:val="single" w:color="auto" w:sz="4" w:space="0"/>
              <w:left w:val="single" w:color="auto" w:sz="4" w:space="0"/>
              <w:bottom w:val="single" w:color="auto" w:sz="4" w:space="0"/>
              <w:right w:val="single" w:color="auto" w:sz="4" w:space="0"/>
            </w:tcBorders>
            <w:noWrap w:val="0"/>
            <w:vAlign w:val="center"/>
          </w:tcPr>
          <w:p w14:paraId="182154F2">
            <w:pPr>
              <w:widowControl/>
              <w:spacing w:line="240" w:lineRule="exact"/>
              <w:jc w:val="center"/>
              <w:rPr>
                <w:rFonts w:hint="eastAsia" w:ascii="仿宋_GB2312" w:hAnsi="仿宋_GB2312" w:eastAsia="仿宋_GB2312" w:cs="仿宋_GB2312"/>
                <w:color w:val="000000"/>
                <w:kern w:val="2"/>
                <w:sz w:val="20"/>
                <w:szCs w:val="20"/>
                <w:highlight w:val="none"/>
                <w:lang w:val="en-US" w:eastAsia="zh-CN" w:bidi="ar-SA"/>
              </w:rPr>
            </w:pPr>
            <w:r>
              <w:rPr>
                <w:rFonts w:hint="eastAsia" w:ascii="仿宋_GB2312" w:hAnsi="仿宋_GB2312" w:eastAsia="仿宋_GB2312" w:cs="仿宋_GB2312"/>
                <w:color w:val="000000"/>
                <w:sz w:val="20"/>
                <w:szCs w:val="20"/>
                <w:highlight w:val="none"/>
                <w:lang w:val="en-US" w:eastAsia="zh-CN"/>
              </w:rPr>
              <w:t>≥95%</w:t>
            </w:r>
          </w:p>
        </w:tc>
        <w:tc>
          <w:tcPr>
            <w:tcW w:w="1247" w:type="dxa"/>
            <w:tcBorders>
              <w:top w:val="nil"/>
              <w:left w:val="nil"/>
              <w:bottom w:val="single" w:color="auto" w:sz="4" w:space="0"/>
              <w:right w:val="single" w:color="auto" w:sz="4" w:space="0"/>
            </w:tcBorders>
            <w:noWrap w:val="0"/>
            <w:vAlign w:val="center"/>
          </w:tcPr>
          <w:p w14:paraId="28E7AA51">
            <w:pPr>
              <w:widowControl/>
              <w:spacing w:line="240" w:lineRule="exact"/>
              <w:jc w:val="left"/>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100%</w:t>
            </w:r>
          </w:p>
        </w:tc>
        <w:tc>
          <w:tcPr>
            <w:tcW w:w="578" w:type="dxa"/>
            <w:tcBorders>
              <w:top w:val="nil"/>
              <w:left w:val="nil"/>
              <w:bottom w:val="single" w:color="auto" w:sz="4" w:space="0"/>
              <w:right w:val="single" w:color="auto" w:sz="4" w:space="0"/>
            </w:tcBorders>
            <w:noWrap w:val="0"/>
            <w:vAlign w:val="center"/>
          </w:tcPr>
          <w:p w14:paraId="60BEF5AF">
            <w:pPr>
              <w:widowControl/>
              <w:spacing w:line="240" w:lineRule="exact"/>
              <w:jc w:val="center"/>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w:t>
            </w:r>
          </w:p>
        </w:tc>
        <w:tc>
          <w:tcPr>
            <w:tcW w:w="873" w:type="dxa"/>
            <w:tcBorders>
              <w:top w:val="nil"/>
              <w:left w:val="nil"/>
              <w:bottom w:val="single" w:color="auto" w:sz="4" w:space="0"/>
              <w:right w:val="single" w:color="auto" w:sz="4" w:space="0"/>
            </w:tcBorders>
            <w:noWrap w:val="0"/>
            <w:vAlign w:val="center"/>
          </w:tcPr>
          <w:p w14:paraId="3A8D067E">
            <w:pPr>
              <w:widowControl/>
              <w:spacing w:line="240" w:lineRule="exact"/>
              <w:jc w:val="center"/>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w:t>
            </w:r>
          </w:p>
        </w:tc>
        <w:tc>
          <w:tcPr>
            <w:tcW w:w="1446" w:type="dxa"/>
            <w:tcBorders>
              <w:top w:val="nil"/>
              <w:left w:val="nil"/>
              <w:bottom w:val="single" w:color="auto" w:sz="4" w:space="0"/>
              <w:right w:val="single" w:color="auto" w:sz="4" w:space="0"/>
            </w:tcBorders>
            <w:noWrap w:val="0"/>
            <w:vAlign w:val="center"/>
          </w:tcPr>
          <w:p w14:paraId="162D80EB">
            <w:pPr>
              <w:widowControl/>
              <w:spacing w:line="240" w:lineRule="exact"/>
              <w:jc w:val="center"/>
              <w:rPr>
                <w:rFonts w:hint="eastAsia" w:ascii="仿宋_GB2312" w:hAnsi="仿宋_GB2312" w:eastAsia="仿宋_GB2312" w:cs="仿宋_GB2312"/>
                <w:color w:val="000000"/>
                <w:sz w:val="20"/>
                <w:szCs w:val="20"/>
                <w:highlight w:val="none"/>
              </w:rPr>
            </w:pPr>
          </w:p>
        </w:tc>
      </w:tr>
      <w:tr w14:paraId="21FFD9CA">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14:paraId="06C6396F">
            <w:pPr>
              <w:spacing w:line="240" w:lineRule="exact"/>
              <w:jc w:val="left"/>
              <w:rPr>
                <w:rFonts w:hint="eastAsia" w:ascii="仿宋_GB2312" w:hAnsi="仿宋_GB2312" w:eastAsia="仿宋_GB2312" w:cs="仿宋_GB2312"/>
                <w:color w:val="000000"/>
                <w:sz w:val="20"/>
                <w:szCs w:val="20"/>
                <w:highlight w:val="none"/>
              </w:rPr>
            </w:pPr>
          </w:p>
        </w:tc>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14:paraId="3578801F">
            <w:pPr>
              <w:spacing w:line="240" w:lineRule="exact"/>
              <w:jc w:val="left"/>
              <w:rPr>
                <w:rFonts w:hint="eastAsia" w:ascii="仿宋_GB2312" w:hAnsi="仿宋_GB2312" w:eastAsia="仿宋_GB2312" w:cs="仿宋_GB2312"/>
                <w:color w:val="000000"/>
                <w:sz w:val="20"/>
                <w:szCs w:val="20"/>
                <w:highlight w:val="none"/>
              </w:rPr>
            </w:pPr>
          </w:p>
        </w:tc>
        <w:tc>
          <w:tcPr>
            <w:tcW w:w="1034" w:type="dxa"/>
            <w:vMerge w:val="continue"/>
            <w:tcBorders>
              <w:top w:val="single" w:color="auto" w:sz="4" w:space="0"/>
              <w:left w:val="single" w:color="auto" w:sz="4" w:space="0"/>
              <w:bottom w:val="single" w:color="auto" w:sz="4" w:space="0"/>
              <w:right w:val="single" w:color="auto" w:sz="4" w:space="0"/>
            </w:tcBorders>
            <w:noWrap w:val="0"/>
            <w:vAlign w:val="center"/>
          </w:tcPr>
          <w:p w14:paraId="5ADE20FA">
            <w:pPr>
              <w:spacing w:line="240" w:lineRule="exact"/>
              <w:jc w:val="center"/>
              <w:rPr>
                <w:rFonts w:hint="eastAsia" w:ascii="仿宋_GB2312" w:hAnsi="仿宋_GB2312" w:eastAsia="仿宋_GB2312" w:cs="仿宋_GB2312"/>
                <w:color w:val="000000"/>
                <w:sz w:val="20"/>
                <w:szCs w:val="20"/>
                <w:highlight w:val="none"/>
              </w:rPr>
            </w:pPr>
          </w:p>
        </w:tc>
        <w:tc>
          <w:tcPr>
            <w:tcW w:w="1507" w:type="dxa"/>
            <w:tcBorders>
              <w:top w:val="single" w:color="auto" w:sz="4" w:space="0"/>
              <w:left w:val="single" w:color="auto" w:sz="4" w:space="0"/>
              <w:bottom w:val="single" w:color="auto" w:sz="4" w:space="0"/>
              <w:right w:val="single" w:color="auto" w:sz="4" w:space="0"/>
            </w:tcBorders>
            <w:noWrap w:val="0"/>
            <w:vAlign w:val="center"/>
          </w:tcPr>
          <w:p w14:paraId="6561F0FB">
            <w:pPr>
              <w:widowControl/>
              <w:spacing w:line="240" w:lineRule="exact"/>
              <w:jc w:val="left"/>
              <w:rPr>
                <w:rFonts w:hint="eastAsia" w:ascii="仿宋_GB2312" w:hAnsi="仿宋_GB2312" w:eastAsia="仿宋_GB2312" w:cs="仿宋_GB2312"/>
                <w:color w:val="000000"/>
                <w:kern w:val="2"/>
                <w:sz w:val="20"/>
                <w:szCs w:val="20"/>
                <w:highlight w:val="none"/>
                <w:lang w:val="en-US" w:eastAsia="zh-CN" w:bidi="ar-SA"/>
              </w:rPr>
            </w:pPr>
            <w:r>
              <w:rPr>
                <w:rFonts w:hint="eastAsia" w:ascii="仿宋_GB2312" w:hAnsi="仿宋_GB2312" w:eastAsia="仿宋_GB2312" w:cs="仿宋_GB2312"/>
                <w:color w:val="000000"/>
                <w:sz w:val="20"/>
                <w:szCs w:val="20"/>
                <w:highlight w:val="none"/>
                <w:lang w:val="en-US" w:eastAsia="zh-CN"/>
              </w:rPr>
              <w:t>商品房买卖合同备案办结率</w:t>
            </w:r>
          </w:p>
        </w:tc>
        <w:tc>
          <w:tcPr>
            <w:tcW w:w="1234" w:type="dxa"/>
            <w:tcBorders>
              <w:top w:val="single" w:color="auto" w:sz="4" w:space="0"/>
              <w:left w:val="single" w:color="auto" w:sz="4" w:space="0"/>
              <w:bottom w:val="single" w:color="auto" w:sz="4" w:space="0"/>
              <w:right w:val="single" w:color="auto" w:sz="4" w:space="0"/>
            </w:tcBorders>
            <w:noWrap w:val="0"/>
            <w:vAlign w:val="center"/>
          </w:tcPr>
          <w:p w14:paraId="3D4EC1D1">
            <w:pPr>
              <w:widowControl/>
              <w:spacing w:line="240" w:lineRule="exact"/>
              <w:jc w:val="center"/>
              <w:rPr>
                <w:rFonts w:hint="eastAsia" w:ascii="仿宋_GB2312" w:hAnsi="仿宋_GB2312" w:eastAsia="仿宋_GB2312" w:cs="仿宋_GB2312"/>
                <w:color w:val="000000"/>
                <w:kern w:val="2"/>
                <w:sz w:val="20"/>
                <w:szCs w:val="20"/>
                <w:highlight w:val="none"/>
                <w:lang w:val="en-US" w:eastAsia="zh-CN" w:bidi="ar-SA"/>
              </w:rPr>
            </w:pPr>
            <w:r>
              <w:rPr>
                <w:rFonts w:hint="eastAsia" w:ascii="仿宋_GB2312" w:hAnsi="仿宋_GB2312" w:eastAsia="仿宋_GB2312" w:cs="仿宋_GB2312"/>
                <w:color w:val="000000"/>
                <w:sz w:val="20"/>
                <w:szCs w:val="20"/>
                <w:highlight w:val="none"/>
                <w:lang w:val="en-US" w:eastAsia="zh-CN"/>
              </w:rPr>
              <w:t>≥95%</w:t>
            </w:r>
          </w:p>
        </w:tc>
        <w:tc>
          <w:tcPr>
            <w:tcW w:w="1247" w:type="dxa"/>
            <w:tcBorders>
              <w:top w:val="nil"/>
              <w:left w:val="nil"/>
              <w:bottom w:val="single" w:color="auto" w:sz="4" w:space="0"/>
              <w:right w:val="single" w:color="auto" w:sz="4" w:space="0"/>
            </w:tcBorders>
            <w:noWrap w:val="0"/>
            <w:vAlign w:val="center"/>
          </w:tcPr>
          <w:p w14:paraId="4933C223">
            <w:pPr>
              <w:widowControl/>
              <w:spacing w:line="240" w:lineRule="exact"/>
              <w:jc w:val="left"/>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100%</w:t>
            </w:r>
          </w:p>
        </w:tc>
        <w:tc>
          <w:tcPr>
            <w:tcW w:w="578" w:type="dxa"/>
            <w:tcBorders>
              <w:top w:val="nil"/>
              <w:left w:val="nil"/>
              <w:bottom w:val="single" w:color="auto" w:sz="4" w:space="0"/>
              <w:right w:val="single" w:color="auto" w:sz="4" w:space="0"/>
            </w:tcBorders>
            <w:noWrap w:val="0"/>
            <w:vAlign w:val="center"/>
          </w:tcPr>
          <w:p w14:paraId="4C1B42D9">
            <w:pPr>
              <w:widowControl/>
              <w:spacing w:line="240" w:lineRule="exact"/>
              <w:jc w:val="center"/>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w:t>
            </w:r>
          </w:p>
        </w:tc>
        <w:tc>
          <w:tcPr>
            <w:tcW w:w="873" w:type="dxa"/>
            <w:tcBorders>
              <w:top w:val="nil"/>
              <w:left w:val="nil"/>
              <w:bottom w:val="single" w:color="auto" w:sz="4" w:space="0"/>
              <w:right w:val="single" w:color="auto" w:sz="4" w:space="0"/>
            </w:tcBorders>
            <w:noWrap w:val="0"/>
            <w:vAlign w:val="center"/>
          </w:tcPr>
          <w:p w14:paraId="1940359E">
            <w:pPr>
              <w:widowControl/>
              <w:spacing w:line="240" w:lineRule="exact"/>
              <w:jc w:val="center"/>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w:t>
            </w:r>
          </w:p>
        </w:tc>
        <w:tc>
          <w:tcPr>
            <w:tcW w:w="1446" w:type="dxa"/>
            <w:tcBorders>
              <w:top w:val="nil"/>
              <w:left w:val="nil"/>
              <w:bottom w:val="single" w:color="auto" w:sz="4" w:space="0"/>
              <w:right w:val="single" w:color="auto" w:sz="4" w:space="0"/>
            </w:tcBorders>
            <w:noWrap w:val="0"/>
            <w:vAlign w:val="center"/>
          </w:tcPr>
          <w:p w14:paraId="3B88687B">
            <w:pPr>
              <w:widowControl/>
              <w:spacing w:line="240" w:lineRule="exact"/>
              <w:jc w:val="center"/>
              <w:rPr>
                <w:rFonts w:hint="eastAsia" w:ascii="仿宋_GB2312" w:hAnsi="仿宋_GB2312" w:eastAsia="仿宋_GB2312" w:cs="仿宋_GB2312"/>
                <w:color w:val="000000"/>
                <w:sz w:val="20"/>
                <w:szCs w:val="20"/>
                <w:highlight w:val="none"/>
              </w:rPr>
            </w:pPr>
          </w:p>
        </w:tc>
      </w:tr>
      <w:tr w14:paraId="2364699D">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14:paraId="76D24BDC">
            <w:pPr>
              <w:spacing w:line="240" w:lineRule="exact"/>
              <w:jc w:val="left"/>
              <w:rPr>
                <w:rFonts w:hint="eastAsia" w:ascii="仿宋_GB2312" w:hAnsi="仿宋_GB2312" w:eastAsia="仿宋_GB2312" w:cs="仿宋_GB2312"/>
                <w:color w:val="000000"/>
                <w:sz w:val="20"/>
                <w:szCs w:val="20"/>
                <w:highlight w:val="none"/>
              </w:rPr>
            </w:pPr>
          </w:p>
        </w:tc>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14:paraId="7E5B64AC">
            <w:pPr>
              <w:spacing w:line="240" w:lineRule="exact"/>
              <w:jc w:val="left"/>
              <w:rPr>
                <w:rFonts w:hint="eastAsia" w:ascii="仿宋_GB2312" w:hAnsi="仿宋_GB2312" w:eastAsia="仿宋_GB2312" w:cs="仿宋_GB2312"/>
                <w:color w:val="000000"/>
                <w:sz w:val="20"/>
                <w:szCs w:val="20"/>
                <w:highlight w:val="none"/>
              </w:rPr>
            </w:pPr>
          </w:p>
        </w:tc>
        <w:tc>
          <w:tcPr>
            <w:tcW w:w="1034" w:type="dxa"/>
            <w:tcBorders>
              <w:top w:val="single" w:color="auto" w:sz="4" w:space="0"/>
              <w:left w:val="single" w:color="auto" w:sz="4" w:space="0"/>
              <w:bottom w:val="single" w:color="auto" w:sz="4" w:space="0"/>
              <w:right w:val="single" w:color="auto" w:sz="4" w:space="0"/>
            </w:tcBorders>
            <w:noWrap w:val="0"/>
            <w:vAlign w:val="center"/>
          </w:tcPr>
          <w:p w14:paraId="5FF2DFF0">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时效指标</w:t>
            </w:r>
          </w:p>
        </w:tc>
        <w:tc>
          <w:tcPr>
            <w:tcW w:w="1507" w:type="dxa"/>
            <w:tcBorders>
              <w:top w:val="single" w:color="auto" w:sz="4" w:space="0"/>
              <w:left w:val="single" w:color="auto" w:sz="4" w:space="0"/>
              <w:bottom w:val="single" w:color="auto" w:sz="4" w:space="0"/>
              <w:right w:val="single" w:color="auto" w:sz="4" w:space="0"/>
            </w:tcBorders>
            <w:noWrap w:val="0"/>
            <w:vAlign w:val="center"/>
          </w:tcPr>
          <w:p w14:paraId="4B081D31">
            <w:pPr>
              <w:widowControl/>
              <w:spacing w:line="240" w:lineRule="exact"/>
              <w:jc w:val="left"/>
              <w:rPr>
                <w:rFonts w:hint="eastAsia" w:ascii="仿宋_GB2312" w:hAnsi="仿宋_GB2312" w:eastAsia="仿宋_GB2312" w:cs="仿宋_GB2312"/>
                <w:color w:val="000000"/>
                <w:kern w:val="2"/>
                <w:sz w:val="20"/>
                <w:szCs w:val="20"/>
                <w:highlight w:val="none"/>
                <w:lang w:val="en-US" w:eastAsia="zh-CN" w:bidi="ar-SA"/>
              </w:rPr>
            </w:pPr>
            <w:r>
              <w:rPr>
                <w:rFonts w:hint="eastAsia" w:ascii="仿宋_GB2312" w:hAnsi="仿宋_GB2312" w:eastAsia="仿宋_GB2312" w:cs="仿宋_GB2312"/>
                <w:color w:val="000000"/>
                <w:sz w:val="20"/>
                <w:szCs w:val="20"/>
                <w:highlight w:val="none"/>
                <w:lang w:val="en-US" w:eastAsia="zh-CN"/>
              </w:rPr>
              <w:t>人员工资福利和津补贴发放</w:t>
            </w:r>
          </w:p>
        </w:tc>
        <w:tc>
          <w:tcPr>
            <w:tcW w:w="1234" w:type="dxa"/>
            <w:tcBorders>
              <w:top w:val="single" w:color="auto" w:sz="4" w:space="0"/>
              <w:left w:val="single" w:color="auto" w:sz="4" w:space="0"/>
              <w:bottom w:val="single" w:color="auto" w:sz="4" w:space="0"/>
              <w:right w:val="single" w:color="auto" w:sz="4" w:space="0"/>
            </w:tcBorders>
            <w:noWrap w:val="0"/>
            <w:vAlign w:val="center"/>
          </w:tcPr>
          <w:p w14:paraId="42B51B6F">
            <w:pPr>
              <w:widowControl/>
              <w:spacing w:line="240" w:lineRule="exact"/>
              <w:jc w:val="center"/>
              <w:rPr>
                <w:rFonts w:hint="default" w:ascii="仿宋_GB2312" w:hAnsi="仿宋_GB2312" w:eastAsia="仿宋_GB2312" w:cs="仿宋_GB2312"/>
                <w:color w:val="000000"/>
                <w:kern w:val="2"/>
                <w:sz w:val="20"/>
                <w:szCs w:val="20"/>
                <w:highlight w:val="none"/>
                <w:lang w:val="en-US" w:eastAsia="zh-CN" w:bidi="ar-SA"/>
              </w:rPr>
            </w:pPr>
            <w:r>
              <w:rPr>
                <w:rFonts w:hint="eastAsia" w:ascii="东文宋体" w:hAnsi="东文宋体" w:eastAsia="东文宋体" w:cs="东文宋体"/>
                <w:color w:val="000000"/>
                <w:sz w:val="20"/>
                <w:szCs w:val="20"/>
                <w:highlight w:val="none"/>
                <w:lang w:val="en-US" w:eastAsia="zh-CN"/>
              </w:rPr>
              <w:t>≤</w:t>
            </w:r>
            <w:r>
              <w:rPr>
                <w:rFonts w:hint="eastAsia" w:ascii="仿宋_GB2312" w:hAnsi="仿宋_GB2312" w:eastAsia="仿宋_GB2312" w:cs="仿宋_GB2312"/>
                <w:color w:val="000000"/>
                <w:sz w:val="20"/>
                <w:szCs w:val="20"/>
                <w:highlight w:val="none"/>
                <w:lang w:val="en-US" w:eastAsia="zh-CN"/>
              </w:rPr>
              <w:t>10个工作日</w:t>
            </w:r>
          </w:p>
        </w:tc>
        <w:tc>
          <w:tcPr>
            <w:tcW w:w="1247" w:type="dxa"/>
            <w:tcBorders>
              <w:top w:val="nil"/>
              <w:left w:val="nil"/>
              <w:bottom w:val="single" w:color="auto" w:sz="4" w:space="0"/>
              <w:right w:val="single" w:color="auto" w:sz="4" w:space="0"/>
            </w:tcBorders>
            <w:noWrap w:val="0"/>
            <w:vAlign w:val="center"/>
          </w:tcPr>
          <w:p w14:paraId="4A4F8609">
            <w:pPr>
              <w:widowControl/>
              <w:spacing w:line="240" w:lineRule="exact"/>
              <w:jc w:val="both"/>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10个工作日以内</w:t>
            </w:r>
          </w:p>
        </w:tc>
        <w:tc>
          <w:tcPr>
            <w:tcW w:w="578" w:type="dxa"/>
            <w:tcBorders>
              <w:top w:val="nil"/>
              <w:left w:val="nil"/>
              <w:bottom w:val="single" w:color="auto" w:sz="4" w:space="0"/>
              <w:right w:val="single" w:color="auto" w:sz="4" w:space="0"/>
            </w:tcBorders>
            <w:noWrap w:val="0"/>
            <w:vAlign w:val="center"/>
          </w:tcPr>
          <w:p w14:paraId="05D7DEA7">
            <w:pPr>
              <w:widowControl/>
              <w:spacing w:line="240" w:lineRule="exact"/>
              <w:jc w:val="center"/>
              <w:rPr>
                <w:rFonts w:hint="default" w:ascii="仿宋_GB2312" w:hAnsi="仿宋_GB2312" w:eastAsia="仿宋_GB2312" w:cs="仿宋_GB2312"/>
                <w:color w:val="000000"/>
                <w:sz w:val="20"/>
                <w:szCs w:val="20"/>
                <w:highlight w:val="none"/>
                <w:lang w:val="en-US" w:eastAsia="zh-CN"/>
              </w:rPr>
            </w:pPr>
            <w:r>
              <w:rPr>
                <w:rFonts w:hint="default" w:ascii="仿宋_GB2312" w:hAnsi="仿宋_GB2312" w:eastAsia="仿宋_GB2312" w:cs="仿宋_GB2312"/>
                <w:color w:val="000000"/>
                <w:sz w:val="20"/>
                <w:szCs w:val="20"/>
                <w:highlight w:val="none"/>
                <w:lang w:val="en-US" w:eastAsia="zh-CN"/>
              </w:rPr>
              <w:t>5</w:t>
            </w:r>
          </w:p>
        </w:tc>
        <w:tc>
          <w:tcPr>
            <w:tcW w:w="873" w:type="dxa"/>
            <w:tcBorders>
              <w:top w:val="nil"/>
              <w:left w:val="nil"/>
              <w:bottom w:val="single" w:color="auto" w:sz="4" w:space="0"/>
              <w:right w:val="single" w:color="auto" w:sz="4" w:space="0"/>
            </w:tcBorders>
            <w:noWrap w:val="0"/>
            <w:vAlign w:val="center"/>
          </w:tcPr>
          <w:p w14:paraId="64535673">
            <w:pPr>
              <w:widowControl/>
              <w:spacing w:line="240" w:lineRule="exact"/>
              <w:jc w:val="center"/>
              <w:rPr>
                <w:rFonts w:hint="default" w:ascii="仿宋_GB2312" w:hAnsi="仿宋_GB2312" w:eastAsia="仿宋_GB2312" w:cs="仿宋_GB2312"/>
                <w:color w:val="000000"/>
                <w:sz w:val="20"/>
                <w:szCs w:val="20"/>
                <w:highlight w:val="none"/>
                <w:lang w:val="en-US" w:eastAsia="zh-CN"/>
              </w:rPr>
            </w:pPr>
            <w:r>
              <w:rPr>
                <w:rFonts w:hint="default" w:ascii="仿宋_GB2312" w:hAnsi="仿宋_GB2312" w:eastAsia="仿宋_GB2312" w:cs="仿宋_GB2312"/>
                <w:color w:val="000000"/>
                <w:sz w:val="20"/>
                <w:szCs w:val="20"/>
                <w:highlight w:val="none"/>
                <w:lang w:val="en-US" w:eastAsia="zh-CN"/>
              </w:rPr>
              <w:t>5</w:t>
            </w:r>
          </w:p>
        </w:tc>
        <w:tc>
          <w:tcPr>
            <w:tcW w:w="1446" w:type="dxa"/>
            <w:tcBorders>
              <w:top w:val="nil"/>
              <w:left w:val="nil"/>
              <w:bottom w:val="single" w:color="auto" w:sz="4" w:space="0"/>
              <w:right w:val="single" w:color="auto" w:sz="4" w:space="0"/>
            </w:tcBorders>
            <w:noWrap w:val="0"/>
            <w:vAlign w:val="center"/>
          </w:tcPr>
          <w:p w14:paraId="54161D32">
            <w:pPr>
              <w:widowControl/>
              <w:spacing w:line="240" w:lineRule="exact"/>
              <w:jc w:val="center"/>
              <w:rPr>
                <w:rFonts w:hint="eastAsia" w:ascii="仿宋_GB2312" w:hAnsi="仿宋_GB2312" w:eastAsia="仿宋_GB2312" w:cs="仿宋_GB2312"/>
                <w:color w:val="000000"/>
                <w:sz w:val="20"/>
                <w:szCs w:val="20"/>
                <w:highlight w:val="none"/>
              </w:rPr>
            </w:pPr>
          </w:p>
        </w:tc>
      </w:tr>
      <w:tr w14:paraId="3EC5DCD8">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14:paraId="603D6164">
            <w:pPr>
              <w:spacing w:line="240" w:lineRule="exact"/>
              <w:jc w:val="left"/>
              <w:rPr>
                <w:rFonts w:hint="eastAsia" w:ascii="仿宋_GB2312" w:hAnsi="仿宋_GB2312" w:eastAsia="仿宋_GB2312" w:cs="仿宋_GB2312"/>
                <w:color w:val="000000"/>
                <w:sz w:val="20"/>
                <w:szCs w:val="20"/>
                <w:highlight w:val="none"/>
              </w:rPr>
            </w:pPr>
          </w:p>
        </w:tc>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14:paraId="19CA773F">
            <w:pPr>
              <w:spacing w:line="240" w:lineRule="exact"/>
              <w:jc w:val="left"/>
              <w:rPr>
                <w:rFonts w:hint="eastAsia" w:ascii="仿宋_GB2312" w:hAnsi="仿宋_GB2312" w:eastAsia="仿宋_GB2312" w:cs="仿宋_GB2312"/>
                <w:color w:val="000000"/>
                <w:sz w:val="20"/>
                <w:szCs w:val="20"/>
                <w:highlight w:val="none"/>
              </w:rPr>
            </w:pPr>
          </w:p>
        </w:tc>
        <w:tc>
          <w:tcPr>
            <w:tcW w:w="1034" w:type="dxa"/>
            <w:tcBorders>
              <w:top w:val="single" w:color="auto" w:sz="4" w:space="0"/>
              <w:left w:val="single" w:color="auto" w:sz="4" w:space="0"/>
              <w:bottom w:val="single" w:color="auto" w:sz="4" w:space="0"/>
              <w:right w:val="single" w:color="auto" w:sz="4" w:space="0"/>
            </w:tcBorders>
            <w:noWrap w:val="0"/>
            <w:vAlign w:val="center"/>
          </w:tcPr>
          <w:p w14:paraId="4DA6E2D8">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成本指标</w:t>
            </w:r>
          </w:p>
        </w:tc>
        <w:tc>
          <w:tcPr>
            <w:tcW w:w="1507" w:type="dxa"/>
            <w:tcBorders>
              <w:top w:val="single" w:color="auto" w:sz="4" w:space="0"/>
              <w:left w:val="single" w:color="auto" w:sz="4" w:space="0"/>
              <w:bottom w:val="single" w:color="auto" w:sz="4" w:space="0"/>
              <w:right w:val="single" w:color="auto" w:sz="4" w:space="0"/>
            </w:tcBorders>
            <w:noWrap w:val="0"/>
            <w:vAlign w:val="center"/>
          </w:tcPr>
          <w:p w14:paraId="57595E45">
            <w:pPr>
              <w:widowControl/>
              <w:spacing w:line="240" w:lineRule="exact"/>
              <w:ind w:firstLine="200" w:firstLineChars="100"/>
              <w:jc w:val="left"/>
              <w:rPr>
                <w:rFonts w:hint="eastAsia" w:ascii="仿宋_GB2312" w:hAnsi="仿宋_GB2312" w:eastAsia="仿宋_GB2312" w:cs="仿宋_GB2312"/>
                <w:color w:val="000000"/>
                <w:kern w:val="2"/>
                <w:sz w:val="20"/>
                <w:szCs w:val="20"/>
                <w:highlight w:val="none"/>
                <w:lang w:val="en-US" w:eastAsia="zh-CN" w:bidi="ar-SA"/>
              </w:rPr>
            </w:pPr>
            <w:r>
              <w:rPr>
                <w:rFonts w:hint="eastAsia" w:ascii="仿宋_GB2312" w:hAnsi="仿宋_GB2312" w:eastAsia="仿宋_GB2312" w:cs="仿宋_GB2312"/>
                <w:color w:val="000000"/>
                <w:sz w:val="20"/>
                <w:szCs w:val="20"/>
                <w:highlight w:val="none"/>
                <w:lang w:val="en-US" w:eastAsia="zh-CN"/>
              </w:rPr>
              <w:t>预算控制数</w:t>
            </w:r>
          </w:p>
        </w:tc>
        <w:tc>
          <w:tcPr>
            <w:tcW w:w="1234" w:type="dxa"/>
            <w:tcBorders>
              <w:top w:val="single" w:color="auto" w:sz="4" w:space="0"/>
              <w:left w:val="single" w:color="auto" w:sz="4" w:space="0"/>
              <w:bottom w:val="single" w:color="auto" w:sz="4" w:space="0"/>
              <w:right w:val="single" w:color="auto" w:sz="4" w:space="0"/>
            </w:tcBorders>
            <w:noWrap w:val="0"/>
            <w:vAlign w:val="center"/>
          </w:tcPr>
          <w:p w14:paraId="0DDD2911">
            <w:pPr>
              <w:widowControl/>
              <w:spacing w:line="240" w:lineRule="exact"/>
              <w:jc w:val="center"/>
              <w:rPr>
                <w:rFonts w:hint="default" w:ascii="仿宋_GB2312" w:hAnsi="仿宋_GB2312" w:eastAsia="仿宋_GB2312" w:cs="仿宋_GB2312"/>
                <w:color w:val="000000"/>
                <w:kern w:val="2"/>
                <w:sz w:val="20"/>
                <w:szCs w:val="20"/>
                <w:highlight w:val="none"/>
                <w:lang w:val="en-US" w:eastAsia="zh-CN" w:bidi="ar-SA"/>
              </w:rPr>
            </w:pPr>
            <w:r>
              <w:rPr>
                <w:rFonts w:hint="eastAsia" w:ascii="仿宋_GB2312" w:hAnsi="仿宋_GB2312" w:eastAsia="仿宋_GB2312" w:cs="仿宋_GB2312"/>
                <w:color w:val="000000"/>
                <w:sz w:val="20"/>
                <w:szCs w:val="20"/>
                <w:highlight w:val="none"/>
                <w:lang w:eastAsia="zh-CN"/>
              </w:rPr>
              <w:t>财政预算资金内</w:t>
            </w:r>
          </w:p>
        </w:tc>
        <w:tc>
          <w:tcPr>
            <w:tcW w:w="1247" w:type="dxa"/>
            <w:tcBorders>
              <w:top w:val="nil"/>
              <w:left w:val="nil"/>
              <w:bottom w:val="single" w:color="auto" w:sz="4" w:space="0"/>
              <w:right w:val="single" w:color="auto" w:sz="4" w:space="0"/>
            </w:tcBorders>
            <w:noWrap w:val="0"/>
            <w:vAlign w:val="center"/>
          </w:tcPr>
          <w:p w14:paraId="68E8CF63">
            <w:pPr>
              <w:widowControl/>
              <w:spacing w:line="240" w:lineRule="exact"/>
              <w:jc w:val="both"/>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eastAsia="zh-CN"/>
              </w:rPr>
              <w:t>财政预算资金内</w:t>
            </w:r>
          </w:p>
        </w:tc>
        <w:tc>
          <w:tcPr>
            <w:tcW w:w="578" w:type="dxa"/>
            <w:tcBorders>
              <w:top w:val="nil"/>
              <w:left w:val="nil"/>
              <w:bottom w:val="single" w:color="auto" w:sz="4" w:space="0"/>
              <w:right w:val="single" w:color="auto" w:sz="4" w:space="0"/>
            </w:tcBorders>
            <w:noWrap w:val="0"/>
            <w:vAlign w:val="center"/>
          </w:tcPr>
          <w:p w14:paraId="20367865">
            <w:pPr>
              <w:widowControl/>
              <w:spacing w:line="240" w:lineRule="exact"/>
              <w:jc w:val="center"/>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w:t>
            </w:r>
          </w:p>
        </w:tc>
        <w:tc>
          <w:tcPr>
            <w:tcW w:w="873" w:type="dxa"/>
            <w:tcBorders>
              <w:top w:val="nil"/>
              <w:left w:val="nil"/>
              <w:bottom w:val="single" w:color="auto" w:sz="4" w:space="0"/>
              <w:right w:val="single" w:color="auto" w:sz="4" w:space="0"/>
            </w:tcBorders>
            <w:noWrap w:val="0"/>
            <w:vAlign w:val="center"/>
          </w:tcPr>
          <w:p w14:paraId="069E3591">
            <w:pPr>
              <w:widowControl/>
              <w:spacing w:line="240" w:lineRule="exact"/>
              <w:jc w:val="center"/>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w:t>
            </w:r>
          </w:p>
        </w:tc>
        <w:tc>
          <w:tcPr>
            <w:tcW w:w="1446" w:type="dxa"/>
            <w:tcBorders>
              <w:top w:val="nil"/>
              <w:left w:val="nil"/>
              <w:bottom w:val="single" w:color="auto" w:sz="4" w:space="0"/>
              <w:right w:val="single" w:color="auto" w:sz="4" w:space="0"/>
            </w:tcBorders>
            <w:noWrap w:val="0"/>
            <w:vAlign w:val="center"/>
          </w:tcPr>
          <w:p w14:paraId="0A34427A">
            <w:pPr>
              <w:widowControl/>
              <w:spacing w:line="240" w:lineRule="exact"/>
              <w:jc w:val="center"/>
              <w:rPr>
                <w:rFonts w:hint="eastAsia" w:ascii="仿宋_GB2312" w:hAnsi="仿宋_GB2312" w:eastAsia="仿宋_GB2312" w:cs="仿宋_GB2312"/>
                <w:color w:val="000000"/>
                <w:sz w:val="20"/>
                <w:szCs w:val="20"/>
                <w:highlight w:val="none"/>
              </w:rPr>
            </w:pPr>
          </w:p>
        </w:tc>
      </w:tr>
      <w:tr w14:paraId="691E15D3">
        <w:tblPrEx>
          <w:tblCellMar>
            <w:top w:w="0" w:type="dxa"/>
            <w:left w:w="108" w:type="dxa"/>
            <w:bottom w:w="0" w:type="dxa"/>
            <w:right w:w="108" w:type="dxa"/>
          </w:tblCellMar>
        </w:tblPrEx>
        <w:trPr>
          <w:trHeight w:val="456" w:hRule="atLeast"/>
          <w:jc w:val="center"/>
        </w:trPr>
        <w:tc>
          <w:tcPr>
            <w:tcW w:w="1080" w:type="dxa"/>
            <w:vMerge w:val="continue"/>
            <w:tcBorders>
              <w:left w:val="single" w:color="auto" w:sz="4" w:space="0"/>
              <w:right w:val="single" w:color="auto" w:sz="4" w:space="0"/>
            </w:tcBorders>
            <w:noWrap w:val="0"/>
            <w:vAlign w:val="center"/>
          </w:tcPr>
          <w:p w14:paraId="3D6BD638">
            <w:pPr>
              <w:spacing w:line="240" w:lineRule="exact"/>
              <w:jc w:val="left"/>
              <w:rPr>
                <w:rFonts w:hint="eastAsia" w:ascii="仿宋_GB2312" w:hAnsi="仿宋_GB2312" w:eastAsia="仿宋_GB2312" w:cs="仿宋_GB2312"/>
                <w:color w:val="000000"/>
                <w:sz w:val="20"/>
                <w:szCs w:val="20"/>
                <w:highlight w:val="none"/>
              </w:rPr>
            </w:pPr>
          </w:p>
        </w:tc>
        <w:tc>
          <w:tcPr>
            <w:tcW w:w="1080" w:type="dxa"/>
            <w:vMerge w:val="restart"/>
            <w:tcBorders>
              <w:top w:val="single" w:color="auto" w:sz="4" w:space="0"/>
              <w:left w:val="single" w:color="auto" w:sz="4" w:space="0"/>
              <w:bottom w:val="single" w:color="auto" w:sz="4" w:space="0"/>
              <w:right w:val="single" w:color="auto" w:sz="4" w:space="0"/>
            </w:tcBorders>
            <w:noWrap w:val="0"/>
            <w:vAlign w:val="center"/>
          </w:tcPr>
          <w:p w14:paraId="4D96E4F4">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效益指标</w:t>
            </w:r>
          </w:p>
          <w:p w14:paraId="407D2A7E">
            <w:pPr>
              <w:widowControl/>
              <w:spacing w:line="240" w:lineRule="exact"/>
              <w:jc w:val="left"/>
              <w:rPr>
                <w:rFonts w:hint="eastAsia" w:ascii="仿宋_GB2312" w:hAnsi="仿宋_GB2312" w:eastAsia="仿宋_GB2312" w:cs="仿宋_GB2312"/>
                <w:color w:val="000000"/>
                <w:sz w:val="20"/>
                <w:szCs w:val="20"/>
                <w:highlight w:val="none"/>
              </w:rPr>
            </w:pPr>
          </w:p>
          <w:p w14:paraId="6029B6FD">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（30分）</w:t>
            </w:r>
          </w:p>
          <w:p w14:paraId="53174242">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034" w:type="dxa"/>
            <w:tcBorders>
              <w:top w:val="single" w:color="auto" w:sz="4" w:space="0"/>
              <w:left w:val="single" w:color="auto" w:sz="4" w:space="0"/>
              <w:bottom w:val="single" w:color="auto" w:sz="4" w:space="0"/>
              <w:right w:val="single" w:color="auto" w:sz="4" w:space="0"/>
            </w:tcBorders>
            <w:noWrap w:val="0"/>
            <w:vAlign w:val="center"/>
          </w:tcPr>
          <w:p w14:paraId="4ABE0286">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经济效</w:t>
            </w:r>
          </w:p>
          <w:p w14:paraId="2B1571E9">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益指标</w:t>
            </w:r>
          </w:p>
        </w:tc>
        <w:tc>
          <w:tcPr>
            <w:tcW w:w="1507" w:type="dxa"/>
            <w:tcBorders>
              <w:top w:val="single" w:color="auto" w:sz="4" w:space="0"/>
              <w:left w:val="single" w:color="auto" w:sz="4" w:space="0"/>
              <w:bottom w:val="single" w:color="auto" w:sz="4" w:space="0"/>
              <w:right w:val="single" w:color="auto" w:sz="4" w:space="0"/>
            </w:tcBorders>
            <w:noWrap w:val="0"/>
            <w:vAlign w:val="center"/>
          </w:tcPr>
          <w:p w14:paraId="71FAA202">
            <w:pPr>
              <w:widowControl/>
              <w:spacing w:line="240" w:lineRule="exact"/>
              <w:jc w:val="center"/>
              <w:rPr>
                <w:rFonts w:hint="eastAsia" w:ascii="仿宋_GB2312" w:hAnsi="仿宋_GB2312" w:eastAsia="仿宋_GB2312" w:cs="仿宋_GB2312"/>
                <w:color w:val="000000"/>
                <w:kern w:val="2"/>
                <w:sz w:val="20"/>
                <w:szCs w:val="20"/>
                <w:highlight w:val="none"/>
                <w:lang w:val="en-US" w:eastAsia="zh-CN" w:bidi="ar-SA"/>
              </w:rPr>
            </w:pPr>
            <w:r>
              <w:rPr>
                <w:rFonts w:hint="eastAsia" w:ascii="仿宋_GB2312" w:hAnsi="仿宋_GB2312" w:eastAsia="仿宋_GB2312" w:cs="仿宋_GB2312"/>
                <w:color w:val="000000"/>
                <w:sz w:val="20"/>
                <w:szCs w:val="20"/>
                <w:highlight w:val="none"/>
                <w:lang w:val="en-US" w:eastAsia="zh-CN"/>
              </w:rPr>
              <w:t>不适用</w:t>
            </w:r>
          </w:p>
        </w:tc>
        <w:tc>
          <w:tcPr>
            <w:tcW w:w="1234" w:type="dxa"/>
            <w:tcBorders>
              <w:top w:val="single" w:color="auto" w:sz="4" w:space="0"/>
              <w:left w:val="single" w:color="auto" w:sz="4" w:space="0"/>
              <w:bottom w:val="single" w:color="auto" w:sz="4" w:space="0"/>
              <w:right w:val="single" w:color="auto" w:sz="4" w:space="0"/>
            </w:tcBorders>
            <w:noWrap w:val="0"/>
            <w:vAlign w:val="center"/>
          </w:tcPr>
          <w:p w14:paraId="2BFF152E">
            <w:pPr>
              <w:widowControl/>
              <w:spacing w:line="240" w:lineRule="exact"/>
              <w:jc w:val="center"/>
              <w:rPr>
                <w:rFonts w:hint="eastAsia" w:ascii="仿宋_GB2312" w:hAnsi="仿宋_GB2312" w:eastAsia="仿宋_GB2312" w:cs="仿宋_GB2312"/>
                <w:color w:val="000000"/>
                <w:kern w:val="2"/>
                <w:sz w:val="20"/>
                <w:szCs w:val="20"/>
                <w:highlight w:val="none"/>
                <w:lang w:val="en-US" w:eastAsia="zh-CN" w:bidi="ar-SA"/>
              </w:rPr>
            </w:pPr>
          </w:p>
        </w:tc>
        <w:tc>
          <w:tcPr>
            <w:tcW w:w="1247" w:type="dxa"/>
            <w:tcBorders>
              <w:top w:val="nil"/>
              <w:left w:val="nil"/>
              <w:bottom w:val="single" w:color="auto" w:sz="4" w:space="0"/>
              <w:right w:val="single" w:color="auto" w:sz="4" w:space="0"/>
            </w:tcBorders>
            <w:noWrap w:val="0"/>
            <w:vAlign w:val="center"/>
          </w:tcPr>
          <w:p w14:paraId="1F255891">
            <w:pPr>
              <w:widowControl/>
              <w:spacing w:line="240" w:lineRule="exact"/>
              <w:jc w:val="both"/>
              <w:rPr>
                <w:rFonts w:hint="eastAsia" w:ascii="仿宋_GB2312" w:hAnsi="仿宋_GB2312" w:eastAsia="仿宋_GB2312" w:cs="仿宋_GB2312"/>
                <w:color w:val="000000"/>
                <w:sz w:val="20"/>
                <w:szCs w:val="20"/>
                <w:highlight w:val="none"/>
              </w:rPr>
            </w:pPr>
          </w:p>
        </w:tc>
        <w:tc>
          <w:tcPr>
            <w:tcW w:w="578" w:type="dxa"/>
            <w:tcBorders>
              <w:top w:val="nil"/>
              <w:left w:val="nil"/>
              <w:bottom w:val="single" w:color="auto" w:sz="4" w:space="0"/>
              <w:right w:val="single" w:color="auto" w:sz="4" w:space="0"/>
            </w:tcBorders>
            <w:noWrap w:val="0"/>
            <w:vAlign w:val="center"/>
          </w:tcPr>
          <w:p w14:paraId="55EA2FCF">
            <w:pPr>
              <w:widowControl/>
              <w:spacing w:line="240" w:lineRule="exact"/>
              <w:jc w:val="center"/>
              <w:rPr>
                <w:rFonts w:hint="eastAsia" w:ascii="仿宋_GB2312" w:hAnsi="仿宋_GB2312" w:eastAsia="仿宋_GB2312" w:cs="仿宋_GB2312"/>
                <w:color w:val="000000"/>
                <w:sz w:val="20"/>
                <w:szCs w:val="20"/>
                <w:highlight w:val="none"/>
                <w:lang w:val="en-US" w:eastAsia="zh-CN"/>
              </w:rPr>
            </w:pPr>
          </w:p>
        </w:tc>
        <w:tc>
          <w:tcPr>
            <w:tcW w:w="873" w:type="dxa"/>
            <w:tcBorders>
              <w:top w:val="nil"/>
              <w:left w:val="nil"/>
              <w:bottom w:val="single" w:color="auto" w:sz="4" w:space="0"/>
              <w:right w:val="single" w:color="auto" w:sz="4" w:space="0"/>
            </w:tcBorders>
            <w:noWrap w:val="0"/>
            <w:vAlign w:val="center"/>
          </w:tcPr>
          <w:p w14:paraId="55C3A0A9">
            <w:pPr>
              <w:widowControl/>
              <w:spacing w:line="240" w:lineRule="exact"/>
              <w:jc w:val="center"/>
              <w:rPr>
                <w:rFonts w:hint="eastAsia" w:ascii="仿宋_GB2312" w:hAnsi="仿宋_GB2312" w:eastAsia="仿宋_GB2312" w:cs="仿宋_GB2312"/>
                <w:color w:val="000000"/>
                <w:sz w:val="20"/>
                <w:szCs w:val="20"/>
                <w:highlight w:val="none"/>
                <w:lang w:val="en-US" w:eastAsia="zh-CN"/>
              </w:rPr>
            </w:pPr>
          </w:p>
        </w:tc>
        <w:tc>
          <w:tcPr>
            <w:tcW w:w="1446" w:type="dxa"/>
            <w:tcBorders>
              <w:top w:val="nil"/>
              <w:left w:val="nil"/>
              <w:bottom w:val="single" w:color="auto" w:sz="4" w:space="0"/>
              <w:right w:val="single" w:color="auto" w:sz="4" w:space="0"/>
            </w:tcBorders>
            <w:noWrap w:val="0"/>
            <w:vAlign w:val="center"/>
          </w:tcPr>
          <w:p w14:paraId="102440E8">
            <w:pPr>
              <w:widowControl/>
              <w:spacing w:line="240" w:lineRule="exact"/>
              <w:jc w:val="center"/>
              <w:rPr>
                <w:rFonts w:hint="eastAsia" w:ascii="仿宋_GB2312" w:hAnsi="仿宋_GB2312" w:eastAsia="仿宋_GB2312" w:cs="仿宋_GB2312"/>
                <w:color w:val="000000"/>
                <w:sz w:val="20"/>
                <w:szCs w:val="20"/>
                <w:highlight w:val="none"/>
              </w:rPr>
            </w:pPr>
          </w:p>
        </w:tc>
      </w:tr>
      <w:tr w14:paraId="35AFE454">
        <w:tblPrEx>
          <w:tblCellMar>
            <w:top w:w="0" w:type="dxa"/>
            <w:left w:w="108" w:type="dxa"/>
            <w:bottom w:w="0" w:type="dxa"/>
            <w:right w:w="108" w:type="dxa"/>
          </w:tblCellMar>
        </w:tblPrEx>
        <w:trPr>
          <w:trHeight w:val="387" w:hRule="atLeast"/>
          <w:jc w:val="center"/>
        </w:trPr>
        <w:tc>
          <w:tcPr>
            <w:tcW w:w="1080" w:type="dxa"/>
            <w:vMerge w:val="continue"/>
            <w:tcBorders>
              <w:left w:val="single" w:color="auto" w:sz="4" w:space="0"/>
              <w:right w:val="single" w:color="auto" w:sz="4" w:space="0"/>
            </w:tcBorders>
            <w:noWrap w:val="0"/>
            <w:vAlign w:val="center"/>
          </w:tcPr>
          <w:p w14:paraId="129AFE89">
            <w:pPr>
              <w:spacing w:line="240" w:lineRule="exact"/>
              <w:jc w:val="left"/>
              <w:rPr>
                <w:rFonts w:hint="eastAsia" w:ascii="仿宋_GB2312" w:hAnsi="仿宋_GB2312" w:eastAsia="仿宋_GB2312" w:cs="仿宋_GB2312"/>
                <w:color w:val="000000"/>
                <w:sz w:val="20"/>
                <w:szCs w:val="20"/>
                <w:highlight w:val="none"/>
              </w:rPr>
            </w:pPr>
          </w:p>
        </w:tc>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14:paraId="39DE2CB7">
            <w:pPr>
              <w:spacing w:line="240" w:lineRule="exact"/>
              <w:jc w:val="left"/>
              <w:rPr>
                <w:rFonts w:hint="eastAsia" w:ascii="仿宋_GB2312" w:hAnsi="仿宋_GB2312" w:eastAsia="仿宋_GB2312" w:cs="仿宋_GB2312"/>
                <w:color w:val="000000"/>
                <w:sz w:val="20"/>
                <w:szCs w:val="20"/>
                <w:highlight w:val="none"/>
              </w:rPr>
            </w:pPr>
          </w:p>
        </w:tc>
        <w:tc>
          <w:tcPr>
            <w:tcW w:w="1034" w:type="dxa"/>
            <w:tcBorders>
              <w:top w:val="single" w:color="auto" w:sz="4" w:space="0"/>
              <w:left w:val="single" w:color="auto" w:sz="4" w:space="0"/>
              <w:bottom w:val="single" w:color="auto" w:sz="4" w:space="0"/>
              <w:right w:val="single" w:color="auto" w:sz="4" w:space="0"/>
            </w:tcBorders>
            <w:noWrap w:val="0"/>
            <w:vAlign w:val="center"/>
          </w:tcPr>
          <w:p w14:paraId="2FDC0D01">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社会效</w:t>
            </w:r>
          </w:p>
          <w:p w14:paraId="6D3E9EDA">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益指标</w:t>
            </w:r>
          </w:p>
        </w:tc>
        <w:tc>
          <w:tcPr>
            <w:tcW w:w="1507" w:type="dxa"/>
            <w:tcBorders>
              <w:top w:val="single" w:color="auto" w:sz="4" w:space="0"/>
              <w:left w:val="single" w:color="auto" w:sz="4" w:space="0"/>
              <w:bottom w:val="single" w:color="auto" w:sz="4" w:space="0"/>
              <w:right w:val="single" w:color="auto" w:sz="4" w:space="0"/>
            </w:tcBorders>
            <w:noWrap w:val="0"/>
            <w:vAlign w:val="center"/>
          </w:tcPr>
          <w:p w14:paraId="36ED7A3B">
            <w:pPr>
              <w:widowControl/>
              <w:spacing w:line="240" w:lineRule="exact"/>
              <w:jc w:val="left"/>
              <w:rPr>
                <w:rFonts w:hint="eastAsia" w:ascii="仿宋_GB2312" w:hAnsi="仿宋_GB2312" w:eastAsia="仿宋_GB2312" w:cs="仿宋_GB2312"/>
                <w:color w:val="000000"/>
                <w:kern w:val="2"/>
                <w:sz w:val="20"/>
                <w:szCs w:val="20"/>
                <w:highlight w:val="none"/>
                <w:lang w:val="en-US" w:eastAsia="zh-CN" w:bidi="ar-SA"/>
              </w:rPr>
            </w:pPr>
            <w:r>
              <w:rPr>
                <w:rFonts w:hint="eastAsia" w:ascii="仿宋_GB2312" w:hAnsi="仿宋_GB2312" w:eastAsia="仿宋_GB2312" w:cs="仿宋_GB2312"/>
                <w:color w:val="000000"/>
                <w:sz w:val="20"/>
                <w:szCs w:val="20"/>
                <w:highlight w:val="none"/>
                <w:lang w:val="en-US" w:eastAsia="zh-CN"/>
              </w:rPr>
              <w:t>房地产交易风险降低</w:t>
            </w:r>
          </w:p>
        </w:tc>
        <w:tc>
          <w:tcPr>
            <w:tcW w:w="1234" w:type="dxa"/>
            <w:tcBorders>
              <w:top w:val="single" w:color="auto" w:sz="4" w:space="0"/>
              <w:left w:val="single" w:color="auto" w:sz="4" w:space="0"/>
              <w:bottom w:val="single" w:color="auto" w:sz="4" w:space="0"/>
              <w:right w:val="single" w:color="auto" w:sz="4" w:space="0"/>
            </w:tcBorders>
            <w:noWrap w:val="0"/>
            <w:vAlign w:val="center"/>
          </w:tcPr>
          <w:p w14:paraId="759C742C">
            <w:pPr>
              <w:widowControl/>
              <w:spacing w:line="240" w:lineRule="exact"/>
              <w:jc w:val="center"/>
              <w:rPr>
                <w:rFonts w:hint="eastAsia" w:ascii="仿宋_GB2312" w:hAnsi="仿宋_GB2312" w:eastAsia="仿宋_GB2312" w:cs="仿宋_GB2312"/>
                <w:color w:val="000000"/>
                <w:kern w:val="2"/>
                <w:sz w:val="20"/>
                <w:szCs w:val="20"/>
                <w:highlight w:val="none"/>
                <w:lang w:val="en-US" w:eastAsia="zh-CN" w:bidi="ar-SA"/>
              </w:rPr>
            </w:pPr>
            <w:r>
              <w:rPr>
                <w:rFonts w:hint="eastAsia" w:ascii="仿宋_GB2312" w:hAnsi="仿宋_GB2312" w:eastAsia="仿宋_GB2312" w:cs="仿宋_GB2312"/>
                <w:color w:val="000000"/>
                <w:sz w:val="20"/>
                <w:szCs w:val="20"/>
                <w:highlight w:val="none"/>
                <w:lang w:val="en-US" w:eastAsia="zh-CN"/>
              </w:rPr>
              <w:t>有所降低</w:t>
            </w:r>
          </w:p>
        </w:tc>
        <w:tc>
          <w:tcPr>
            <w:tcW w:w="1247" w:type="dxa"/>
            <w:tcBorders>
              <w:top w:val="nil"/>
              <w:left w:val="nil"/>
              <w:bottom w:val="single" w:color="auto" w:sz="4" w:space="0"/>
              <w:right w:val="single" w:color="auto" w:sz="4" w:space="0"/>
            </w:tcBorders>
            <w:noWrap w:val="0"/>
            <w:vAlign w:val="center"/>
          </w:tcPr>
          <w:p w14:paraId="2FD6623C">
            <w:pPr>
              <w:widowControl/>
              <w:spacing w:line="240" w:lineRule="exact"/>
              <w:jc w:val="both"/>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eastAsia="zh-CN"/>
              </w:rPr>
              <w:t>交易风险有所降低</w:t>
            </w:r>
          </w:p>
        </w:tc>
        <w:tc>
          <w:tcPr>
            <w:tcW w:w="578" w:type="dxa"/>
            <w:tcBorders>
              <w:top w:val="nil"/>
              <w:left w:val="nil"/>
              <w:bottom w:val="single" w:color="auto" w:sz="4" w:space="0"/>
              <w:right w:val="single" w:color="auto" w:sz="4" w:space="0"/>
            </w:tcBorders>
            <w:noWrap w:val="0"/>
            <w:vAlign w:val="center"/>
          </w:tcPr>
          <w:p w14:paraId="5E109686">
            <w:pPr>
              <w:widowControl/>
              <w:spacing w:line="240" w:lineRule="exact"/>
              <w:jc w:val="center"/>
              <w:rPr>
                <w:rFonts w:hint="default" w:ascii="仿宋_GB2312" w:hAnsi="仿宋_GB2312" w:eastAsia="仿宋_GB2312" w:cs="仿宋_GB2312"/>
                <w:color w:val="000000"/>
                <w:sz w:val="20"/>
                <w:szCs w:val="20"/>
                <w:highlight w:val="none"/>
                <w:lang w:val="en-US" w:eastAsia="zh-CN"/>
              </w:rPr>
            </w:pPr>
            <w:r>
              <w:rPr>
                <w:rFonts w:hint="default" w:ascii="仿宋_GB2312" w:hAnsi="仿宋_GB2312" w:eastAsia="仿宋_GB2312" w:cs="仿宋_GB2312"/>
                <w:color w:val="000000"/>
                <w:sz w:val="20"/>
                <w:szCs w:val="20"/>
                <w:highlight w:val="none"/>
                <w:lang w:val="en-US" w:eastAsia="zh-CN"/>
              </w:rPr>
              <w:t>15</w:t>
            </w:r>
          </w:p>
        </w:tc>
        <w:tc>
          <w:tcPr>
            <w:tcW w:w="873" w:type="dxa"/>
            <w:tcBorders>
              <w:top w:val="nil"/>
              <w:left w:val="nil"/>
              <w:bottom w:val="single" w:color="auto" w:sz="4" w:space="0"/>
              <w:right w:val="single" w:color="auto" w:sz="4" w:space="0"/>
            </w:tcBorders>
            <w:noWrap w:val="0"/>
            <w:vAlign w:val="center"/>
          </w:tcPr>
          <w:p w14:paraId="3A0D52B9">
            <w:pPr>
              <w:widowControl/>
              <w:spacing w:line="240" w:lineRule="exact"/>
              <w:jc w:val="center"/>
              <w:rPr>
                <w:rFonts w:hint="default" w:ascii="仿宋_GB2312" w:hAnsi="仿宋_GB2312" w:eastAsia="仿宋_GB2312" w:cs="仿宋_GB2312"/>
                <w:color w:val="000000"/>
                <w:sz w:val="20"/>
                <w:szCs w:val="20"/>
                <w:highlight w:val="none"/>
                <w:lang w:val="en-US" w:eastAsia="zh-CN"/>
              </w:rPr>
            </w:pPr>
            <w:r>
              <w:rPr>
                <w:rFonts w:hint="default" w:ascii="仿宋_GB2312" w:hAnsi="仿宋_GB2312" w:eastAsia="仿宋_GB2312" w:cs="仿宋_GB2312"/>
                <w:color w:val="000000"/>
                <w:sz w:val="20"/>
                <w:szCs w:val="20"/>
                <w:highlight w:val="none"/>
                <w:lang w:val="en-US" w:eastAsia="zh-CN"/>
              </w:rPr>
              <w:t>15</w:t>
            </w:r>
          </w:p>
        </w:tc>
        <w:tc>
          <w:tcPr>
            <w:tcW w:w="1446" w:type="dxa"/>
            <w:tcBorders>
              <w:top w:val="nil"/>
              <w:left w:val="nil"/>
              <w:bottom w:val="single" w:color="auto" w:sz="4" w:space="0"/>
              <w:right w:val="single" w:color="auto" w:sz="4" w:space="0"/>
            </w:tcBorders>
            <w:noWrap w:val="0"/>
            <w:vAlign w:val="center"/>
          </w:tcPr>
          <w:p w14:paraId="0A7021CF">
            <w:pPr>
              <w:widowControl/>
              <w:spacing w:line="240" w:lineRule="exact"/>
              <w:jc w:val="center"/>
              <w:rPr>
                <w:rFonts w:hint="eastAsia" w:ascii="仿宋_GB2312" w:hAnsi="仿宋_GB2312" w:eastAsia="仿宋_GB2312" w:cs="仿宋_GB2312"/>
                <w:color w:val="000000"/>
                <w:sz w:val="20"/>
                <w:szCs w:val="20"/>
                <w:highlight w:val="none"/>
              </w:rPr>
            </w:pPr>
          </w:p>
        </w:tc>
      </w:tr>
      <w:tr w14:paraId="4D705096">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14:paraId="2B0F51E9">
            <w:pPr>
              <w:spacing w:line="240" w:lineRule="exact"/>
              <w:jc w:val="left"/>
              <w:rPr>
                <w:rFonts w:hint="eastAsia" w:ascii="仿宋_GB2312" w:hAnsi="仿宋_GB2312" w:eastAsia="仿宋_GB2312" w:cs="仿宋_GB2312"/>
                <w:color w:val="000000"/>
                <w:sz w:val="20"/>
                <w:szCs w:val="20"/>
                <w:highlight w:val="none"/>
              </w:rPr>
            </w:pPr>
          </w:p>
        </w:tc>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14:paraId="3EA7BD02">
            <w:pPr>
              <w:spacing w:line="240" w:lineRule="exact"/>
              <w:jc w:val="left"/>
              <w:rPr>
                <w:rFonts w:hint="eastAsia" w:ascii="仿宋_GB2312" w:hAnsi="仿宋_GB2312" w:eastAsia="仿宋_GB2312" w:cs="仿宋_GB2312"/>
                <w:color w:val="000000"/>
                <w:sz w:val="20"/>
                <w:szCs w:val="20"/>
                <w:highlight w:val="none"/>
              </w:rPr>
            </w:pPr>
          </w:p>
        </w:tc>
        <w:tc>
          <w:tcPr>
            <w:tcW w:w="1034" w:type="dxa"/>
            <w:tcBorders>
              <w:top w:val="single" w:color="auto" w:sz="4" w:space="0"/>
              <w:left w:val="single" w:color="auto" w:sz="4" w:space="0"/>
              <w:bottom w:val="single" w:color="auto" w:sz="4" w:space="0"/>
              <w:right w:val="single" w:color="auto" w:sz="4" w:space="0"/>
            </w:tcBorders>
            <w:noWrap w:val="0"/>
            <w:vAlign w:val="center"/>
          </w:tcPr>
          <w:p w14:paraId="15962B29">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生态效</w:t>
            </w:r>
          </w:p>
          <w:p w14:paraId="0B22BF48">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益指标</w:t>
            </w:r>
          </w:p>
        </w:tc>
        <w:tc>
          <w:tcPr>
            <w:tcW w:w="1507" w:type="dxa"/>
            <w:tcBorders>
              <w:top w:val="single" w:color="auto" w:sz="4" w:space="0"/>
              <w:left w:val="single" w:color="auto" w:sz="4" w:space="0"/>
              <w:bottom w:val="single" w:color="auto" w:sz="4" w:space="0"/>
              <w:right w:val="single" w:color="auto" w:sz="4" w:space="0"/>
            </w:tcBorders>
            <w:noWrap w:val="0"/>
            <w:vAlign w:val="center"/>
          </w:tcPr>
          <w:p w14:paraId="199E9F15">
            <w:pPr>
              <w:widowControl/>
              <w:spacing w:line="240" w:lineRule="exact"/>
              <w:jc w:val="center"/>
              <w:rPr>
                <w:rFonts w:hint="eastAsia" w:ascii="仿宋_GB2312" w:hAnsi="仿宋_GB2312" w:eastAsia="仿宋_GB2312" w:cs="仿宋_GB2312"/>
                <w:color w:val="000000"/>
                <w:kern w:val="2"/>
                <w:sz w:val="20"/>
                <w:szCs w:val="20"/>
                <w:highlight w:val="none"/>
                <w:lang w:val="en-US" w:eastAsia="zh-CN" w:bidi="ar-SA"/>
              </w:rPr>
            </w:pPr>
            <w:r>
              <w:rPr>
                <w:rFonts w:hint="eastAsia" w:ascii="仿宋_GB2312" w:hAnsi="仿宋_GB2312" w:eastAsia="仿宋_GB2312" w:cs="仿宋_GB2312"/>
                <w:color w:val="000000"/>
                <w:sz w:val="20"/>
                <w:szCs w:val="20"/>
                <w:highlight w:val="none"/>
                <w:lang w:val="en-US" w:eastAsia="zh-CN"/>
              </w:rPr>
              <w:t>不适用</w:t>
            </w:r>
          </w:p>
        </w:tc>
        <w:tc>
          <w:tcPr>
            <w:tcW w:w="1234" w:type="dxa"/>
            <w:tcBorders>
              <w:top w:val="single" w:color="auto" w:sz="4" w:space="0"/>
              <w:left w:val="single" w:color="auto" w:sz="4" w:space="0"/>
              <w:bottom w:val="single" w:color="auto" w:sz="4" w:space="0"/>
              <w:right w:val="single" w:color="auto" w:sz="4" w:space="0"/>
            </w:tcBorders>
            <w:noWrap w:val="0"/>
            <w:vAlign w:val="center"/>
          </w:tcPr>
          <w:p w14:paraId="26291FB4">
            <w:pPr>
              <w:widowControl/>
              <w:spacing w:line="240" w:lineRule="exact"/>
              <w:jc w:val="center"/>
              <w:rPr>
                <w:rFonts w:hint="eastAsia" w:ascii="仿宋_GB2312" w:hAnsi="仿宋_GB2312" w:eastAsia="仿宋_GB2312" w:cs="仿宋_GB2312"/>
                <w:color w:val="000000"/>
                <w:kern w:val="2"/>
                <w:sz w:val="20"/>
                <w:szCs w:val="20"/>
                <w:highlight w:val="none"/>
                <w:lang w:val="en-US" w:eastAsia="zh-CN" w:bidi="ar-SA"/>
              </w:rPr>
            </w:pPr>
          </w:p>
        </w:tc>
        <w:tc>
          <w:tcPr>
            <w:tcW w:w="1247" w:type="dxa"/>
            <w:tcBorders>
              <w:top w:val="nil"/>
              <w:left w:val="nil"/>
              <w:bottom w:val="single" w:color="auto" w:sz="4" w:space="0"/>
              <w:right w:val="single" w:color="auto" w:sz="4" w:space="0"/>
            </w:tcBorders>
            <w:noWrap w:val="0"/>
            <w:vAlign w:val="center"/>
          </w:tcPr>
          <w:p w14:paraId="4127BA3F">
            <w:pPr>
              <w:widowControl/>
              <w:spacing w:line="240" w:lineRule="exact"/>
              <w:jc w:val="both"/>
              <w:rPr>
                <w:rFonts w:hint="eastAsia" w:ascii="仿宋_GB2312" w:hAnsi="仿宋_GB2312" w:eastAsia="仿宋_GB2312" w:cs="仿宋_GB2312"/>
                <w:color w:val="000000"/>
                <w:sz w:val="20"/>
                <w:szCs w:val="20"/>
                <w:highlight w:val="none"/>
              </w:rPr>
            </w:pPr>
          </w:p>
        </w:tc>
        <w:tc>
          <w:tcPr>
            <w:tcW w:w="578" w:type="dxa"/>
            <w:tcBorders>
              <w:top w:val="nil"/>
              <w:left w:val="nil"/>
              <w:bottom w:val="single" w:color="auto" w:sz="4" w:space="0"/>
              <w:right w:val="single" w:color="auto" w:sz="4" w:space="0"/>
            </w:tcBorders>
            <w:noWrap w:val="0"/>
            <w:vAlign w:val="center"/>
          </w:tcPr>
          <w:p w14:paraId="41B0818B">
            <w:pPr>
              <w:widowControl/>
              <w:spacing w:line="240" w:lineRule="exact"/>
              <w:jc w:val="center"/>
              <w:rPr>
                <w:rFonts w:hint="eastAsia" w:ascii="仿宋_GB2312" w:hAnsi="仿宋_GB2312" w:eastAsia="仿宋_GB2312" w:cs="仿宋_GB2312"/>
                <w:color w:val="000000"/>
                <w:sz w:val="20"/>
                <w:szCs w:val="20"/>
                <w:highlight w:val="none"/>
                <w:lang w:val="en-US" w:eastAsia="zh-CN"/>
              </w:rPr>
            </w:pPr>
          </w:p>
        </w:tc>
        <w:tc>
          <w:tcPr>
            <w:tcW w:w="873" w:type="dxa"/>
            <w:tcBorders>
              <w:top w:val="nil"/>
              <w:left w:val="nil"/>
              <w:bottom w:val="single" w:color="auto" w:sz="4" w:space="0"/>
              <w:right w:val="single" w:color="auto" w:sz="4" w:space="0"/>
            </w:tcBorders>
            <w:noWrap w:val="0"/>
            <w:vAlign w:val="center"/>
          </w:tcPr>
          <w:p w14:paraId="79F9FB95">
            <w:pPr>
              <w:widowControl/>
              <w:spacing w:line="240" w:lineRule="exact"/>
              <w:jc w:val="center"/>
              <w:rPr>
                <w:rFonts w:hint="eastAsia" w:ascii="仿宋_GB2312" w:hAnsi="仿宋_GB2312" w:eastAsia="仿宋_GB2312" w:cs="仿宋_GB2312"/>
                <w:color w:val="000000"/>
                <w:sz w:val="20"/>
                <w:szCs w:val="20"/>
                <w:highlight w:val="none"/>
                <w:lang w:val="en-US" w:eastAsia="zh-CN"/>
              </w:rPr>
            </w:pPr>
          </w:p>
        </w:tc>
        <w:tc>
          <w:tcPr>
            <w:tcW w:w="1446" w:type="dxa"/>
            <w:tcBorders>
              <w:top w:val="nil"/>
              <w:left w:val="nil"/>
              <w:bottom w:val="single" w:color="auto" w:sz="4" w:space="0"/>
              <w:right w:val="single" w:color="auto" w:sz="4" w:space="0"/>
            </w:tcBorders>
            <w:noWrap w:val="0"/>
            <w:vAlign w:val="center"/>
          </w:tcPr>
          <w:p w14:paraId="600564FA">
            <w:pPr>
              <w:widowControl/>
              <w:spacing w:line="240" w:lineRule="exact"/>
              <w:jc w:val="center"/>
              <w:rPr>
                <w:rFonts w:hint="eastAsia" w:ascii="仿宋_GB2312" w:hAnsi="仿宋_GB2312" w:eastAsia="仿宋_GB2312" w:cs="仿宋_GB2312"/>
                <w:color w:val="000000"/>
                <w:sz w:val="20"/>
                <w:szCs w:val="20"/>
                <w:highlight w:val="none"/>
              </w:rPr>
            </w:pPr>
          </w:p>
        </w:tc>
      </w:tr>
      <w:tr w14:paraId="76F0B2B4">
        <w:tblPrEx>
          <w:tblCellMar>
            <w:top w:w="0" w:type="dxa"/>
            <w:left w:w="108" w:type="dxa"/>
            <w:bottom w:w="0" w:type="dxa"/>
            <w:right w:w="108" w:type="dxa"/>
          </w:tblCellMar>
        </w:tblPrEx>
        <w:trPr>
          <w:trHeight w:val="290" w:hRule="atLeast"/>
          <w:jc w:val="center"/>
        </w:trPr>
        <w:tc>
          <w:tcPr>
            <w:tcW w:w="1080" w:type="dxa"/>
            <w:vMerge w:val="continue"/>
            <w:tcBorders>
              <w:left w:val="single" w:color="auto" w:sz="4" w:space="0"/>
              <w:right w:val="single" w:color="auto" w:sz="4" w:space="0"/>
            </w:tcBorders>
            <w:noWrap w:val="0"/>
            <w:vAlign w:val="center"/>
          </w:tcPr>
          <w:p w14:paraId="2B79E7F0">
            <w:pPr>
              <w:widowControl/>
              <w:spacing w:line="240" w:lineRule="exact"/>
              <w:jc w:val="center"/>
              <w:rPr>
                <w:rFonts w:hint="eastAsia" w:ascii="仿宋_GB2312" w:hAnsi="仿宋_GB2312" w:eastAsia="仿宋_GB2312" w:cs="仿宋_GB2312"/>
                <w:color w:val="000000"/>
                <w:sz w:val="20"/>
                <w:szCs w:val="20"/>
                <w:highlight w:val="none"/>
              </w:rPr>
            </w:pPr>
          </w:p>
        </w:tc>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14:paraId="14CF960E">
            <w:pPr>
              <w:widowControl/>
              <w:spacing w:line="240" w:lineRule="exact"/>
              <w:jc w:val="left"/>
              <w:rPr>
                <w:rFonts w:hint="eastAsia" w:ascii="仿宋_GB2312" w:hAnsi="仿宋_GB2312" w:eastAsia="仿宋_GB2312" w:cs="仿宋_GB2312"/>
                <w:color w:val="000000"/>
                <w:sz w:val="20"/>
                <w:szCs w:val="20"/>
                <w:highlight w:val="none"/>
              </w:rPr>
            </w:pPr>
          </w:p>
        </w:tc>
        <w:tc>
          <w:tcPr>
            <w:tcW w:w="1034" w:type="dxa"/>
            <w:tcBorders>
              <w:top w:val="single" w:color="auto" w:sz="4" w:space="0"/>
              <w:left w:val="single" w:color="auto" w:sz="4" w:space="0"/>
              <w:bottom w:val="single" w:color="auto" w:sz="4" w:space="0"/>
              <w:right w:val="single" w:color="auto" w:sz="4" w:space="0"/>
            </w:tcBorders>
            <w:noWrap w:val="0"/>
            <w:vAlign w:val="center"/>
          </w:tcPr>
          <w:p w14:paraId="5AA8A468">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可持续影响指标</w:t>
            </w:r>
          </w:p>
        </w:tc>
        <w:tc>
          <w:tcPr>
            <w:tcW w:w="1507" w:type="dxa"/>
            <w:tcBorders>
              <w:top w:val="single" w:color="auto" w:sz="4" w:space="0"/>
              <w:left w:val="single" w:color="auto" w:sz="4" w:space="0"/>
              <w:bottom w:val="single" w:color="auto" w:sz="4" w:space="0"/>
              <w:right w:val="single" w:color="auto" w:sz="4" w:space="0"/>
            </w:tcBorders>
            <w:noWrap w:val="0"/>
            <w:vAlign w:val="center"/>
          </w:tcPr>
          <w:p w14:paraId="1ADD7973">
            <w:pPr>
              <w:widowControl/>
              <w:spacing w:line="240" w:lineRule="exact"/>
              <w:jc w:val="left"/>
              <w:rPr>
                <w:rFonts w:hint="eastAsia" w:ascii="仿宋_GB2312" w:hAnsi="仿宋_GB2312" w:eastAsia="仿宋_GB2312" w:cs="仿宋_GB2312"/>
                <w:color w:val="000000"/>
                <w:kern w:val="2"/>
                <w:sz w:val="20"/>
                <w:szCs w:val="20"/>
                <w:highlight w:val="none"/>
                <w:lang w:val="en-US" w:eastAsia="zh-CN" w:bidi="ar-SA"/>
              </w:rPr>
            </w:pPr>
            <w:r>
              <w:rPr>
                <w:rFonts w:hint="eastAsia" w:ascii="仿宋_GB2312" w:hAnsi="仿宋_GB2312" w:eastAsia="仿宋_GB2312" w:cs="仿宋_GB2312"/>
                <w:color w:val="000000"/>
                <w:sz w:val="20"/>
                <w:szCs w:val="20"/>
                <w:highlight w:val="none"/>
                <w:lang w:val="en-US" w:eastAsia="zh-CN"/>
              </w:rPr>
              <w:t>促进房地产市场平稳健康发展</w:t>
            </w:r>
          </w:p>
        </w:tc>
        <w:tc>
          <w:tcPr>
            <w:tcW w:w="1234" w:type="dxa"/>
            <w:tcBorders>
              <w:top w:val="single" w:color="auto" w:sz="4" w:space="0"/>
              <w:left w:val="single" w:color="auto" w:sz="4" w:space="0"/>
              <w:bottom w:val="single" w:color="auto" w:sz="4" w:space="0"/>
              <w:right w:val="single" w:color="auto" w:sz="4" w:space="0"/>
            </w:tcBorders>
            <w:noWrap w:val="0"/>
            <w:vAlign w:val="center"/>
          </w:tcPr>
          <w:p w14:paraId="60D4E3E1">
            <w:pPr>
              <w:widowControl/>
              <w:spacing w:line="240" w:lineRule="exact"/>
              <w:jc w:val="both"/>
              <w:rPr>
                <w:rFonts w:hint="eastAsia" w:ascii="仿宋_GB2312" w:hAnsi="仿宋_GB2312" w:eastAsia="仿宋_GB2312" w:cs="仿宋_GB2312"/>
                <w:color w:val="000000"/>
                <w:kern w:val="2"/>
                <w:sz w:val="20"/>
                <w:szCs w:val="20"/>
                <w:highlight w:val="none"/>
                <w:lang w:val="en-US" w:eastAsia="zh-CN" w:bidi="ar-SA"/>
              </w:rPr>
            </w:pPr>
            <w:r>
              <w:rPr>
                <w:rFonts w:hint="eastAsia" w:ascii="仿宋_GB2312" w:hAnsi="仿宋_GB2312" w:eastAsia="仿宋_GB2312" w:cs="仿宋_GB2312"/>
                <w:color w:val="000000"/>
                <w:sz w:val="20"/>
                <w:szCs w:val="20"/>
                <w:highlight w:val="none"/>
                <w:lang w:val="en-US" w:eastAsia="zh-CN"/>
              </w:rPr>
              <w:t>房地产市场发展平稳健康</w:t>
            </w:r>
          </w:p>
        </w:tc>
        <w:tc>
          <w:tcPr>
            <w:tcW w:w="1247" w:type="dxa"/>
            <w:tcBorders>
              <w:top w:val="single" w:color="auto" w:sz="4" w:space="0"/>
              <w:left w:val="single" w:color="auto" w:sz="4" w:space="0"/>
              <w:bottom w:val="single" w:color="auto" w:sz="4" w:space="0"/>
              <w:right w:val="single" w:color="auto" w:sz="4" w:space="0"/>
            </w:tcBorders>
            <w:noWrap w:val="0"/>
            <w:vAlign w:val="center"/>
          </w:tcPr>
          <w:p w14:paraId="0E7FE4E4">
            <w:pPr>
              <w:widowControl/>
              <w:spacing w:line="240" w:lineRule="exact"/>
              <w:jc w:val="both"/>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房地产市场发展平稳健康</w:t>
            </w:r>
          </w:p>
        </w:tc>
        <w:tc>
          <w:tcPr>
            <w:tcW w:w="578" w:type="dxa"/>
            <w:tcBorders>
              <w:top w:val="single" w:color="auto" w:sz="4" w:space="0"/>
              <w:left w:val="single" w:color="auto" w:sz="4" w:space="0"/>
              <w:bottom w:val="single" w:color="auto" w:sz="4" w:space="0"/>
              <w:right w:val="single" w:color="auto" w:sz="4" w:space="0"/>
            </w:tcBorders>
            <w:noWrap w:val="0"/>
            <w:vAlign w:val="center"/>
          </w:tcPr>
          <w:p w14:paraId="26A49D4A">
            <w:pPr>
              <w:widowControl/>
              <w:spacing w:line="240" w:lineRule="exact"/>
              <w:jc w:val="center"/>
              <w:rPr>
                <w:rFonts w:hint="default" w:ascii="仿宋_GB2312" w:hAnsi="仿宋_GB2312" w:eastAsia="仿宋_GB2312" w:cs="仿宋_GB2312"/>
                <w:color w:val="000000"/>
                <w:sz w:val="20"/>
                <w:szCs w:val="20"/>
                <w:highlight w:val="none"/>
                <w:lang w:val="en-US" w:eastAsia="zh-CN"/>
              </w:rPr>
            </w:pPr>
            <w:r>
              <w:rPr>
                <w:rFonts w:hint="default" w:ascii="仿宋_GB2312" w:hAnsi="仿宋_GB2312" w:eastAsia="仿宋_GB2312" w:cs="仿宋_GB2312"/>
                <w:color w:val="000000"/>
                <w:sz w:val="20"/>
                <w:szCs w:val="20"/>
                <w:highlight w:val="none"/>
                <w:lang w:val="en-US" w:eastAsia="zh-CN"/>
              </w:rPr>
              <w:t>1</w:t>
            </w:r>
            <w:r>
              <w:rPr>
                <w:rFonts w:hint="eastAsia" w:ascii="仿宋_GB2312" w:hAnsi="仿宋_GB2312" w:eastAsia="仿宋_GB2312" w:cs="仿宋_GB2312"/>
                <w:color w:val="000000"/>
                <w:sz w:val="20"/>
                <w:szCs w:val="20"/>
                <w:highlight w:val="none"/>
                <w:lang w:val="en-US" w:eastAsia="zh-CN"/>
              </w:rPr>
              <w:t>5</w:t>
            </w:r>
          </w:p>
        </w:tc>
        <w:tc>
          <w:tcPr>
            <w:tcW w:w="873" w:type="dxa"/>
            <w:tcBorders>
              <w:top w:val="single" w:color="auto" w:sz="4" w:space="0"/>
              <w:left w:val="single" w:color="auto" w:sz="4" w:space="0"/>
              <w:bottom w:val="single" w:color="auto" w:sz="4" w:space="0"/>
              <w:right w:val="single" w:color="auto" w:sz="4" w:space="0"/>
            </w:tcBorders>
            <w:noWrap w:val="0"/>
            <w:vAlign w:val="center"/>
          </w:tcPr>
          <w:p w14:paraId="0E6CCAE9">
            <w:pPr>
              <w:widowControl/>
              <w:spacing w:line="240" w:lineRule="exact"/>
              <w:jc w:val="center"/>
              <w:rPr>
                <w:rFonts w:hint="eastAsia" w:ascii="仿宋_GB2312" w:hAnsi="仿宋_GB2312" w:eastAsia="仿宋_GB2312" w:cs="仿宋_GB2312"/>
                <w:color w:val="000000"/>
                <w:sz w:val="20"/>
                <w:szCs w:val="20"/>
                <w:highlight w:val="none"/>
                <w:lang w:val="en-US" w:eastAsia="zh-CN"/>
              </w:rPr>
            </w:pPr>
            <w:r>
              <w:rPr>
                <w:rFonts w:hint="default" w:ascii="仿宋_GB2312" w:hAnsi="仿宋_GB2312" w:eastAsia="仿宋_GB2312" w:cs="仿宋_GB2312"/>
                <w:color w:val="000000"/>
                <w:sz w:val="20"/>
                <w:szCs w:val="20"/>
                <w:highlight w:val="none"/>
                <w:lang w:val="en-US" w:eastAsia="zh-CN"/>
              </w:rPr>
              <w:t>1</w:t>
            </w:r>
            <w:r>
              <w:rPr>
                <w:rFonts w:hint="eastAsia" w:ascii="仿宋_GB2312" w:hAnsi="仿宋_GB2312" w:eastAsia="仿宋_GB2312" w:cs="仿宋_GB2312"/>
                <w:color w:val="000000"/>
                <w:sz w:val="20"/>
                <w:szCs w:val="20"/>
                <w:highlight w:val="none"/>
                <w:lang w:val="en-US" w:eastAsia="zh-CN"/>
              </w:rPr>
              <w:t>5</w:t>
            </w:r>
          </w:p>
        </w:tc>
        <w:tc>
          <w:tcPr>
            <w:tcW w:w="1446" w:type="dxa"/>
            <w:tcBorders>
              <w:top w:val="single" w:color="auto" w:sz="4" w:space="0"/>
              <w:left w:val="single" w:color="auto" w:sz="4" w:space="0"/>
              <w:bottom w:val="single" w:color="auto" w:sz="4" w:space="0"/>
              <w:right w:val="single" w:color="auto" w:sz="4" w:space="0"/>
            </w:tcBorders>
            <w:noWrap w:val="0"/>
            <w:vAlign w:val="center"/>
          </w:tcPr>
          <w:p w14:paraId="0F23BE31">
            <w:pPr>
              <w:widowControl/>
              <w:spacing w:line="240" w:lineRule="exact"/>
              <w:jc w:val="center"/>
              <w:rPr>
                <w:rFonts w:hint="eastAsia" w:ascii="仿宋_GB2312" w:hAnsi="仿宋_GB2312" w:eastAsia="仿宋_GB2312" w:cs="仿宋_GB2312"/>
                <w:color w:val="000000"/>
                <w:sz w:val="20"/>
                <w:szCs w:val="20"/>
                <w:highlight w:val="none"/>
              </w:rPr>
            </w:pPr>
          </w:p>
        </w:tc>
      </w:tr>
      <w:tr w14:paraId="61D5D3FE">
        <w:tblPrEx>
          <w:tblCellMar>
            <w:top w:w="0" w:type="dxa"/>
            <w:left w:w="108" w:type="dxa"/>
            <w:bottom w:w="0" w:type="dxa"/>
            <w:right w:w="108" w:type="dxa"/>
          </w:tblCellMar>
        </w:tblPrEx>
        <w:trPr>
          <w:trHeight w:val="557" w:hRule="atLeast"/>
          <w:jc w:val="center"/>
        </w:trPr>
        <w:tc>
          <w:tcPr>
            <w:tcW w:w="1080" w:type="dxa"/>
            <w:vMerge w:val="continue"/>
            <w:tcBorders>
              <w:left w:val="single" w:color="auto" w:sz="4" w:space="0"/>
              <w:right w:val="single" w:color="auto" w:sz="4" w:space="0"/>
            </w:tcBorders>
            <w:noWrap w:val="0"/>
            <w:vAlign w:val="center"/>
          </w:tcPr>
          <w:p w14:paraId="3A88BEBD">
            <w:pPr>
              <w:spacing w:line="240" w:lineRule="exact"/>
              <w:jc w:val="left"/>
              <w:rPr>
                <w:rFonts w:hint="eastAsia" w:ascii="仿宋_GB2312" w:hAnsi="仿宋_GB2312" w:eastAsia="仿宋_GB2312" w:cs="仿宋_GB2312"/>
                <w:color w:val="000000"/>
                <w:sz w:val="20"/>
                <w:szCs w:val="20"/>
                <w:highlight w:val="none"/>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14:paraId="3E5640C2">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满意度</w:t>
            </w:r>
          </w:p>
          <w:p w14:paraId="25F6796F">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指标</w:t>
            </w:r>
          </w:p>
          <w:p w14:paraId="46F406CF">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（10分）</w:t>
            </w:r>
          </w:p>
        </w:tc>
        <w:tc>
          <w:tcPr>
            <w:tcW w:w="1034" w:type="dxa"/>
            <w:tcBorders>
              <w:top w:val="single" w:color="auto" w:sz="4" w:space="0"/>
              <w:left w:val="single" w:color="auto" w:sz="4" w:space="0"/>
              <w:bottom w:val="single" w:color="auto" w:sz="4" w:space="0"/>
              <w:right w:val="single" w:color="auto" w:sz="4" w:space="0"/>
            </w:tcBorders>
            <w:noWrap w:val="0"/>
            <w:vAlign w:val="center"/>
          </w:tcPr>
          <w:p w14:paraId="77419814">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服务对象满意度指标</w:t>
            </w:r>
          </w:p>
        </w:tc>
        <w:tc>
          <w:tcPr>
            <w:tcW w:w="1507" w:type="dxa"/>
            <w:tcBorders>
              <w:top w:val="single" w:color="auto" w:sz="4" w:space="0"/>
              <w:left w:val="single" w:color="auto" w:sz="4" w:space="0"/>
              <w:bottom w:val="single" w:color="auto" w:sz="4" w:space="0"/>
              <w:right w:val="single" w:color="auto" w:sz="4" w:space="0"/>
            </w:tcBorders>
            <w:noWrap w:val="0"/>
            <w:vAlign w:val="center"/>
          </w:tcPr>
          <w:p w14:paraId="59A62502">
            <w:pPr>
              <w:widowControl/>
              <w:spacing w:line="240" w:lineRule="exact"/>
              <w:jc w:val="left"/>
              <w:rPr>
                <w:rFonts w:hint="eastAsia" w:ascii="仿宋_GB2312" w:hAnsi="仿宋_GB2312" w:eastAsia="仿宋_GB2312" w:cs="仿宋_GB2312"/>
                <w:color w:val="000000"/>
                <w:kern w:val="2"/>
                <w:sz w:val="20"/>
                <w:szCs w:val="20"/>
                <w:highlight w:val="none"/>
                <w:lang w:val="en-US" w:eastAsia="zh-CN" w:bidi="ar-SA"/>
              </w:rPr>
            </w:pPr>
            <w:r>
              <w:rPr>
                <w:rFonts w:hint="eastAsia" w:ascii="仿宋_GB2312" w:hAnsi="仿宋_GB2312" w:eastAsia="仿宋_GB2312" w:cs="仿宋_GB2312"/>
                <w:color w:val="000000"/>
                <w:sz w:val="20"/>
                <w:szCs w:val="20"/>
                <w:highlight w:val="none"/>
                <w:lang w:val="en-US" w:eastAsia="zh-CN"/>
              </w:rPr>
              <w:t>群众满意度</w:t>
            </w:r>
          </w:p>
        </w:tc>
        <w:tc>
          <w:tcPr>
            <w:tcW w:w="1234" w:type="dxa"/>
            <w:tcBorders>
              <w:top w:val="single" w:color="auto" w:sz="4" w:space="0"/>
              <w:left w:val="single" w:color="auto" w:sz="4" w:space="0"/>
              <w:bottom w:val="single" w:color="auto" w:sz="4" w:space="0"/>
              <w:right w:val="single" w:color="auto" w:sz="4" w:space="0"/>
            </w:tcBorders>
            <w:noWrap w:val="0"/>
            <w:vAlign w:val="center"/>
          </w:tcPr>
          <w:p w14:paraId="4D27329D">
            <w:pPr>
              <w:widowControl/>
              <w:spacing w:line="240" w:lineRule="exact"/>
              <w:jc w:val="center"/>
              <w:rPr>
                <w:rFonts w:hint="eastAsia" w:ascii="仿宋_GB2312" w:hAnsi="仿宋_GB2312" w:eastAsia="仿宋_GB2312" w:cs="仿宋_GB2312"/>
                <w:color w:val="000000"/>
                <w:kern w:val="2"/>
                <w:sz w:val="20"/>
                <w:szCs w:val="20"/>
                <w:highlight w:val="none"/>
                <w:lang w:val="en-US" w:eastAsia="zh-CN" w:bidi="ar-SA"/>
              </w:rPr>
            </w:pPr>
            <w:r>
              <w:rPr>
                <w:rFonts w:hint="eastAsia" w:ascii="仿宋_GB2312" w:hAnsi="仿宋_GB2312" w:eastAsia="仿宋_GB2312" w:cs="仿宋_GB2312"/>
                <w:color w:val="000000"/>
                <w:sz w:val="20"/>
                <w:szCs w:val="20"/>
                <w:highlight w:val="none"/>
              </w:rPr>
              <w:t>≥</w:t>
            </w:r>
            <w:r>
              <w:rPr>
                <w:rFonts w:hint="eastAsia" w:ascii="仿宋_GB2312" w:hAnsi="仿宋_GB2312" w:eastAsia="仿宋_GB2312" w:cs="仿宋_GB2312"/>
                <w:color w:val="000000"/>
                <w:sz w:val="20"/>
                <w:szCs w:val="20"/>
                <w:highlight w:val="none"/>
                <w:lang w:val="en-US" w:eastAsia="zh-CN"/>
              </w:rPr>
              <w:t>95%</w:t>
            </w:r>
          </w:p>
        </w:tc>
        <w:tc>
          <w:tcPr>
            <w:tcW w:w="1247" w:type="dxa"/>
            <w:tcBorders>
              <w:top w:val="nil"/>
              <w:left w:val="nil"/>
              <w:bottom w:val="single" w:color="auto" w:sz="4" w:space="0"/>
              <w:right w:val="single" w:color="auto" w:sz="4" w:space="0"/>
            </w:tcBorders>
            <w:noWrap w:val="0"/>
            <w:vAlign w:val="center"/>
          </w:tcPr>
          <w:p w14:paraId="1D1B0A25">
            <w:pPr>
              <w:widowControl/>
              <w:spacing w:line="240" w:lineRule="exact"/>
              <w:jc w:val="left"/>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100%</w:t>
            </w:r>
          </w:p>
        </w:tc>
        <w:tc>
          <w:tcPr>
            <w:tcW w:w="578" w:type="dxa"/>
            <w:tcBorders>
              <w:top w:val="nil"/>
              <w:left w:val="nil"/>
              <w:bottom w:val="single" w:color="auto" w:sz="4" w:space="0"/>
              <w:right w:val="single" w:color="auto" w:sz="4" w:space="0"/>
            </w:tcBorders>
            <w:noWrap w:val="0"/>
            <w:vAlign w:val="center"/>
          </w:tcPr>
          <w:p w14:paraId="4E8DAB91">
            <w:pPr>
              <w:widowControl/>
              <w:spacing w:line="240" w:lineRule="exact"/>
              <w:jc w:val="center"/>
              <w:rPr>
                <w:rFonts w:hint="default" w:ascii="仿宋_GB2312" w:hAnsi="仿宋_GB2312" w:eastAsia="仿宋_GB2312" w:cs="仿宋_GB2312"/>
                <w:color w:val="000000"/>
                <w:sz w:val="20"/>
                <w:szCs w:val="20"/>
                <w:highlight w:val="none"/>
                <w:lang w:val="en-US" w:eastAsia="zh-CN"/>
              </w:rPr>
            </w:pPr>
            <w:r>
              <w:rPr>
                <w:rFonts w:hint="default" w:ascii="仿宋_GB2312" w:hAnsi="仿宋_GB2312" w:eastAsia="仿宋_GB2312" w:cs="仿宋_GB2312"/>
                <w:color w:val="000000"/>
                <w:sz w:val="20"/>
                <w:szCs w:val="20"/>
                <w:highlight w:val="none"/>
                <w:lang w:val="en-US" w:eastAsia="zh-CN"/>
              </w:rPr>
              <w:t>10</w:t>
            </w:r>
          </w:p>
        </w:tc>
        <w:tc>
          <w:tcPr>
            <w:tcW w:w="873" w:type="dxa"/>
            <w:tcBorders>
              <w:top w:val="nil"/>
              <w:left w:val="nil"/>
              <w:bottom w:val="single" w:color="auto" w:sz="4" w:space="0"/>
              <w:right w:val="single" w:color="auto" w:sz="4" w:space="0"/>
            </w:tcBorders>
            <w:noWrap w:val="0"/>
            <w:vAlign w:val="center"/>
          </w:tcPr>
          <w:p w14:paraId="27784B30">
            <w:pPr>
              <w:widowControl/>
              <w:spacing w:line="240" w:lineRule="exact"/>
              <w:jc w:val="center"/>
              <w:rPr>
                <w:rFonts w:hint="default" w:ascii="仿宋_GB2312" w:hAnsi="仿宋_GB2312" w:eastAsia="仿宋_GB2312" w:cs="仿宋_GB2312"/>
                <w:color w:val="000000"/>
                <w:sz w:val="20"/>
                <w:szCs w:val="20"/>
                <w:highlight w:val="none"/>
                <w:lang w:val="en-US" w:eastAsia="zh-CN"/>
              </w:rPr>
            </w:pPr>
            <w:r>
              <w:rPr>
                <w:rFonts w:hint="default" w:ascii="仿宋_GB2312" w:hAnsi="仿宋_GB2312" w:eastAsia="仿宋_GB2312" w:cs="仿宋_GB2312"/>
                <w:color w:val="000000"/>
                <w:sz w:val="20"/>
                <w:szCs w:val="20"/>
                <w:highlight w:val="none"/>
                <w:lang w:val="en-US" w:eastAsia="zh-CN"/>
              </w:rPr>
              <w:t>10</w:t>
            </w:r>
          </w:p>
        </w:tc>
        <w:tc>
          <w:tcPr>
            <w:tcW w:w="1446" w:type="dxa"/>
            <w:tcBorders>
              <w:top w:val="nil"/>
              <w:left w:val="nil"/>
              <w:bottom w:val="single" w:color="auto" w:sz="4" w:space="0"/>
              <w:right w:val="single" w:color="auto" w:sz="4" w:space="0"/>
            </w:tcBorders>
            <w:noWrap w:val="0"/>
            <w:vAlign w:val="center"/>
          </w:tcPr>
          <w:p w14:paraId="4442CB50">
            <w:pPr>
              <w:widowControl/>
              <w:spacing w:line="240" w:lineRule="exact"/>
              <w:jc w:val="center"/>
              <w:rPr>
                <w:rFonts w:hint="eastAsia" w:ascii="仿宋_GB2312" w:hAnsi="仿宋_GB2312" w:eastAsia="仿宋_GB2312" w:cs="仿宋_GB2312"/>
                <w:color w:val="000000"/>
                <w:sz w:val="20"/>
                <w:szCs w:val="20"/>
                <w:highlight w:val="none"/>
              </w:rPr>
            </w:pPr>
          </w:p>
        </w:tc>
      </w:tr>
      <w:tr w14:paraId="53FB7963">
        <w:tblPrEx>
          <w:tblCellMar>
            <w:top w:w="0" w:type="dxa"/>
            <w:left w:w="108" w:type="dxa"/>
            <w:bottom w:w="0" w:type="dxa"/>
            <w:right w:w="108" w:type="dxa"/>
          </w:tblCellMar>
        </w:tblPrEx>
        <w:trPr>
          <w:trHeight w:val="270" w:hRule="atLeast"/>
          <w:jc w:val="center"/>
        </w:trPr>
        <w:tc>
          <w:tcPr>
            <w:tcW w:w="7182" w:type="dxa"/>
            <w:gridSpan w:val="6"/>
            <w:tcBorders>
              <w:top w:val="single" w:color="auto" w:sz="4" w:space="0"/>
              <w:left w:val="single" w:color="auto" w:sz="4" w:space="0"/>
              <w:bottom w:val="single" w:color="auto" w:sz="4" w:space="0"/>
              <w:right w:val="single" w:color="000000" w:sz="4" w:space="0"/>
            </w:tcBorders>
            <w:noWrap w:val="0"/>
            <w:vAlign w:val="center"/>
          </w:tcPr>
          <w:p w14:paraId="54C95528">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总分</w:t>
            </w:r>
          </w:p>
        </w:tc>
        <w:tc>
          <w:tcPr>
            <w:tcW w:w="578" w:type="dxa"/>
            <w:tcBorders>
              <w:top w:val="nil"/>
              <w:left w:val="nil"/>
              <w:bottom w:val="single" w:color="auto" w:sz="4" w:space="0"/>
              <w:right w:val="single" w:color="auto" w:sz="4" w:space="0"/>
            </w:tcBorders>
            <w:noWrap w:val="0"/>
            <w:vAlign w:val="center"/>
          </w:tcPr>
          <w:p w14:paraId="6FEF2053">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100</w:t>
            </w:r>
          </w:p>
        </w:tc>
        <w:tc>
          <w:tcPr>
            <w:tcW w:w="873" w:type="dxa"/>
            <w:tcBorders>
              <w:top w:val="nil"/>
              <w:left w:val="nil"/>
              <w:bottom w:val="single" w:color="auto" w:sz="4" w:space="0"/>
              <w:right w:val="single" w:color="auto" w:sz="4" w:space="0"/>
            </w:tcBorders>
            <w:noWrap w:val="0"/>
            <w:vAlign w:val="center"/>
          </w:tcPr>
          <w:p w14:paraId="4FA70FB8">
            <w:pPr>
              <w:widowControl/>
              <w:spacing w:line="240" w:lineRule="exact"/>
              <w:jc w:val="left"/>
              <w:rPr>
                <w:rFonts w:hint="default" w:ascii="仿宋_GB2312" w:hAnsi="仿宋_GB2312" w:eastAsia="仿宋_GB2312" w:cs="仿宋_GB2312"/>
                <w:color w:val="000000"/>
                <w:sz w:val="20"/>
                <w:szCs w:val="20"/>
                <w:highlight w:val="none"/>
                <w:lang w:val="en-US"/>
              </w:rPr>
            </w:pPr>
            <w:r>
              <w:rPr>
                <w:rFonts w:hint="eastAsia" w:ascii="仿宋_GB2312" w:hAnsi="仿宋_GB2312" w:eastAsia="仿宋_GB2312" w:cs="仿宋_GB2312"/>
                <w:color w:val="000000"/>
                <w:sz w:val="20"/>
                <w:szCs w:val="20"/>
                <w:highlight w:val="none"/>
              </w:rPr>
              <w:t>　</w:t>
            </w:r>
            <w:r>
              <w:rPr>
                <w:rFonts w:hint="default" w:ascii="仿宋_GB2312" w:hAnsi="仿宋_GB2312" w:eastAsia="仿宋_GB2312" w:cs="仿宋_GB2312"/>
                <w:color w:val="000000"/>
                <w:sz w:val="20"/>
                <w:szCs w:val="20"/>
                <w:highlight w:val="none"/>
                <w:lang w:val="en-US"/>
              </w:rPr>
              <w:t>99.7</w:t>
            </w:r>
          </w:p>
        </w:tc>
        <w:tc>
          <w:tcPr>
            <w:tcW w:w="1446" w:type="dxa"/>
            <w:tcBorders>
              <w:top w:val="nil"/>
              <w:left w:val="nil"/>
              <w:bottom w:val="single" w:color="auto" w:sz="4" w:space="0"/>
              <w:right w:val="single" w:color="auto" w:sz="4" w:space="0"/>
            </w:tcBorders>
            <w:noWrap w:val="0"/>
            <w:vAlign w:val="center"/>
          </w:tcPr>
          <w:p w14:paraId="3FED3455">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bl>
    <w:p w14:paraId="6B55C2AB">
      <w:pPr>
        <w:widowControl/>
        <w:spacing w:line="600" w:lineRule="exact"/>
        <w:jc w:val="left"/>
        <w:rPr>
          <w:rFonts w:hint="eastAsia" w:ascii="黑体" w:hAnsi="黑体" w:eastAsia="黑体" w:cs="黑体"/>
          <w:sz w:val="32"/>
          <w:szCs w:val="32"/>
          <w:highlight w:val="none"/>
          <w:lang w:val="en-US" w:eastAsia="zh-CN"/>
        </w:rPr>
      </w:pPr>
      <w:r>
        <w:rPr>
          <w:rFonts w:hint="default" w:ascii="Times New Roman" w:hAnsi="Times New Roman" w:eastAsia="仿宋_GB2312" w:cs="Times New Roman"/>
          <w:sz w:val="22"/>
          <w:szCs w:val="22"/>
          <w:highlight w:val="none"/>
        </w:rPr>
        <w:t xml:space="preserve">填表人：       </w:t>
      </w:r>
      <w:r>
        <w:rPr>
          <w:rFonts w:hint="eastAsia" w:ascii="Times New Roman" w:hAnsi="Times New Roman" w:eastAsia="仿宋_GB2312" w:cs="Times New Roman"/>
          <w:sz w:val="22"/>
          <w:szCs w:val="22"/>
          <w:highlight w:val="none"/>
          <w:lang w:val="en-US" w:eastAsia="zh-CN"/>
        </w:rPr>
        <w:t xml:space="preserve"> </w:t>
      </w:r>
      <w:r>
        <w:rPr>
          <w:rFonts w:hint="default" w:ascii="Times New Roman" w:hAnsi="Times New Roman" w:eastAsia="仿宋_GB2312" w:cs="Times New Roman"/>
          <w:sz w:val="22"/>
          <w:szCs w:val="22"/>
          <w:highlight w:val="none"/>
        </w:rPr>
        <w:t xml:space="preserve">填报日期：     </w:t>
      </w:r>
      <w:r>
        <w:rPr>
          <w:rFonts w:hint="eastAsia" w:ascii="Times New Roman" w:hAnsi="Times New Roman" w:eastAsia="仿宋_GB2312" w:cs="Times New Roman"/>
          <w:sz w:val="22"/>
          <w:szCs w:val="22"/>
          <w:highlight w:val="none"/>
          <w:lang w:val="en-US" w:eastAsia="zh-CN"/>
        </w:rPr>
        <w:t xml:space="preserve">      </w:t>
      </w:r>
      <w:r>
        <w:rPr>
          <w:rFonts w:hint="default" w:ascii="Times New Roman" w:hAnsi="Times New Roman" w:eastAsia="仿宋_GB2312" w:cs="Times New Roman"/>
          <w:sz w:val="22"/>
          <w:szCs w:val="22"/>
          <w:highlight w:val="none"/>
        </w:rPr>
        <w:t xml:space="preserve">联系电话：   </w:t>
      </w:r>
      <w:r>
        <w:rPr>
          <w:rFonts w:hint="eastAsia" w:ascii="Times New Roman" w:hAnsi="Times New Roman" w:eastAsia="仿宋_GB2312" w:cs="Times New Roman"/>
          <w:sz w:val="22"/>
          <w:szCs w:val="22"/>
          <w:highlight w:val="none"/>
          <w:lang w:val="en-US" w:eastAsia="zh-CN"/>
        </w:rPr>
        <w:t xml:space="preserve">         </w:t>
      </w:r>
      <w:r>
        <w:rPr>
          <w:rFonts w:hint="default" w:ascii="Times New Roman" w:hAnsi="Times New Roman" w:eastAsia="仿宋_GB2312" w:cs="Times New Roman"/>
          <w:sz w:val="22"/>
          <w:szCs w:val="22"/>
          <w:highlight w:val="none"/>
        </w:rPr>
        <w:t xml:space="preserve"> 单位负责人签字：</w:t>
      </w:r>
      <w:r>
        <w:rPr>
          <w:rFonts w:hint="default" w:ascii="Times New Roman" w:hAnsi="Times New Roman" w:eastAsia="仿宋_GB2312" w:cs="Times New Roman"/>
          <w:sz w:val="22"/>
          <w:szCs w:val="22"/>
          <w:highlight w:val="none"/>
        </w:rPr>
        <w:br w:type="page"/>
      </w:r>
      <w:r>
        <w:rPr>
          <w:rFonts w:hint="eastAsia" w:ascii="黑体" w:hAnsi="黑体" w:eastAsia="黑体" w:cs="黑体"/>
          <w:sz w:val="32"/>
          <w:szCs w:val="32"/>
          <w:highlight w:val="none"/>
        </w:rPr>
        <w:t>附件</w:t>
      </w:r>
      <w:r>
        <w:rPr>
          <w:rFonts w:hint="eastAsia" w:ascii="黑体" w:hAnsi="黑体" w:eastAsia="黑体" w:cs="黑体"/>
          <w:sz w:val="32"/>
          <w:szCs w:val="32"/>
          <w:highlight w:val="none"/>
          <w:lang w:val="en-US" w:eastAsia="zh-CN"/>
        </w:rPr>
        <w:t>3</w:t>
      </w:r>
    </w:p>
    <w:p w14:paraId="35472081">
      <w:pPr>
        <w:widowControl/>
        <w:spacing w:line="600" w:lineRule="exact"/>
        <w:jc w:val="center"/>
        <w:rPr>
          <w:rFonts w:hint="eastAsia" w:ascii="方正小标宋简体" w:hAnsi="方正小标宋简体" w:eastAsia="方正小标宋简体" w:cs="方正小标宋简体"/>
          <w:color w:val="000000"/>
          <w:sz w:val="36"/>
          <w:szCs w:val="36"/>
          <w:highlight w:val="none"/>
        </w:rPr>
      </w:pPr>
      <w:r>
        <w:rPr>
          <w:rFonts w:hint="eastAsia" w:ascii="方正小标宋简体" w:hAnsi="方正小标宋简体" w:eastAsia="方正小标宋简体" w:cs="方正小标宋简体"/>
          <w:color w:val="000000"/>
          <w:sz w:val="36"/>
          <w:szCs w:val="36"/>
          <w:highlight w:val="none"/>
        </w:rPr>
        <w:t>202</w:t>
      </w:r>
      <w:r>
        <w:rPr>
          <w:rFonts w:hint="eastAsia" w:ascii="方正小标宋简体" w:hAnsi="方正小标宋简体" w:eastAsia="方正小标宋简体" w:cs="方正小标宋简体"/>
          <w:color w:val="000000"/>
          <w:sz w:val="36"/>
          <w:szCs w:val="36"/>
          <w:highlight w:val="none"/>
          <w:lang w:val="en-US" w:eastAsia="zh-CN"/>
        </w:rPr>
        <w:t>4</w:t>
      </w:r>
      <w:r>
        <w:rPr>
          <w:rFonts w:hint="eastAsia" w:ascii="方正小标宋简体" w:hAnsi="方正小标宋简体" w:eastAsia="方正小标宋简体" w:cs="方正小标宋简体"/>
          <w:color w:val="000000"/>
          <w:sz w:val="36"/>
          <w:szCs w:val="36"/>
          <w:highlight w:val="none"/>
        </w:rPr>
        <w:t>年度项目支出绩效自评表</w:t>
      </w:r>
    </w:p>
    <w:tbl>
      <w:tblPr>
        <w:tblStyle w:val="9"/>
        <w:tblW w:w="9851" w:type="dxa"/>
        <w:jc w:val="center"/>
        <w:tblLayout w:type="autofit"/>
        <w:tblCellMar>
          <w:top w:w="0" w:type="dxa"/>
          <w:left w:w="108" w:type="dxa"/>
          <w:bottom w:w="0" w:type="dxa"/>
          <w:right w:w="108" w:type="dxa"/>
        </w:tblCellMar>
      </w:tblPr>
      <w:tblGrid>
        <w:gridCol w:w="1080"/>
        <w:gridCol w:w="1080"/>
        <w:gridCol w:w="1080"/>
        <w:gridCol w:w="1220"/>
        <w:gridCol w:w="1138"/>
        <w:gridCol w:w="1134"/>
        <w:gridCol w:w="828"/>
        <w:gridCol w:w="1099"/>
        <w:gridCol w:w="1192"/>
      </w:tblGrid>
      <w:tr w14:paraId="41A44435">
        <w:tblPrEx>
          <w:tblCellMar>
            <w:top w:w="0" w:type="dxa"/>
            <w:left w:w="108" w:type="dxa"/>
            <w:bottom w:w="0" w:type="dxa"/>
            <w:right w:w="108" w:type="dxa"/>
          </w:tblCellMar>
        </w:tblPrEx>
        <w:trPr>
          <w:jc w:val="center"/>
        </w:trPr>
        <w:tc>
          <w:tcPr>
            <w:tcW w:w="1080" w:type="dxa"/>
            <w:tcBorders>
              <w:top w:val="single" w:color="auto" w:sz="4" w:space="0"/>
              <w:left w:val="single" w:color="auto" w:sz="4" w:space="0"/>
              <w:bottom w:val="single" w:color="auto" w:sz="4" w:space="0"/>
              <w:right w:val="single" w:color="auto" w:sz="4" w:space="0"/>
            </w:tcBorders>
            <w:noWrap w:val="0"/>
            <w:vAlign w:val="center"/>
          </w:tcPr>
          <w:p w14:paraId="5F3CB5E7">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项目支</w:t>
            </w:r>
          </w:p>
          <w:p w14:paraId="0F5883B0">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出名称</w:t>
            </w:r>
          </w:p>
        </w:tc>
        <w:tc>
          <w:tcPr>
            <w:tcW w:w="8771" w:type="dxa"/>
            <w:gridSpan w:val="8"/>
            <w:tcBorders>
              <w:top w:val="single" w:color="auto" w:sz="4" w:space="0"/>
              <w:left w:val="nil"/>
              <w:bottom w:val="single" w:color="auto" w:sz="4" w:space="0"/>
              <w:right w:val="single" w:color="auto" w:sz="4" w:space="0"/>
            </w:tcBorders>
            <w:noWrap w:val="0"/>
            <w:vAlign w:val="center"/>
          </w:tcPr>
          <w:p w14:paraId="1EC74DDA">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eastAsia="zh-CN"/>
              </w:rPr>
              <w:t>促进经济发展奖励资金</w:t>
            </w:r>
            <w:r>
              <w:rPr>
                <w:rFonts w:hint="eastAsia" w:ascii="仿宋_GB2312" w:hAnsi="仿宋_GB2312" w:eastAsia="仿宋_GB2312" w:cs="仿宋_GB2312"/>
                <w:color w:val="000000"/>
                <w:sz w:val="20"/>
                <w:szCs w:val="20"/>
                <w:highlight w:val="none"/>
                <w:lang w:val="en-US" w:eastAsia="zh-CN"/>
              </w:rPr>
              <w:t>-办证专项经费</w:t>
            </w:r>
            <w:r>
              <w:rPr>
                <w:rFonts w:hint="eastAsia" w:ascii="仿宋_GB2312" w:hAnsi="仿宋_GB2312" w:eastAsia="仿宋_GB2312" w:cs="仿宋_GB2312"/>
                <w:color w:val="000000"/>
                <w:sz w:val="20"/>
                <w:szCs w:val="20"/>
                <w:highlight w:val="none"/>
              </w:rPr>
              <w:t>　</w:t>
            </w:r>
          </w:p>
        </w:tc>
      </w:tr>
      <w:tr w14:paraId="571EB67A">
        <w:tblPrEx>
          <w:tblCellMar>
            <w:top w:w="0" w:type="dxa"/>
            <w:left w:w="108" w:type="dxa"/>
            <w:bottom w:w="0" w:type="dxa"/>
            <w:right w:w="108" w:type="dxa"/>
          </w:tblCellMar>
        </w:tblPrEx>
        <w:trPr>
          <w:jc w:val="center"/>
        </w:trPr>
        <w:tc>
          <w:tcPr>
            <w:tcW w:w="1080" w:type="dxa"/>
            <w:tcBorders>
              <w:top w:val="nil"/>
              <w:left w:val="single" w:color="auto" w:sz="4" w:space="0"/>
              <w:bottom w:val="single" w:color="auto" w:sz="4" w:space="0"/>
              <w:right w:val="single" w:color="auto" w:sz="4" w:space="0"/>
            </w:tcBorders>
            <w:noWrap w:val="0"/>
            <w:vAlign w:val="center"/>
          </w:tcPr>
          <w:p w14:paraId="6DD16191">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主管部门</w:t>
            </w:r>
          </w:p>
        </w:tc>
        <w:tc>
          <w:tcPr>
            <w:tcW w:w="4518" w:type="dxa"/>
            <w:gridSpan w:val="4"/>
            <w:tcBorders>
              <w:top w:val="single" w:color="auto" w:sz="4" w:space="0"/>
              <w:left w:val="nil"/>
              <w:bottom w:val="single" w:color="auto" w:sz="4" w:space="0"/>
              <w:right w:val="single" w:color="auto" w:sz="4" w:space="0"/>
            </w:tcBorders>
            <w:noWrap w:val="0"/>
            <w:vAlign w:val="center"/>
          </w:tcPr>
          <w:p w14:paraId="67FA7377">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lang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eastAsia="zh-CN"/>
              </w:rPr>
              <w:t>岳阳市住房和城乡建设局</w:t>
            </w:r>
          </w:p>
        </w:tc>
        <w:tc>
          <w:tcPr>
            <w:tcW w:w="1134" w:type="dxa"/>
            <w:tcBorders>
              <w:top w:val="single" w:color="auto" w:sz="4" w:space="0"/>
              <w:left w:val="nil"/>
              <w:bottom w:val="single" w:color="auto" w:sz="4" w:space="0"/>
              <w:right w:val="single" w:color="000000" w:sz="4" w:space="0"/>
            </w:tcBorders>
            <w:noWrap w:val="0"/>
            <w:vAlign w:val="center"/>
          </w:tcPr>
          <w:p w14:paraId="0B6F9628">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实施单位</w:t>
            </w:r>
          </w:p>
        </w:tc>
        <w:tc>
          <w:tcPr>
            <w:tcW w:w="3119" w:type="dxa"/>
            <w:gridSpan w:val="3"/>
            <w:tcBorders>
              <w:top w:val="single" w:color="auto" w:sz="4" w:space="0"/>
              <w:left w:val="nil"/>
              <w:bottom w:val="single" w:color="auto" w:sz="4" w:space="0"/>
              <w:right w:val="single" w:color="auto" w:sz="4" w:space="0"/>
            </w:tcBorders>
            <w:noWrap w:val="0"/>
            <w:vAlign w:val="center"/>
          </w:tcPr>
          <w:p w14:paraId="7D5E65EE">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lang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eastAsia="zh-CN"/>
              </w:rPr>
              <w:t>岳阳市房地产交易中心</w:t>
            </w:r>
          </w:p>
        </w:tc>
      </w:tr>
      <w:tr w14:paraId="610BFC0B">
        <w:tblPrEx>
          <w:tblCellMar>
            <w:top w:w="0" w:type="dxa"/>
            <w:left w:w="108" w:type="dxa"/>
            <w:bottom w:w="0" w:type="dxa"/>
            <w:right w:w="108" w:type="dxa"/>
          </w:tblCellMar>
        </w:tblPrEx>
        <w:trPr>
          <w:jc w:val="center"/>
        </w:trPr>
        <w:tc>
          <w:tcPr>
            <w:tcW w:w="1080" w:type="dxa"/>
            <w:vMerge w:val="restart"/>
            <w:tcBorders>
              <w:top w:val="nil"/>
              <w:left w:val="single" w:color="auto" w:sz="4" w:space="0"/>
              <w:bottom w:val="single" w:color="000000" w:sz="4" w:space="0"/>
              <w:right w:val="single" w:color="auto" w:sz="4" w:space="0"/>
            </w:tcBorders>
            <w:noWrap w:val="0"/>
            <w:vAlign w:val="center"/>
          </w:tcPr>
          <w:p w14:paraId="36ED5979">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项目资金</w:t>
            </w:r>
            <w:r>
              <w:rPr>
                <w:rFonts w:hint="eastAsia" w:ascii="仿宋_GB2312" w:hAnsi="仿宋_GB2312" w:eastAsia="仿宋_GB2312" w:cs="仿宋_GB2312"/>
                <w:color w:val="000000"/>
                <w:sz w:val="20"/>
                <w:szCs w:val="20"/>
                <w:highlight w:val="none"/>
              </w:rPr>
              <w:br w:type="textWrapping"/>
            </w:r>
            <w:r>
              <w:rPr>
                <w:rFonts w:hint="eastAsia" w:ascii="仿宋_GB2312" w:hAnsi="仿宋_GB2312" w:eastAsia="仿宋_GB2312" w:cs="仿宋_GB2312"/>
                <w:color w:val="000000"/>
                <w:sz w:val="20"/>
                <w:szCs w:val="20"/>
                <w:highlight w:val="none"/>
              </w:rPr>
              <w:t>（万元）</w:t>
            </w:r>
          </w:p>
        </w:tc>
        <w:tc>
          <w:tcPr>
            <w:tcW w:w="2160" w:type="dxa"/>
            <w:gridSpan w:val="2"/>
            <w:tcBorders>
              <w:top w:val="nil"/>
              <w:left w:val="nil"/>
              <w:bottom w:val="single" w:color="auto" w:sz="4" w:space="0"/>
              <w:right w:val="single" w:color="auto" w:sz="4" w:space="0"/>
            </w:tcBorders>
            <w:noWrap w:val="0"/>
            <w:vAlign w:val="center"/>
          </w:tcPr>
          <w:p w14:paraId="0D99FEB8">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220" w:type="dxa"/>
            <w:tcBorders>
              <w:top w:val="nil"/>
              <w:left w:val="nil"/>
              <w:bottom w:val="single" w:color="auto" w:sz="4" w:space="0"/>
              <w:right w:val="single" w:color="auto" w:sz="4" w:space="0"/>
            </w:tcBorders>
            <w:noWrap w:val="0"/>
            <w:vAlign w:val="center"/>
          </w:tcPr>
          <w:p w14:paraId="6705FA9A">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年初</w:t>
            </w:r>
          </w:p>
          <w:p w14:paraId="48C7E0A1">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预算数</w:t>
            </w:r>
          </w:p>
        </w:tc>
        <w:tc>
          <w:tcPr>
            <w:tcW w:w="1138" w:type="dxa"/>
            <w:tcBorders>
              <w:top w:val="nil"/>
              <w:left w:val="nil"/>
              <w:bottom w:val="single" w:color="auto" w:sz="4" w:space="0"/>
              <w:right w:val="single" w:color="auto" w:sz="4" w:space="0"/>
            </w:tcBorders>
            <w:noWrap w:val="0"/>
            <w:vAlign w:val="center"/>
          </w:tcPr>
          <w:p w14:paraId="3F86FDBB">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全年</w:t>
            </w:r>
          </w:p>
          <w:p w14:paraId="76B53245">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预算数</w:t>
            </w:r>
          </w:p>
        </w:tc>
        <w:tc>
          <w:tcPr>
            <w:tcW w:w="1134" w:type="dxa"/>
            <w:tcBorders>
              <w:top w:val="nil"/>
              <w:left w:val="nil"/>
              <w:bottom w:val="single" w:color="auto" w:sz="4" w:space="0"/>
              <w:right w:val="single" w:color="auto" w:sz="4" w:space="0"/>
            </w:tcBorders>
            <w:noWrap w:val="0"/>
            <w:vAlign w:val="center"/>
          </w:tcPr>
          <w:p w14:paraId="00CD216E">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全年</w:t>
            </w:r>
          </w:p>
          <w:p w14:paraId="7BAB973A">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执行数</w:t>
            </w:r>
          </w:p>
        </w:tc>
        <w:tc>
          <w:tcPr>
            <w:tcW w:w="828" w:type="dxa"/>
            <w:tcBorders>
              <w:top w:val="nil"/>
              <w:left w:val="nil"/>
              <w:bottom w:val="single" w:color="auto" w:sz="4" w:space="0"/>
              <w:right w:val="single" w:color="auto" w:sz="4" w:space="0"/>
            </w:tcBorders>
            <w:noWrap w:val="0"/>
            <w:vAlign w:val="center"/>
          </w:tcPr>
          <w:p w14:paraId="3FD9A14D">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分值</w:t>
            </w:r>
          </w:p>
        </w:tc>
        <w:tc>
          <w:tcPr>
            <w:tcW w:w="1099" w:type="dxa"/>
            <w:tcBorders>
              <w:top w:val="nil"/>
              <w:left w:val="nil"/>
              <w:bottom w:val="single" w:color="auto" w:sz="4" w:space="0"/>
              <w:right w:val="single" w:color="auto" w:sz="4" w:space="0"/>
            </w:tcBorders>
            <w:noWrap w:val="0"/>
            <w:vAlign w:val="center"/>
          </w:tcPr>
          <w:p w14:paraId="24291526">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执行率</w:t>
            </w:r>
          </w:p>
        </w:tc>
        <w:tc>
          <w:tcPr>
            <w:tcW w:w="1192" w:type="dxa"/>
            <w:tcBorders>
              <w:top w:val="nil"/>
              <w:left w:val="nil"/>
              <w:bottom w:val="single" w:color="auto" w:sz="4" w:space="0"/>
              <w:right w:val="single" w:color="auto" w:sz="4" w:space="0"/>
            </w:tcBorders>
            <w:noWrap w:val="0"/>
            <w:vAlign w:val="center"/>
          </w:tcPr>
          <w:p w14:paraId="31BB45AE">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得分</w:t>
            </w:r>
          </w:p>
        </w:tc>
      </w:tr>
      <w:tr w14:paraId="38202086">
        <w:tblPrEx>
          <w:tblCellMar>
            <w:top w:w="0" w:type="dxa"/>
            <w:left w:w="108" w:type="dxa"/>
            <w:bottom w:w="0" w:type="dxa"/>
            <w:right w:w="108" w:type="dxa"/>
          </w:tblCellMar>
        </w:tblPrEx>
        <w:trPr>
          <w:jc w:val="center"/>
        </w:trPr>
        <w:tc>
          <w:tcPr>
            <w:tcW w:w="1080" w:type="dxa"/>
            <w:vMerge w:val="continue"/>
            <w:tcBorders>
              <w:top w:val="nil"/>
              <w:left w:val="single" w:color="auto" w:sz="4" w:space="0"/>
              <w:bottom w:val="single" w:color="000000" w:sz="4" w:space="0"/>
              <w:right w:val="single" w:color="auto" w:sz="4" w:space="0"/>
            </w:tcBorders>
            <w:noWrap w:val="0"/>
            <w:vAlign w:val="center"/>
          </w:tcPr>
          <w:p w14:paraId="72F714E5">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2160" w:type="dxa"/>
            <w:gridSpan w:val="2"/>
            <w:tcBorders>
              <w:top w:val="nil"/>
              <w:left w:val="nil"/>
              <w:bottom w:val="single" w:color="auto" w:sz="4" w:space="0"/>
              <w:right w:val="single" w:color="auto" w:sz="4" w:space="0"/>
            </w:tcBorders>
            <w:noWrap w:val="0"/>
            <w:vAlign w:val="center"/>
          </w:tcPr>
          <w:p w14:paraId="0AEC4E47">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年度资金总额　</w:t>
            </w:r>
          </w:p>
        </w:tc>
        <w:tc>
          <w:tcPr>
            <w:tcW w:w="1220" w:type="dxa"/>
            <w:tcBorders>
              <w:top w:val="nil"/>
              <w:left w:val="nil"/>
              <w:bottom w:val="single" w:color="auto" w:sz="4" w:space="0"/>
              <w:right w:val="single" w:color="auto" w:sz="4" w:space="0"/>
            </w:tcBorders>
            <w:noWrap w:val="0"/>
            <w:vAlign w:val="center"/>
          </w:tcPr>
          <w:p w14:paraId="3F2A621C">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0</w:t>
            </w:r>
          </w:p>
        </w:tc>
        <w:tc>
          <w:tcPr>
            <w:tcW w:w="1138" w:type="dxa"/>
            <w:tcBorders>
              <w:top w:val="nil"/>
              <w:left w:val="nil"/>
              <w:bottom w:val="single" w:color="auto" w:sz="4" w:space="0"/>
              <w:right w:val="single" w:color="auto" w:sz="4" w:space="0"/>
            </w:tcBorders>
            <w:noWrap w:val="0"/>
            <w:vAlign w:val="center"/>
          </w:tcPr>
          <w:p w14:paraId="26811F34">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rPr>
            </w:pPr>
            <w:r>
              <w:rPr>
                <w:rFonts w:hint="eastAsia" w:ascii="仿宋_GB2312" w:hAnsi="仿宋_GB2312" w:eastAsia="仿宋_GB2312" w:cs="仿宋_GB2312"/>
                <w:color w:val="000000"/>
                <w:sz w:val="20"/>
                <w:szCs w:val="20"/>
                <w:highlight w:val="none"/>
                <w:lang w:val="en-US" w:eastAsia="zh-CN"/>
              </w:rPr>
              <w:t>29.36</w:t>
            </w:r>
          </w:p>
        </w:tc>
        <w:tc>
          <w:tcPr>
            <w:tcW w:w="1134" w:type="dxa"/>
            <w:tcBorders>
              <w:top w:val="nil"/>
              <w:left w:val="nil"/>
              <w:bottom w:val="single" w:color="auto" w:sz="4" w:space="0"/>
              <w:right w:val="single" w:color="auto" w:sz="4" w:space="0"/>
            </w:tcBorders>
            <w:noWrap w:val="0"/>
            <w:vAlign w:val="center"/>
          </w:tcPr>
          <w:p w14:paraId="70D27B5E">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29.22</w:t>
            </w:r>
          </w:p>
        </w:tc>
        <w:tc>
          <w:tcPr>
            <w:tcW w:w="828" w:type="dxa"/>
            <w:tcBorders>
              <w:top w:val="nil"/>
              <w:left w:val="nil"/>
              <w:bottom w:val="single" w:color="auto" w:sz="4" w:space="0"/>
              <w:right w:val="single" w:color="auto" w:sz="4" w:space="0"/>
            </w:tcBorders>
            <w:noWrap w:val="0"/>
            <w:vAlign w:val="center"/>
          </w:tcPr>
          <w:p w14:paraId="2CCF937E">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10</w:t>
            </w:r>
          </w:p>
        </w:tc>
        <w:tc>
          <w:tcPr>
            <w:tcW w:w="1099" w:type="dxa"/>
            <w:tcBorders>
              <w:top w:val="nil"/>
              <w:left w:val="nil"/>
              <w:bottom w:val="single" w:color="auto" w:sz="4" w:space="0"/>
              <w:right w:val="single" w:color="auto" w:sz="4" w:space="0"/>
            </w:tcBorders>
            <w:noWrap w:val="0"/>
            <w:vAlign w:val="center"/>
          </w:tcPr>
          <w:p w14:paraId="75D64BE7">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99.5%</w:t>
            </w:r>
          </w:p>
        </w:tc>
        <w:tc>
          <w:tcPr>
            <w:tcW w:w="1192" w:type="dxa"/>
            <w:tcBorders>
              <w:top w:val="nil"/>
              <w:left w:val="nil"/>
              <w:bottom w:val="single" w:color="auto" w:sz="4" w:space="0"/>
              <w:right w:val="single" w:color="auto" w:sz="4" w:space="0"/>
            </w:tcBorders>
            <w:noWrap w:val="0"/>
            <w:vAlign w:val="center"/>
          </w:tcPr>
          <w:p w14:paraId="139B7B2E">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9.95</w:t>
            </w:r>
          </w:p>
        </w:tc>
      </w:tr>
      <w:tr w14:paraId="08963E86">
        <w:tblPrEx>
          <w:tblCellMar>
            <w:top w:w="0" w:type="dxa"/>
            <w:left w:w="108" w:type="dxa"/>
            <w:bottom w:w="0" w:type="dxa"/>
            <w:right w:w="108" w:type="dxa"/>
          </w:tblCellMar>
        </w:tblPrEx>
        <w:trPr>
          <w:jc w:val="center"/>
        </w:trPr>
        <w:tc>
          <w:tcPr>
            <w:tcW w:w="1080" w:type="dxa"/>
            <w:vMerge w:val="continue"/>
            <w:tcBorders>
              <w:top w:val="nil"/>
              <w:left w:val="single" w:color="auto" w:sz="4" w:space="0"/>
              <w:bottom w:val="single" w:color="000000" w:sz="4" w:space="0"/>
              <w:right w:val="single" w:color="auto" w:sz="4" w:space="0"/>
            </w:tcBorders>
            <w:noWrap w:val="0"/>
            <w:vAlign w:val="center"/>
          </w:tcPr>
          <w:p w14:paraId="67F0C56B">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2160" w:type="dxa"/>
            <w:gridSpan w:val="2"/>
            <w:tcBorders>
              <w:top w:val="nil"/>
              <w:left w:val="nil"/>
              <w:bottom w:val="single" w:color="auto" w:sz="4" w:space="0"/>
              <w:right w:val="single" w:color="auto" w:sz="4" w:space="0"/>
            </w:tcBorders>
            <w:noWrap w:val="0"/>
            <w:vAlign w:val="center"/>
          </w:tcPr>
          <w:p w14:paraId="0149A1DF">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其中：当年财政拨款　</w:t>
            </w:r>
          </w:p>
        </w:tc>
        <w:tc>
          <w:tcPr>
            <w:tcW w:w="1220" w:type="dxa"/>
            <w:tcBorders>
              <w:top w:val="nil"/>
              <w:left w:val="nil"/>
              <w:bottom w:val="single" w:color="auto" w:sz="4" w:space="0"/>
              <w:right w:val="single" w:color="auto" w:sz="4" w:space="0"/>
            </w:tcBorders>
            <w:noWrap w:val="0"/>
            <w:vAlign w:val="center"/>
          </w:tcPr>
          <w:p w14:paraId="0AD73BCD">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0</w:t>
            </w:r>
          </w:p>
        </w:tc>
        <w:tc>
          <w:tcPr>
            <w:tcW w:w="1138" w:type="dxa"/>
            <w:tcBorders>
              <w:top w:val="nil"/>
              <w:left w:val="nil"/>
              <w:bottom w:val="single" w:color="auto" w:sz="4" w:space="0"/>
              <w:right w:val="single" w:color="auto" w:sz="4" w:space="0"/>
            </w:tcBorders>
            <w:noWrap w:val="0"/>
            <w:vAlign w:val="center"/>
          </w:tcPr>
          <w:p w14:paraId="26C2C40F">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27</w:t>
            </w:r>
          </w:p>
        </w:tc>
        <w:tc>
          <w:tcPr>
            <w:tcW w:w="1134" w:type="dxa"/>
            <w:tcBorders>
              <w:top w:val="nil"/>
              <w:left w:val="nil"/>
              <w:bottom w:val="single" w:color="auto" w:sz="4" w:space="0"/>
              <w:right w:val="single" w:color="auto" w:sz="4" w:space="0"/>
            </w:tcBorders>
            <w:noWrap w:val="0"/>
            <w:vAlign w:val="center"/>
          </w:tcPr>
          <w:p w14:paraId="5CD43077">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rPr>
            </w:pPr>
            <w:r>
              <w:rPr>
                <w:rFonts w:hint="eastAsia" w:ascii="仿宋_GB2312" w:hAnsi="仿宋_GB2312" w:eastAsia="仿宋_GB2312" w:cs="仿宋_GB2312"/>
                <w:color w:val="000000"/>
                <w:sz w:val="20"/>
                <w:szCs w:val="20"/>
                <w:highlight w:val="none"/>
                <w:lang w:val="en-US" w:eastAsia="zh-CN"/>
              </w:rPr>
              <w:t>26.86</w:t>
            </w:r>
          </w:p>
        </w:tc>
        <w:tc>
          <w:tcPr>
            <w:tcW w:w="828" w:type="dxa"/>
            <w:tcBorders>
              <w:top w:val="nil"/>
              <w:left w:val="nil"/>
              <w:bottom w:val="single" w:color="auto" w:sz="4" w:space="0"/>
              <w:right w:val="single" w:color="auto" w:sz="4" w:space="0"/>
            </w:tcBorders>
            <w:noWrap w:val="0"/>
            <w:vAlign w:val="center"/>
          </w:tcPr>
          <w:p w14:paraId="4D4B0EBF">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p>
        </w:tc>
        <w:tc>
          <w:tcPr>
            <w:tcW w:w="1099" w:type="dxa"/>
            <w:tcBorders>
              <w:top w:val="nil"/>
              <w:left w:val="nil"/>
              <w:bottom w:val="single" w:color="auto" w:sz="4" w:space="0"/>
              <w:right w:val="single" w:color="auto" w:sz="4" w:space="0"/>
            </w:tcBorders>
            <w:noWrap w:val="0"/>
            <w:vAlign w:val="center"/>
          </w:tcPr>
          <w:p w14:paraId="3CAAEC1E">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p>
        </w:tc>
        <w:tc>
          <w:tcPr>
            <w:tcW w:w="1192" w:type="dxa"/>
            <w:tcBorders>
              <w:top w:val="nil"/>
              <w:left w:val="nil"/>
              <w:bottom w:val="single" w:color="auto" w:sz="4" w:space="0"/>
              <w:right w:val="single" w:color="auto" w:sz="4" w:space="0"/>
            </w:tcBorders>
            <w:noWrap w:val="0"/>
            <w:vAlign w:val="center"/>
          </w:tcPr>
          <w:p w14:paraId="3061D3DA">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p>
        </w:tc>
      </w:tr>
      <w:tr w14:paraId="010EE443">
        <w:tblPrEx>
          <w:tblCellMar>
            <w:top w:w="0" w:type="dxa"/>
            <w:left w:w="108" w:type="dxa"/>
            <w:bottom w:w="0" w:type="dxa"/>
            <w:right w:w="108" w:type="dxa"/>
          </w:tblCellMar>
        </w:tblPrEx>
        <w:trPr>
          <w:jc w:val="center"/>
        </w:trPr>
        <w:tc>
          <w:tcPr>
            <w:tcW w:w="1080" w:type="dxa"/>
            <w:vMerge w:val="continue"/>
            <w:tcBorders>
              <w:top w:val="nil"/>
              <w:left w:val="single" w:color="auto" w:sz="4" w:space="0"/>
              <w:bottom w:val="single" w:color="000000" w:sz="4" w:space="0"/>
              <w:right w:val="single" w:color="auto" w:sz="4" w:space="0"/>
            </w:tcBorders>
            <w:noWrap w:val="0"/>
            <w:vAlign w:val="center"/>
          </w:tcPr>
          <w:p w14:paraId="7F8CE824">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2160" w:type="dxa"/>
            <w:gridSpan w:val="2"/>
            <w:tcBorders>
              <w:top w:val="nil"/>
              <w:left w:val="nil"/>
              <w:bottom w:val="single" w:color="auto" w:sz="4" w:space="0"/>
              <w:right w:val="single" w:color="auto" w:sz="4" w:space="0"/>
            </w:tcBorders>
            <w:noWrap w:val="0"/>
            <w:vAlign w:val="center"/>
          </w:tcPr>
          <w:p w14:paraId="245F6912">
            <w:pPr>
              <w:keepNext w:val="0"/>
              <w:keepLines w:val="0"/>
              <w:pageBreakBefore w:val="0"/>
              <w:widowControl/>
              <w:kinsoku/>
              <w:wordWrap/>
              <w:overflowPunct/>
              <w:topLinePunct w:val="0"/>
              <w:autoSpaceDE/>
              <w:autoSpaceDN/>
              <w:bidi w:val="0"/>
              <w:adjustRightInd/>
              <w:snapToGrid/>
              <w:spacing w:line="260" w:lineRule="exact"/>
              <w:ind w:firstLine="600" w:firstLineChars="300"/>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上年结转资金　</w:t>
            </w:r>
          </w:p>
        </w:tc>
        <w:tc>
          <w:tcPr>
            <w:tcW w:w="1220" w:type="dxa"/>
            <w:tcBorders>
              <w:top w:val="nil"/>
              <w:left w:val="nil"/>
              <w:bottom w:val="single" w:color="auto" w:sz="4" w:space="0"/>
              <w:right w:val="single" w:color="auto" w:sz="4" w:space="0"/>
            </w:tcBorders>
            <w:noWrap w:val="0"/>
            <w:vAlign w:val="center"/>
          </w:tcPr>
          <w:p w14:paraId="45FC1EA6">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138" w:type="dxa"/>
            <w:tcBorders>
              <w:top w:val="nil"/>
              <w:left w:val="nil"/>
              <w:bottom w:val="single" w:color="auto" w:sz="4" w:space="0"/>
              <w:right w:val="single" w:color="auto" w:sz="4" w:space="0"/>
            </w:tcBorders>
            <w:noWrap w:val="0"/>
            <w:vAlign w:val="center"/>
          </w:tcPr>
          <w:p w14:paraId="7A0A139E">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2.36</w:t>
            </w:r>
          </w:p>
        </w:tc>
        <w:tc>
          <w:tcPr>
            <w:tcW w:w="1134" w:type="dxa"/>
            <w:tcBorders>
              <w:top w:val="nil"/>
              <w:left w:val="nil"/>
              <w:bottom w:val="single" w:color="auto" w:sz="4" w:space="0"/>
              <w:right w:val="single" w:color="auto" w:sz="4" w:space="0"/>
            </w:tcBorders>
            <w:noWrap w:val="0"/>
            <w:vAlign w:val="center"/>
          </w:tcPr>
          <w:p w14:paraId="7BB7784E">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2.36</w:t>
            </w:r>
          </w:p>
        </w:tc>
        <w:tc>
          <w:tcPr>
            <w:tcW w:w="828" w:type="dxa"/>
            <w:tcBorders>
              <w:top w:val="nil"/>
              <w:left w:val="nil"/>
              <w:bottom w:val="single" w:color="auto" w:sz="4" w:space="0"/>
              <w:right w:val="single" w:color="auto" w:sz="4" w:space="0"/>
            </w:tcBorders>
            <w:noWrap w:val="0"/>
            <w:vAlign w:val="center"/>
          </w:tcPr>
          <w:p w14:paraId="56826A1B">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099" w:type="dxa"/>
            <w:tcBorders>
              <w:top w:val="nil"/>
              <w:left w:val="nil"/>
              <w:bottom w:val="single" w:color="auto" w:sz="4" w:space="0"/>
              <w:right w:val="single" w:color="auto" w:sz="4" w:space="0"/>
            </w:tcBorders>
            <w:noWrap w:val="0"/>
            <w:vAlign w:val="center"/>
          </w:tcPr>
          <w:p w14:paraId="163EC04C">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192" w:type="dxa"/>
            <w:tcBorders>
              <w:top w:val="nil"/>
              <w:left w:val="nil"/>
              <w:bottom w:val="single" w:color="auto" w:sz="4" w:space="0"/>
              <w:right w:val="single" w:color="auto" w:sz="4" w:space="0"/>
            </w:tcBorders>
            <w:noWrap w:val="0"/>
            <w:vAlign w:val="center"/>
          </w:tcPr>
          <w:p w14:paraId="3E7EB8CB">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14:paraId="63CE654F">
        <w:tblPrEx>
          <w:tblCellMar>
            <w:top w:w="0" w:type="dxa"/>
            <w:left w:w="108" w:type="dxa"/>
            <w:bottom w:w="0" w:type="dxa"/>
            <w:right w:w="108" w:type="dxa"/>
          </w:tblCellMar>
        </w:tblPrEx>
        <w:trPr>
          <w:jc w:val="center"/>
        </w:trPr>
        <w:tc>
          <w:tcPr>
            <w:tcW w:w="1080" w:type="dxa"/>
            <w:vMerge w:val="continue"/>
            <w:tcBorders>
              <w:top w:val="nil"/>
              <w:left w:val="single" w:color="auto" w:sz="4" w:space="0"/>
              <w:bottom w:val="single" w:color="000000" w:sz="4" w:space="0"/>
              <w:right w:val="single" w:color="auto" w:sz="4" w:space="0"/>
            </w:tcBorders>
            <w:noWrap w:val="0"/>
            <w:vAlign w:val="center"/>
          </w:tcPr>
          <w:p w14:paraId="27AFDDEA">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2160" w:type="dxa"/>
            <w:gridSpan w:val="2"/>
            <w:tcBorders>
              <w:top w:val="nil"/>
              <w:left w:val="nil"/>
              <w:bottom w:val="single" w:color="auto" w:sz="4" w:space="0"/>
              <w:right w:val="single" w:color="auto" w:sz="4" w:space="0"/>
            </w:tcBorders>
            <w:noWrap w:val="0"/>
            <w:vAlign w:val="center"/>
          </w:tcPr>
          <w:p w14:paraId="2C355101">
            <w:pPr>
              <w:keepNext w:val="0"/>
              <w:keepLines w:val="0"/>
              <w:pageBreakBefore w:val="0"/>
              <w:widowControl/>
              <w:kinsoku/>
              <w:wordWrap/>
              <w:overflowPunct/>
              <w:topLinePunct w:val="0"/>
              <w:autoSpaceDE/>
              <w:autoSpaceDN/>
              <w:bidi w:val="0"/>
              <w:adjustRightInd/>
              <w:snapToGrid/>
              <w:spacing w:line="260" w:lineRule="exact"/>
              <w:ind w:firstLine="600" w:firstLineChars="300"/>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其他资金</w:t>
            </w:r>
          </w:p>
        </w:tc>
        <w:tc>
          <w:tcPr>
            <w:tcW w:w="1220" w:type="dxa"/>
            <w:tcBorders>
              <w:top w:val="nil"/>
              <w:left w:val="nil"/>
              <w:bottom w:val="single" w:color="auto" w:sz="4" w:space="0"/>
              <w:right w:val="single" w:color="auto" w:sz="4" w:space="0"/>
            </w:tcBorders>
            <w:noWrap w:val="0"/>
            <w:vAlign w:val="center"/>
          </w:tcPr>
          <w:p w14:paraId="1C678046">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138" w:type="dxa"/>
            <w:tcBorders>
              <w:top w:val="nil"/>
              <w:left w:val="nil"/>
              <w:bottom w:val="single" w:color="auto" w:sz="4" w:space="0"/>
              <w:right w:val="single" w:color="auto" w:sz="4" w:space="0"/>
            </w:tcBorders>
            <w:noWrap w:val="0"/>
            <w:vAlign w:val="center"/>
          </w:tcPr>
          <w:p w14:paraId="02A45D87">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134" w:type="dxa"/>
            <w:tcBorders>
              <w:top w:val="nil"/>
              <w:left w:val="nil"/>
              <w:bottom w:val="single" w:color="auto" w:sz="4" w:space="0"/>
              <w:right w:val="single" w:color="auto" w:sz="4" w:space="0"/>
            </w:tcBorders>
            <w:noWrap w:val="0"/>
            <w:vAlign w:val="center"/>
          </w:tcPr>
          <w:p w14:paraId="1D146FFD">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828" w:type="dxa"/>
            <w:tcBorders>
              <w:top w:val="nil"/>
              <w:left w:val="nil"/>
              <w:bottom w:val="single" w:color="auto" w:sz="4" w:space="0"/>
              <w:right w:val="single" w:color="auto" w:sz="4" w:space="0"/>
            </w:tcBorders>
            <w:noWrap w:val="0"/>
            <w:vAlign w:val="center"/>
          </w:tcPr>
          <w:p w14:paraId="3610F59C">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099" w:type="dxa"/>
            <w:tcBorders>
              <w:top w:val="nil"/>
              <w:left w:val="nil"/>
              <w:bottom w:val="single" w:color="auto" w:sz="4" w:space="0"/>
              <w:right w:val="single" w:color="auto" w:sz="4" w:space="0"/>
            </w:tcBorders>
            <w:noWrap w:val="0"/>
            <w:vAlign w:val="center"/>
          </w:tcPr>
          <w:p w14:paraId="70C7C75F">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192" w:type="dxa"/>
            <w:tcBorders>
              <w:top w:val="nil"/>
              <w:left w:val="nil"/>
              <w:bottom w:val="single" w:color="auto" w:sz="4" w:space="0"/>
              <w:right w:val="single" w:color="auto" w:sz="4" w:space="0"/>
            </w:tcBorders>
            <w:noWrap w:val="0"/>
            <w:vAlign w:val="center"/>
          </w:tcPr>
          <w:p w14:paraId="35F9C88E">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14:paraId="18C13F47">
        <w:tblPrEx>
          <w:tblCellMar>
            <w:top w:w="0" w:type="dxa"/>
            <w:left w:w="108" w:type="dxa"/>
            <w:bottom w:w="0" w:type="dxa"/>
            <w:right w:w="108" w:type="dxa"/>
          </w:tblCellMar>
        </w:tblPrEx>
        <w:trPr>
          <w:jc w:val="center"/>
        </w:trPr>
        <w:tc>
          <w:tcPr>
            <w:tcW w:w="1080" w:type="dxa"/>
            <w:vMerge w:val="restart"/>
            <w:tcBorders>
              <w:top w:val="nil"/>
              <w:left w:val="single" w:color="auto" w:sz="4" w:space="0"/>
              <w:bottom w:val="single" w:color="000000" w:sz="4" w:space="0"/>
              <w:right w:val="single" w:color="auto" w:sz="4" w:space="0"/>
            </w:tcBorders>
            <w:noWrap w:val="0"/>
            <w:vAlign w:val="center"/>
          </w:tcPr>
          <w:p w14:paraId="3BAAAA13">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年度总体目标</w:t>
            </w:r>
          </w:p>
        </w:tc>
        <w:tc>
          <w:tcPr>
            <w:tcW w:w="4518" w:type="dxa"/>
            <w:gridSpan w:val="4"/>
            <w:tcBorders>
              <w:top w:val="single" w:color="auto" w:sz="4" w:space="0"/>
              <w:left w:val="nil"/>
              <w:bottom w:val="single" w:color="auto" w:sz="4" w:space="0"/>
              <w:right w:val="single" w:color="000000" w:sz="4" w:space="0"/>
            </w:tcBorders>
            <w:noWrap w:val="0"/>
            <w:vAlign w:val="center"/>
          </w:tcPr>
          <w:p w14:paraId="4FB81E68">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预期目标</w:t>
            </w:r>
          </w:p>
        </w:tc>
        <w:tc>
          <w:tcPr>
            <w:tcW w:w="4253" w:type="dxa"/>
            <w:gridSpan w:val="4"/>
            <w:tcBorders>
              <w:top w:val="single" w:color="auto" w:sz="4" w:space="0"/>
              <w:left w:val="nil"/>
              <w:bottom w:val="single" w:color="auto" w:sz="4" w:space="0"/>
              <w:right w:val="single" w:color="auto" w:sz="4" w:space="0"/>
            </w:tcBorders>
            <w:noWrap w:val="0"/>
            <w:vAlign w:val="center"/>
          </w:tcPr>
          <w:p w14:paraId="437C5F06">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实际完成情况　</w:t>
            </w:r>
          </w:p>
        </w:tc>
      </w:tr>
      <w:tr w14:paraId="1AFC6161">
        <w:tblPrEx>
          <w:tblCellMar>
            <w:top w:w="0" w:type="dxa"/>
            <w:left w:w="108" w:type="dxa"/>
            <w:bottom w:w="0" w:type="dxa"/>
            <w:right w:w="108" w:type="dxa"/>
          </w:tblCellMar>
        </w:tblPrEx>
        <w:trPr>
          <w:trHeight w:val="1936" w:hRule="atLeast"/>
          <w:jc w:val="center"/>
        </w:trPr>
        <w:tc>
          <w:tcPr>
            <w:tcW w:w="1080" w:type="dxa"/>
            <w:vMerge w:val="continue"/>
            <w:tcBorders>
              <w:top w:val="nil"/>
              <w:left w:val="single" w:color="auto" w:sz="4" w:space="0"/>
              <w:bottom w:val="single" w:color="000000" w:sz="4" w:space="0"/>
              <w:right w:val="single" w:color="auto" w:sz="4" w:space="0"/>
            </w:tcBorders>
            <w:noWrap w:val="0"/>
            <w:vAlign w:val="center"/>
          </w:tcPr>
          <w:p w14:paraId="343B88FB">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4518" w:type="dxa"/>
            <w:gridSpan w:val="4"/>
            <w:tcBorders>
              <w:top w:val="single" w:color="auto" w:sz="4" w:space="0"/>
              <w:left w:val="nil"/>
              <w:bottom w:val="single" w:color="auto" w:sz="4" w:space="0"/>
              <w:right w:val="single" w:color="000000" w:sz="4" w:space="0"/>
            </w:tcBorders>
            <w:noWrap w:val="0"/>
            <w:vAlign w:val="center"/>
          </w:tcPr>
          <w:p w14:paraId="11C5FF88">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rPr>
            </w:pPr>
            <w:r>
              <w:rPr>
                <w:rFonts w:hint="eastAsia" w:ascii="仿宋_GB2312" w:hAnsi="仿宋_GB2312" w:eastAsia="仿宋_GB2312" w:cs="仿宋_GB2312"/>
                <w:sz w:val="20"/>
                <w:szCs w:val="20"/>
                <w:lang w:val="en-US" w:eastAsia="zh-CN"/>
              </w:rPr>
              <w:t>加快信息数据同岳阳市自然资源和规划局共享和业务协同，解决办理不动产登记业务过程中缴纳契税出现的数据延迟和误差等问题，切实做好协税护税工作，开展商品房网签数据深度清理工作。</w:t>
            </w:r>
          </w:p>
        </w:tc>
        <w:tc>
          <w:tcPr>
            <w:tcW w:w="4253" w:type="dxa"/>
            <w:gridSpan w:val="4"/>
            <w:tcBorders>
              <w:top w:val="single" w:color="auto" w:sz="4" w:space="0"/>
              <w:left w:val="nil"/>
              <w:bottom w:val="single" w:color="auto" w:sz="4" w:space="0"/>
              <w:right w:val="single" w:color="auto" w:sz="4" w:space="0"/>
            </w:tcBorders>
            <w:noWrap w:val="0"/>
            <w:vAlign w:val="center"/>
          </w:tcPr>
          <w:p w14:paraId="12BEFBA9">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eastAsia="zh-CN"/>
              </w:rPr>
              <w:t>办理商品房合同备案</w:t>
            </w:r>
            <w:r>
              <w:rPr>
                <w:rFonts w:hint="eastAsia" w:ascii="仿宋_GB2312" w:hAnsi="仿宋_GB2312" w:eastAsia="仿宋_GB2312" w:cs="仿宋_GB2312"/>
                <w:color w:val="000000"/>
                <w:sz w:val="20"/>
                <w:szCs w:val="20"/>
                <w:highlight w:val="none"/>
                <w:lang w:val="en-US" w:eastAsia="zh-CN"/>
              </w:rPr>
              <w:t>9270套，商品房网签数据深度清理8万条，协助房地产专项行动办证14167套，协助征缴契税2.01亿元。</w:t>
            </w:r>
          </w:p>
        </w:tc>
      </w:tr>
      <w:tr w14:paraId="67F432A3">
        <w:tblPrEx>
          <w:tblCellMar>
            <w:top w:w="0" w:type="dxa"/>
            <w:left w:w="108" w:type="dxa"/>
            <w:bottom w:w="0" w:type="dxa"/>
            <w:right w:w="108" w:type="dxa"/>
          </w:tblCellMar>
        </w:tblPrEx>
        <w:trPr>
          <w:jc w:val="center"/>
        </w:trPr>
        <w:tc>
          <w:tcPr>
            <w:tcW w:w="1080" w:type="dxa"/>
            <w:vMerge w:val="restart"/>
            <w:tcBorders>
              <w:top w:val="nil"/>
              <w:left w:val="single" w:color="auto" w:sz="4" w:space="0"/>
              <w:right w:val="single" w:color="auto" w:sz="4" w:space="0"/>
            </w:tcBorders>
            <w:noWrap w:val="0"/>
            <w:vAlign w:val="center"/>
          </w:tcPr>
          <w:p w14:paraId="5E75D16C">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绩</w:t>
            </w:r>
          </w:p>
          <w:p w14:paraId="2AFCBEFF">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效</w:t>
            </w:r>
          </w:p>
          <w:p w14:paraId="7D251798">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指</w:t>
            </w:r>
          </w:p>
          <w:p w14:paraId="65460428">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标</w:t>
            </w:r>
          </w:p>
        </w:tc>
        <w:tc>
          <w:tcPr>
            <w:tcW w:w="1080" w:type="dxa"/>
            <w:tcBorders>
              <w:top w:val="nil"/>
              <w:left w:val="nil"/>
              <w:bottom w:val="single" w:color="auto" w:sz="4" w:space="0"/>
              <w:right w:val="single" w:color="auto" w:sz="4" w:space="0"/>
            </w:tcBorders>
            <w:noWrap w:val="0"/>
            <w:vAlign w:val="center"/>
          </w:tcPr>
          <w:p w14:paraId="3BD6121F">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一级指标</w:t>
            </w:r>
          </w:p>
        </w:tc>
        <w:tc>
          <w:tcPr>
            <w:tcW w:w="1080" w:type="dxa"/>
            <w:tcBorders>
              <w:top w:val="nil"/>
              <w:left w:val="nil"/>
              <w:bottom w:val="single" w:color="auto" w:sz="4" w:space="0"/>
              <w:right w:val="single" w:color="auto" w:sz="4" w:space="0"/>
            </w:tcBorders>
            <w:noWrap w:val="0"/>
            <w:vAlign w:val="center"/>
          </w:tcPr>
          <w:p w14:paraId="0BE087AA">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二级指标</w:t>
            </w:r>
          </w:p>
        </w:tc>
        <w:tc>
          <w:tcPr>
            <w:tcW w:w="1220" w:type="dxa"/>
            <w:tcBorders>
              <w:top w:val="nil"/>
              <w:left w:val="nil"/>
              <w:bottom w:val="single" w:color="auto" w:sz="4" w:space="0"/>
              <w:right w:val="single" w:color="auto" w:sz="4" w:space="0"/>
            </w:tcBorders>
            <w:noWrap w:val="0"/>
            <w:vAlign w:val="center"/>
          </w:tcPr>
          <w:p w14:paraId="161E3D71">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三级指标</w:t>
            </w:r>
          </w:p>
        </w:tc>
        <w:tc>
          <w:tcPr>
            <w:tcW w:w="1138" w:type="dxa"/>
            <w:tcBorders>
              <w:top w:val="nil"/>
              <w:left w:val="nil"/>
              <w:bottom w:val="single" w:color="auto" w:sz="4" w:space="0"/>
              <w:right w:val="single" w:color="auto" w:sz="4" w:space="0"/>
            </w:tcBorders>
            <w:noWrap w:val="0"/>
            <w:vAlign w:val="center"/>
          </w:tcPr>
          <w:p w14:paraId="35708381">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年度</w:t>
            </w:r>
          </w:p>
          <w:p w14:paraId="1539F08E">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指标值</w:t>
            </w:r>
          </w:p>
        </w:tc>
        <w:tc>
          <w:tcPr>
            <w:tcW w:w="1134" w:type="dxa"/>
            <w:tcBorders>
              <w:top w:val="nil"/>
              <w:left w:val="nil"/>
              <w:bottom w:val="single" w:color="auto" w:sz="4" w:space="0"/>
              <w:right w:val="single" w:color="auto" w:sz="4" w:space="0"/>
            </w:tcBorders>
            <w:noWrap w:val="0"/>
            <w:vAlign w:val="center"/>
          </w:tcPr>
          <w:p w14:paraId="0867F38C">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实际</w:t>
            </w:r>
          </w:p>
          <w:p w14:paraId="429B6A50">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完成值</w:t>
            </w:r>
          </w:p>
        </w:tc>
        <w:tc>
          <w:tcPr>
            <w:tcW w:w="828" w:type="dxa"/>
            <w:tcBorders>
              <w:top w:val="nil"/>
              <w:left w:val="nil"/>
              <w:bottom w:val="single" w:color="auto" w:sz="4" w:space="0"/>
              <w:right w:val="single" w:color="auto" w:sz="4" w:space="0"/>
            </w:tcBorders>
            <w:noWrap w:val="0"/>
            <w:vAlign w:val="center"/>
          </w:tcPr>
          <w:p w14:paraId="0F629C98">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分值</w:t>
            </w:r>
          </w:p>
        </w:tc>
        <w:tc>
          <w:tcPr>
            <w:tcW w:w="1099" w:type="dxa"/>
            <w:tcBorders>
              <w:top w:val="nil"/>
              <w:left w:val="nil"/>
              <w:bottom w:val="single" w:color="auto" w:sz="4" w:space="0"/>
              <w:right w:val="single" w:color="auto" w:sz="4" w:space="0"/>
            </w:tcBorders>
            <w:noWrap w:val="0"/>
            <w:vAlign w:val="center"/>
          </w:tcPr>
          <w:p w14:paraId="727F18F9">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得分</w:t>
            </w:r>
          </w:p>
        </w:tc>
        <w:tc>
          <w:tcPr>
            <w:tcW w:w="1192" w:type="dxa"/>
            <w:tcBorders>
              <w:top w:val="nil"/>
              <w:left w:val="nil"/>
              <w:bottom w:val="single" w:color="auto" w:sz="4" w:space="0"/>
              <w:right w:val="single" w:color="auto" w:sz="4" w:space="0"/>
            </w:tcBorders>
            <w:noWrap w:val="0"/>
            <w:vAlign w:val="center"/>
          </w:tcPr>
          <w:p w14:paraId="5AFB9B42">
            <w:pPr>
              <w:keepNext w:val="0"/>
              <w:keepLines w:val="0"/>
              <w:pageBreakBefore w:val="0"/>
              <w:widowControl/>
              <w:kinsoku/>
              <w:wordWrap/>
              <w:overflowPunct/>
              <w:topLinePunct w:val="0"/>
              <w:autoSpaceDE/>
              <w:autoSpaceDN/>
              <w:bidi w:val="0"/>
              <w:adjustRightInd/>
              <w:snapToGrid/>
              <w:spacing w:line="260" w:lineRule="exact"/>
              <w:jc w:val="both"/>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偏差原因分析及改进措施</w:t>
            </w:r>
          </w:p>
        </w:tc>
      </w:tr>
      <w:tr w14:paraId="2B200115">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14:paraId="4B3267BA">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restart"/>
            <w:tcBorders>
              <w:top w:val="single" w:color="auto" w:sz="4" w:space="0"/>
              <w:left w:val="single" w:color="auto" w:sz="4" w:space="0"/>
              <w:bottom w:val="single" w:color="auto" w:sz="4" w:space="0"/>
              <w:right w:val="single" w:color="auto" w:sz="4" w:space="0"/>
            </w:tcBorders>
            <w:noWrap w:val="0"/>
            <w:vAlign w:val="center"/>
          </w:tcPr>
          <w:p w14:paraId="485A4403">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产出指标</w:t>
            </w:r>
          </w:p>
          <w:p w14:paraId="7FC069B3">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p w14:paraId="0BE6E5B3">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(50分)</w:t>
            </w:r>
          </w:p>
        </w:tc>
        <w:tc>
          <w:tcPr>
            <w:tcW w:w="1080" w:type="dxa"/>
            <w:vMerge w:val="restart"/>
            <w:tcBorders>
              <w:top w:val="single" w:color="auto" w:sz="4" w:space="0"/>
              <w:left w:val="single" w:color="auto" w:sz="4" w:space="0"/>
              <w:bottom w:val="single" w:color="auto" w:sz="4" w:space="0"/>
              <w:right w:val="single" w:color="auto" w:sz="4" w:space="0"/>
            </w:tcBorders>
            <w:noWrap w:val="0"/>
            <w:vAlign w:val="center"/>
          </w:tcPr>
          <w:p w14:paraId="663B163F">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数量指标</w:t>
            </w:r>
          </w:p>
        </w:tc>
        <w:tc>
          <w:tcPr>
            <w:tcW w:w="1220" w:type="dxa"/>
            <w:tcBorders>
              <w:top w:val="single" w:color="auto" w:sz="4" w:space="0"/>
              <w:left w:val="single" w:color="auto" w:sz="4" w:space="0"/>
              <w:bottom w:val="single" w:color="auto" w:sz="4" w:space="0"/>
              <w:right w:val="single" w:color="auto" w:sz="4" w:space="0"/>
            </w:tcBorders>
            <w:noWrap w:val="0"/>
            <w:vAlign w:val="center"/>
          </w:tcPr>
          <w:p w14:paraId="6D373294">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lang w:eastAsia="zh-CN"/>
              </w:rPr>
            </w:pPr>
            <w:r>
              <w:rPr>
                <w:rFonts w:hint="eastAsia" w:ascii="仿宋_GB2312" w:hAnsi="仿宋_GB2312" w:eastAsia="仿宋_GB2312" w:cs="仿宋_GB2312"/>
                <w:color w:val="000000"/>
                <w:sz w:val="20"/>
                <w:szCs w:val="20"/>
                <w:highlight w:val="none"/>
                <w:lang w:eastAsia="zh-CN"/>
              </w:rPr>
              <w:t>办理商品房合同备案</w:t>
            </w:r>
          </w:p>
        </w:tc>
        <w:tc>
          <w:tcPr>
            <w:tcW w:w="1138" w:type="dxa"/>
            <w:tcBorders>
              <w:top w:val="single" w:color="auto" w:sz="4" w:space="0"/>
              <w:left w:val="single" w:color="auto" w:sz="4" w:space="0"/>
              <w:bottom w:val="single" w:color="auto" w:sz="4" w:space="0"/>
              <w:right w:val="single" w:color="auto" w:sz="4" w:space="0"/>
            </w:tcBorders>
            <w:noWrap w:val="0"/>
            <w:vAlign w:val="center"/>
          </w:tcPr>
          <w:p w14:paraId="0EEE5C0B">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w:t>
            </w:r>
            <w:r>
              <w:rPr>
                <w:rFonts w:hint="eastAsia" w:ascii="仿宋_GB2312" w:hAnsi="仿宋_GB2312" w:eastAsia="仿宋_GB2312" w:cs="仿宋_GB2312"/>
                <w:color w:val="000000"/>
                <w:sz w:val="20"/>
                <w:szCs w:val="20"/>
                <w:highlight w:val="none"/>
                <w:lang w:val="en-US" w:eastAsia="zh-CN"/>
              </w:rPr>
              <w:t>5000套</w:t>
            </w:r>
          </w:p>
        </w:tc>
        <w:tc>
          <w:tcPr>
            <w:tcW w:w="1134" w:type="dxa"/>
            <w:tcBorders>
              <w:top w:val="single" w:color="auto" w:sz="4" w:space="0"/>
              <w:left w:val="single" w:color="auto" w:sz="4" w:space="0"/>
              <w:bottom w:val="single" w:color="auto" w:sz="4" w:space="0"/>
              <w:right w:val="single" w:color="auto" w:sz="4" w:space="0"/>
            </w:tcBorders>
            <w:noWrap w:val="0"/>
            <w:vAlign w:val="center"/>
          </w:tcPr>
          <w:p w14:paraId="5B1ECF63">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9270套</w:t>
            </w:r>
          </w:p>
        </w:tc>
        <w:tc>
          <w:tcPr>
            <w:tcW w:w="828" w:type="dxa"/>
            <w:tcBorders>
              <w:top w:val="single" w:color="auto" w:sz="4" w:space="0"/>
              <w:left w:val="single" w:color="auto" w:sz="4" w:space="0"/>
              <w:bottom w:val="single" w:color="auto" w:sz="4" w:space="0"/>
              <w:right w:val="single" w:color="auto" w:sz="4" w:space="0"/>
            </w:tcBorders>
            <w:noWrap w:val="0"/>
            <w:vAlign w:val="center"/>
          </w:tcPr>
          <w:p w14:paraId="4291B6C5">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w:t>
            </w:r>
          </w:p>
        </w:tc>
        <w:tc>
          <w:tcPr>
            <w:tcW w:w="1099" w:type="dxa"/>
            <w:tcBorders>
              <w:top w:val="single" w:color="auto" w:sz="4" w:space="0"/>
              <w:left w:val="single" w:color="auto" w:sz="4" w:space="0"/>
              <w:bottom w:val="single" w:color="auto" w:sz="4" w:space="0"/>
              <w:right w:val="single" w:color="auto" w:sz="4" w:space="0"/>
            </w:tcBorders>
            <w:noWrap w:val="0"/>
            <w:vAlign w:val="center"/>
          </w:tcPr>
          <w:p w14:paraId="55E5E3C8">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w:t>
            </w:r>
          </w:p>
        </w:tc>
        <w:tc>
          <w:tcPr>
            <w:tcW w:w="1192" w:type="dxa"/>
            <w:tcBorders>
              <w:top w:val="single" w:color="auto" w:sz="4" w:space="0"/>
              <w:left w:val="single" w:color="auto" w:sz="4" w:space="0"/>
              <w:bottom w:val="single" w:color="auto" w:sz="4" w:space="0"/>
              <w:right w:val="single" w:color="auto" w:sz="4" w:space="0"/>
            </w:tcBorders>
            <w:noWrap w:val="0"/>
            <w:vAlign w:val="center"/>
          </w:tcPr>
          <w:p w14:paraId="677F8C79">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p w14:paraId="7EAAC142">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p>
        </w:tc>
      </w:tr>
      <w:tr w14:paraId="502F6332">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14:paraId="6F1313F5">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14:paraId="68E178EF">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14:paraId="120BC800">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tc>
        <w:tc>
          <w:tcPr>
            <w:tcW w:w="1220" w:type="dxa"/>
            <w:tcBorders>
              <w:top w:val="single" w:color="auto" w:sz="4" w:space="0"/>
              <w:left w:val="single" w:color="auto" w:sz="4" w:space="0"/>
              <w:bottom w:val="single" w:color="auto" w:sz="4" w:space="0"/>
              <w:right w:val="single" w:color="auto" w:sz="4" w:space="0"/>
            </w:tcBorders>
            <w:noWrap w:val="0"/>
            <w:vAlign w:val="center"/>
          </w:tcPr>
          <w:p w14:paraId="3C88EA20">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lang w:eastAsia="zh-CN"/>
              </w:rPr>
            </w:pPr>
            <w:r>
              <w:rPr>
                <w:rFonts w:hint="eastAsia" w:ascii="仿宋_GB2312" w:hAnsi="仿宋_GB2312" w:eastAsia="仿宋_GB2312" w:cs="仿宋_GB2312"/>
                <w:color w:val="000000"/>
                <w:sz w:val="20"/>
                <w:szCs w:val="20"/>
                <w:highlight w:val="none"/>
                <w:lang w:eastAsia="zh-CN"/>
              </w:rPr>
              <w:t>商品房网签数据深度清理</w:t>
            </w:r>
          </w:p>
        </w:tc>
        <w:tc>
          <w:tcPr>
            <w:tcW w:w="1138" w:type="dxa"/>
            <w:tcBorders>
              <w:top w:val="single" w:color="auto" w:sz="4" w:space="0"/>
              <w:left w:val="single" w:color="auto" w:sz="4" w:space="0"/>
              <w:bottom w:val="single" w:color="auto" w:sz="4" w:space="0"/>
              <w:right w:val="single" w:color="auto" w:sz="4" w:space="0"/>
            </w:tcBorders>
            <w:noWrap w:val="0"/>
            <w:vAlign w:val="center"/>
          </w:tcPr>
          <w:p w14:paraId="71219261">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东文宋体" w:cs="仿宋_GB2312"/>
                <w:color w:val="000000"/>
                <w:sz w:val="20"/>
                <w:szCs w:val="20"/>
                <w:highlight w:val="none"/>
                <w:lang w:val="en-US" w:eastAsia="zh-CN"/>
              </w:rPr>
            </w:pPr>
            <w:r>
              <w:rPr>
                <w:rFonts w:hint="eastAsia" w:ascii="仿宋_GB2312" w:hAnsi="仿宋_GB2312" w:eastAsia="东文宋体" w:cs="仿宋_GB2312"/>
                <w:color w:val="000000"/>
                <w:sz w:val="20"/>
                <w:szCs w:val="20"/>
                <w:highlight w:val="none"/>
                <w:lang w:val="en-US" w:eastAsia="zh-CN"/>
              </w:rPr>
              <w:t>10万</w:t>
            </w:r>
          </w:p>
        </w:tc>
        <w:tc>
          <w:tcPr>
            <w:tcW w:w="1134" w:type="dxa"/>
            <w:tcBorders>
              <w:top w:val="single" w:color="auto" w:sz="4" w:space="0"/>
              <w:left w:val="single" w:color="auto" w:sz="4" w:space="0"/>
              <w:bottom w:val="single" w:color="auto" w:sz="4" w:space="0"/>
              <w:right w:val="single" w:color="auto" w:sz="4" w:space="0"/>
            </w:tcBorders>
            <w:noWrap w:val="0"/>
            <w:vAlign w:val="center"/>
          </w:tcPr>
          <w:p w14:paraId="35063599">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8万</w:t>
            </w:r>
          </w:p>
        </w:tc>
        <w:tc>
          <w:tcPr>
            <w:tcW w:w="828" w:type="dxa"/>
            <w:tcBorders>
              <w:top w:val="single" w:color="auto" w:sz="4" w:space="0"/>
              <w:left w:val="single" w:color="auto" w:sz="4" w:space="0"/>
              <w:bottom w:val="single" w:color="auto" w:sz="4" w:space="0"/>
              <w:right w:val="single" w:color="auto" w:sz="4" w:space="0"/>
            </w:tcBorders>
            <w:noWrap w:val="0"/>
            <w:vAlign w:val="center"/>
          </w:tcPr>
          <w:p w14:paraId="1B0EEFD5">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5</w:t>
            </w:r>
          </w:p>
        </w:tc>
        <w:tc>
          <w:tcPr>
            <w:tcW w:w="1099" w:type="dxa"/>
            <w:tcBorders>
              <w:top w:val="single" w:color="auto" w:sz="4" w:space="0"/>
              <w:left w:val="single" w:color="auto" w:sz="4" w:space="0"/>
              <w:bottom w:val="single" w:color="auto" w:sz="4" w:space="0"/>
              <w:right w:val="single" w:color="auto" w:sz="4" w:space="0"/>
            </w:tcBorders>
            <w:noWrap w:val="0"/>
            <w:vAlign w:val="center"/>
          </w:tcPr>
          <w:p w14:paraId="044DF0E4">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4</w:t>
            </w:r>
          </w:p>
        </w:tc>
        <w:tc>
          <w:tcPr>
            <w:tcW w:w="1192" w:type="dxa"/>
            <w:tcBorders>
              <w:top w:val="single" w:color="auto" w:sz="4" w:space="0"/>
              <w:left w:val="single" w:color="auto" w:sz="4" w:space="0"/>
              <w:bottom w:val="single" w:color="auto" w:sz="4" w:space="0"/>
              <w:right w:val="single" w:color="auto" w:sz="4" w:space="0"/>
            </w:tcBorders>
            <w:noWrap w:val="0"/>
            <w:vAlign w:val="center"/>
          </w:tcPr>
          <w:p w14:paraId="0950DA12">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eastAsia="zh-CN"/>
              </w:rPr>
              <w:t>资金不足，资金到位后将尽快完成商品房网签数据深度清理</w:t>
            </w:r>
          </w:p>
        </w:tc>
      </w:tr>
      <w:tr w14:paraId="3CB6492B">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14:paraId="312FBB10">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14:paraId="669AA5DD">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14:paraId="5DE91362">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tc>
        <w:tc>
          <w:tcPr>
            <w:tcW w:w="1220" w:type="dxa"/>
            <w:tcBorders>
              <w:top w:val="single" w:color="auto" w:sz="4" w:space="0"/>
              <w:left w:val="single" w:color="auto" w:sz="4" w:space="0"/>
              <w:bottom w:val="single" w:color="auto" w:sz="4" w:space="0"/>
              <w:right w:val="single" w:color="auto" w:sz="4" w:space="0"/>
            </w:tcBorders>
            <w:noWrap w:val="0"/>
            <w:vAlign w:val="center"/>
          </w:tcPr>
          <w:p w14:paraId="00E9EC1A">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lang w:eastAsia="zh-CN"/>
              </w:rPr>
            </w:pPr>
            <w:r>
              <w:rPr>
                <w:rFonts w:hint="eastAsia" w:ascii="仿宋_GB2312" w:hAnsi="仿宋_GB2312" w:eastAsia="仿宋_GB2312" w:cs="仿宋_GB2312"/>
                <w:color w:val="000000"/>
                <w:sz w:val="20"/>
                <w:szCs w:val="20"/>
                <w:highlight w:val="none"/>
                <w:lang w:eastAsia="zh-CN"/>
              </w:rPr>
              <w:t>协助房地产专项行动办证</w:t>
            </w:r>
          </w:p>
        </w:tc>
        <w:tc>
          <w:tcPr>
            <w:tcW w:w="1138" w:type="dxa"/>
            <w:tcBorders>
              <w:top w:val="single" w:color="auto" w:sz="4" w:space="0"/>
              <w:left w:val="single" w:color="auto" w:sz="4" w:space="0"/>
              <w:bottom w:val="single" w:color="auto" w:sz="4" w:space="0"/>
              <w:right w:val="single" w:color="auto" w:sz="4" w:space="0"/>
            </w:tcBorders>
            <w:noWrap w:val="0"/>
            <w:vAlign w:val="center"/>
          </w:tcPr>
          <w:p w14:paraId="2F2EE8B1">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24750套</w:t>
            </w:r>
          </w:p>
        </w:tc>
        <w:tc>
          <w:tcPr>
            <w:tcW w:w="1134" w:type="dxa"/>
            <w:tcBorders>
              <w:top w:val="single" w:color="auto" w:sz="4" w:space="0"/>
              <w:left w:val="single" w:color="auto" w:sz="4" w:space="0"/>
              <w:bottom w:val="single" w:color="auto" w:sz="4" w:space="0"/>
              <w:right w:val="single" w:color="auto" w:sz="4" w:space="0"/>
            </w:tcBorders>
            <w:noWrap w:val="0"/>
            <w:vAlign w:val="center"/>
          </w:tcPr>
          <w:p w14:paraId="50B65A70">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14167套</w:t>
            </w:r>
          </w:p>
        </w:tc>
        <w:tc>
          <w:tcPr>
            <w:tcW w:w="828" w:type="dxa"/>
            <w:tcBorders>
              <w:top w:val="single" w:color="auto" w:sz="4" w:space="0"/>
              <w:left w:val="single" w:color="auto" w:sz="4" w:space="0"/>
              <w:bottom w:val="single" w:color="auto" w:sz="4" w:space="0"/>
              <w:right w:val="single" w:color="auto" w:sz="4" w:space="0"/>
            </w:tcBorders>
            <w:noWrap w:val="0"/>
            <w:vAlign w:val="center"/>
          </w:tcPr>
          <w:p w14:paraId="687882BD">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5</w:t>
            </w:r>
          </w:p>
        </w:tc>
        <w:tc>
          <w:tcPr>
            <w:tcW w:w="1099" w:type="dxa"/>
            <w:tcBorders>
              <w:top w:val="single" w:color="auto" w:sz="4" w:space="0"/>
              <w:left w:val="single" w:color="auto" w:sz="4" w:space="0"/>
              <w:bottom w:val="single" w:color="auto" w:sz="4" w:space="0"/>
              <w:right w:val="single" w:color="auto" w:sz="4" w:space="0"/>
            </w:tcBorders>
            <w:noWrap w:val="0"/>
            <w:vAlign w:val="center"/>
          </w:tcPr>
          <w:p w14:paraId="6DCD5F18">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2.86</w:t>
            </w:r>
          </w:p>
        </w:tc>
        <w:tc>
          <w:tcPr>
            <w:tcW w:w="1192" w:type="dxa"/>
            <w:tcBorders>
              <w:top w:val="single" w:color="auto" w:sz="4" w:space="0"/>
              <w:left w:val="single" w:color="auto" w:sz="4" w:space="0"/>
              <w:bottom w:val="single" w:color="auto" w:sz="4" w:space="0"/>
              <w:right w:val="single" w:color="auto" w:sz="4" w:space="0"/>
            </w:tcBorders>
            <w:noWrap w:val="0"/>
            <w:vAlign w:val="center"/>
          </w:tcPr>
          <w:p w14:paraId="4EAE14AF">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eastAsia="zh-CN"/>
              </w:rPr>
              <w:t>加大协助资规局做好房地产专项行动办证</w:t>
            </w:r>
          </w:p>
        </w:tc>
      </w:tr>
      <w:tr w14:paraId="10F97F03">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14:paraId="65EB91E4">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14:paraId="5DDBBE16">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restart"/>
            <w:tcBorders>
              <w:top w:val="single" w:color="auto" w:sz="4" w:space="0"/>
              <w:left w:val="single" w:color="auto" w:sz="4" w:space="0"/>
              <w:right w:val="single" w:color="auto" w:sz="4" w:space="0"/>
            </w:tcBorders>
            <w:noWrap w:val="0"/>
            <w:vAlign w:val="center"/>
          </w:tcPr>
          <w:p w14:paraId="0D1D8398">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质量指标</w:t>
            </w:r>
          </w:p>
        </w:tc>
        <w:tc>
          <w:tcPr>
            <w:tcW w:w="1220" w:type="dxa"/>
            <w:tcBorders>
              <w:top w:val="single" w:color="auto" w:sz="4" w:space="0"/>
              <w:left w:val="single" w:color="auto" w:sz="4" w:space="0"/>
              <w:bottom w:val="single" w:color="auto" w:sz="4" w:space="0"/>
              <w:right w:val="single" w:color="auto" w:sz="4" w:space="0"/>
            </w:tcBorders>
            <w:noWrap w:val="0"/>
            <w:vAlign w:val="center"/>
          </w:tcPr>
          <w:p w14:paraId="749BB77A">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lang w:eastAsia="zh-CN"/>
              </w:rPr>
            </w:pPr>
            <w:r>
              <w:rPr>
                <w:rFonts w:hint="eastAsia" w:ascii="仿宋_GB2312" w:hAnsi="仿宋_GB2312" w:eastAsia="仿宋_GB2312" w:cs="仿宋_GB2312"/>
                <w:color w:val="000000"/>
                <w:sz w:val="20"/>
                <w:szCs w:val="20"/>
                <w:highlight w:val="none"/>
                <w:lang w:eastAsia="zh-CN"/>
              </w:rPr>
              <w:t>办证效率</w:t>
            </w:r>
          </w:p>
        </w:tc>
        <w:tc>
          <w:tcPr>
            <w:tcW w:w="1138" w:type="dxa"/>
            <w:tcBorders>
              <w:top w:val="single" w:color="auto" w:sz="4" w:space="0"/>
              <w:left w:val="single" w:color="auto" w:sz="4" w:space="0"/>
              <w:bottom w:val="single" w:color="auto" w:sz="4" w:space="0"/>
              <w:right w:val="single" w:color="auto" w:sz="4" w:space="0"/>
            </w:tcBorders>
            <w:noWrap w:val="0"/>
            <w:vAlign w:val="center"/>
          </w:tcPr>
          <w:p w14:paraId="532F3E05">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100%</w:t>
            </w:r>
          </w:p>
        </w:tc>
        <w:tc>
          <w:tcPr>
            <w:tcW w:w="1134" w:type="dxa"/>
            <w:tcBorders>
              <w:top w:val="single" w:color="auto" w:sz="4" w:space="0"/>
              <w:left w:val="single" w:color="auto" w:sz="4" w:space="0"/>
              <w:bottom w:val="single" w:color="auto" w:sz="4" w:space="0"/>
              <w:right w:val="single" w:color="auto" w:sz="4" w:space="0"/>
            </w:tcBorders>
            <w:noWrap w:val="0"/>
            <w:vAlign w:val="center"/>
          </w:tcPr>
          <w:p w14:paraId="6C4A0043">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100%</w:t>
            </w:r>
          </w:p>
        </w:tc>
        <w:tc>
          <w:tcPr>
            <w:tcW w:w="828" w:type="dxa"/>
            <w:tcBorders>
              <w:top w:val="single" w:color="auto" w:sz="4" w:space="0"/>
              <w:left w:val="single" w:color="auto" w:sz="4" w:space="0"/>
              <w:bottom w:val="single" w:color="auto" w:sz="4" w:space="0"/>
              <w:right w:val="single" w:color="auto" w:sz="4" w:space="0"/>
            </w:tcBorders>
            <w:noWrap w:val="0"/>
            <w:vAlign w:val="center"/>
          </w:tcPr>
          <w:p w14:paraId="3B4C4015">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5</w:t>
            </w:r>
          </w:p>
        </w:tc>
        <w:tc>
          <w:tcPr>
            <w:tcW w:w="1099" w:type="dxa"/>
            <w:tcBorders>
              <w:top w:val="single" w:color="auto" w:sz="4" w:space="0"/>
              <w:left w:val="single" w:color="auto" w:sz="4" w:space="0"/>
              <w:bottom w:val="single" w:color="auto" w:sz="4" w:space="0"/>
              <w:right w:val="single" w:color="auto" w:sz="4" w:space="0"/>
            </w:tcBorders>
            <w:noWrap w:val="0"/>
            <w:vAlign w:val="center"/>
          </w:tcPr>
          <w:p w14:paraId="6600D125">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5</w:t>
            </w:r>
          </w:p>
        </w:tc>
        <w:tc>
          <w:tcPr>
            <w:tcW w:w="1192" w:type="dxa"/>
            <w:tcBorders>
              <w:top w:val="single" w:color="auto" w:sz="4" w:space="0"/>
              <w:left w:val="single" w:color="auto" w:sz="4" w:space="0"/>
              <w:bottom w:val="single" w:color="auto" w:sz="4" w:space="0"/>
              <w:right w:val="single" w:color="auto" w:sz="4" w:space="0"/>
            </w:tcBorders>
            <w:noWrap w:val="0"/>
            <w:vAlign w:val="center"/>
          </w:tcPr>
          <w:p w14:paraId="77FA30EF">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tc>
      </w:tr>
      <w:tr w14:paraId="09C2B724">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14:paraId="6AE803B3">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14:paraId="5F4B029A">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continue"/>
            <w:tcBorders>
              <w:left w:val="single" w:color="auto" w:sz="4" w:space="0"/>
              <w:right w:val="single" w:color="auto" w:sz="4" w:space="0"/>
            </w:tcBorders>
            <w:noWrap w:val="0"/>
            <w:vAlign w:val="center"/>
          </w:tcPr>
          <w:p w14:paraId="02DD105E">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tc>
        <w:tc>
          <w:tcPr>
            <w:tcW w:w="1220" w:type="dxa"/>
            <w:tcBorders>
              <w:top w:val="single" w:color="auto" w:sz="4" w:space="0"/>
              <w:left w:val="single" w:color="auto" w:sz="4" w:space="0"/>
              <w:bottom w:val="single" w:color="auto" w:sz="4" w:space="0"/>
              <w:right w:val="single" w:color="auto" w:sz="4" w:space="0"/>
            </w:tcBorders>
            <w:noWrap w:val="0"/>
            <w:vAlign w:val="center"/>
          </w:tcPr>
          <w:p w14:paraId="30B7BE8E">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lang w:eastAsia="zh-CN"/>
              </w:rPr>
            </w:pPr>
            <w:r>
              <w:rPr>
                <w:rFonts w:hint="eastAsia" w:ascii="仿宋_GB2312" w:hAnsi="仿宋_GB2312" w:eastAsia="仿宋_GB2312" w:cs="仿宋_GB2312"/>
                <w:color w:val="000000"/>
                <w:sz w:val="20"/>
                <w:szCs w:val="20"/>
                <w:highlight w:val="none"/>
                <w:lang w:eastAsia="zh-CN"/>
              </w:rPr>
              <w:t>资金分配合理性</w:t>
            </w:r>
          </w:p>
        </w:tc>
        <w:tc>
          <w:tcPr>
            <w:tcW w:w="1138" w:type="dxa"/>
            <w:tcBorders>
              <w:top w:val="single" w:color="auto" w:sz="4" w:space="0"/>
              <w:left w:val="single" w:color="auto" w:sz="4" w:space="0"/>
              <w:bottom w:val="single" w:color="auto" w:sz="4" w:space="0"/>
              <w:right w:val="single" w:color="auto" w:sz="4" w:space="0"/>
            </w:tcBorders>
            <w:noWrap w:val="0"/>
            <w:vAlign w:val="center"/>
          </w:tcPr>
          <w:p w14:paraId="6632EC01">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100%</w:t>
            </w:r>
          </w:p>
        </w:tc>
        <w:tc>
          <w:tcPr>
            <w:tcW w:w="1134" w:type="dxa"/>
            <w:tcBorders>
              <w:top w:val="single" w:color="auto" w:sz="4" w:space="0"/>
              <w:left w:val="single" w:color="auto" w:sz="4" w:space="0"/>
              <w:bottom w:val="single" w:color="auto" w:sz="4" w:space="0"/>
              <w:right w:val="single" w:color="auto" w:sz="4" w:space="0"/>
            </w:tcBorders>
            <w:noWrap w:val="0"/>
            <w:vAlign w:val="center"/>
          </w:tcPr>
          <w:p w14:paraId="18213A22">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100%</w:t>
            </w:r>
          </w:p>
        </w:tc>
        <w:tc>
          <w:tcPr>
            <w:tcW w:w="828" w:type="dxa"/>
            <w:tcBorders>
              <w:top w:val="single" w:color="auto" w:sz="4" w:space="0"/>
              <w:left w:val="single" w:color="auto" w:sz="4" w:space="0"/>
              <w:bottom w:val="single" w:color="auto" w:sz="4" w:space="0"/>
              <w:right w:val="single" w:color="auto" w:sz="4" w:space="0"/>
            </w:tcBorders>
            <w:noWrap w:val="0"/>
            <w:vAlign w:val="center"/>
          </w:tcPr>
          <w:p w14:paraId="2E34C341">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5</w:t>
            </w:r>
          </w:p>
        </w:tc>
        <w:tc>
          <w:tcPr>
            <w:tcW w:w="1099" w:type="dxa"/>
            <w:tcBorders>
              <w:top w:val="single" w:color="auto" w:sz="4" w:space="0"/>
              <w:left w:val="single" w:color="auto" w:sz="4" w:space="0"/>
              <w:bottom w:val="single" w:color="auto" w:sz="4" w:space="0"/>
              <w:right w:val="single" w:color="auto" w:sz="4" w:space="0"/>
            </w:tcBorders>
            <w:noWrap w:val="0"/>
            <w:vAlign w:val="center"/>
          </w:tcPr>
          <w:p w14:paraId="71CB8723">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5</w:t>
            </w:r>
          </w:p>
        </w:tc>
        <w:tc>
          <w:tcPr>
            <w:tcW w:w="1192" w:type="dxa"/>
            <w:tcBorders>
              <w:top w:val="single" w:color="auto" w:sz="4" w:space="0"/>
              <w:left w:val="single" w:color="auto" w:sz="4" w:space="0"/>
              <w:bottom w:val="single" w:color="auto" w:sz="4" w:space="0"/>
              <w:right w:val="single" w:color="auto" w:sz="4" w:space="0"/>
            </w:tcBorders>
            <w:noWrap w:val="0"/>
            <w:vAlign w:val="center"/>
          </w:tcPr>
          <w:p w14:paraId="0A6ABF54">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tc>
      </w:tr>
      <w:tr w14:paraId="1067C3FA">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14:paraId="3E902BD1">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14:paraId="3A7F883D">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continue"/>
            <w:tcBorders>
              <w:left w:val="single" w:color="auto" w:sz="4" w:space="0"/>
              <w:bottom w:val="single" w:color="auto" w:sz="4" w:space="0"/>
              <w:right w:val="single" w:color="auto" w:sz="4" w:space="0"/>
            </w:tcBorders>
            <w:noWrap w:val="0"/>
            <w:vAlign w:val="center"/>
          </w:tcPr>
          <w:p w14:paraId="0C4DBC76">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tc>
        <w:tc>
          <w:tcPr>
            <w:tcW w:w="1220" w:type="dxa"/>
            <w:tcBorders>
              <w:top w:val="single" w:color="auto" w:sz="4" w:space="0"/>
              <w:left w:val="single" w:color="auto" w:sz="4" w:space="0"/>
              <w:bottom w:val="single" w:color="auto" w:sz="4" w:space="0"/>
              <w:right w:val="single" w:color="auto" w:sz="4" w:space="0"/>
            </w:tcBorders>
            <w:noWrap w:val="0"/>
            <w:vAlign w:val="center"/>
          </w:tcPr>
          <w:p w14:paraId="1FB86710">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lang w:eastAsia="zh-CN"/>
              </w:rPr>
            </w:pPr>
            <w:r>
              <w:rPr>
                <w:rFonts w:hint="eastAsia" w:ascii="仿宋_GB2312" w:hAnsi="仿宋_GB2312" w:eastAsia="仿宋_GB2312" w:cs="仿宋_GB2312"/>
                <w:color w:val="000000"/>
                <w:sz w:val="20"/>
                <w:szCs w:val="20"/>
                <w:highlight w:val="none"/>
                <w:lang w:eastAsia="zh-CN"/>
              </w:rPr>
              <w:t>资金使用合规性</w:t>
            </w:r>
          </w:p>
        </w:tc>
        <w:tc>
          <w:tcPr>
            <w:tcW w:w="1138" w:type="dxa"/>
            <w:tcBorders>
              <w:top w:val="single" w:color="auto" w:sz="4" w:space="0"/>
              <w:left w:val="single" w:color="auto" w:sz="4" w:space="0"/>
              <w:bottom w:val="single" w:color="auto" w:sz="4" w:space="0"/>
              <w:right w:val="single" w:color="auto" w:sz="4" w:space="0"/>
            </w:tcBorders>
            <w:noWrap w:val="0"/>
            <w:vAlign w:val="center"/>
          </w:tcPr>
          <w:p w14:paraId="448EBDC2">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100%</w:t>
            </w:r>
          </w:p>
        </w:tc>
        <w:tc>
          <w:tcPr>
            <w:tcW w:w="1134" w:type="dxa"/>
            <w:tcBorders>
              <w:top w:val="single" w:color="auto" w:sz="4" w:space="0"/>
              <w:left w:val="single" w:color="auto" w:sz="4" w:space="0"/>
              <w:bottom w:val="single" w:color="auto" w:sz="4" w:space="0"/>
              <w:right w:val="single" w:color="auto" w:sz="4" w:space="0"/>
            </w:tcBorders>
            <w:noWrap w:val="0"/>
            <w:vAlign w:val="center"/>
          </w:tcPr>
          <w:p w14:paraId="1CCB1C02">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100%</w:t>
            </w:r>
          </w:p>
        </w:tc>
        <w:tc>
          <w:tcPr>
            <w:tcW w:w="828" w:type="dxa"/>
            <w:tcBorders>
              <w:top w:val="single" w:color="auto" w:sz="4" w:space="0"/>
              <w:left w:val="single" w:color="auto" w:sz="4" w:space="0"/>
              <w:bottom w:val="single" w:color="auto" w:sz="4" w:space="0"/>
              <w:right w:val="single" w:color="auto" w:sz="4" w:space="0"/>
            </w:tcBorders>
            <w:noWrap w:val="0"/>
            <w:vAlign w:val="center"/>
          </w:tcPr>
          <w:p w14:paraId="48B17F46">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5</w:t>
            </w:r>
          </w:p>
        </w:tc>
        <w:tc>
          <w:tcPr>
            <w:tcW w:w="1099" w:type="dxa"/>
            <w:tcBorders>
              <w:top w:val="single" w:color="auto" w:sz="4" w:space="0"/>
              <w:left w:val="single" w:color="auto" w:sz="4" w:space="0"/>
              <w:bottom w:val="single" w:color="auto" w:sz="4" w:space="0"/>
              <w:right w:val="single" w:color="auto" w:sz="4" w:space="0"/>
            </w:tcBorders>
            <w:noWrap w:val="0"/>
            <w:vAlign w:val="center"/>
          </w:tcPr>
          <w:p w14:paraId="266CCFA9">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5</w:t>
            </w:r>
          </w:p>
        </w:tc>
        <w:tc>
          <w:tcPr>
            <w:tcW w:w="1192" w:type="dxa"/>
            <w:tcBorders>
              <w:top w:val="single" w:color="auto" w:sz="4" w:space="0"/>
              <w:left w:val="single" w:color="auto" w:sz="4" w:space="0"/>
              <w:bottom w:val="single" w:color="auto" w:sz="4" w:space="0"/>
              <w:right w:val="single" w:color="auto" w:sz="4" w:space="0"/>
            </w:tcBorders>
            <w:noWrap w:val="0"/>
            <w:vAlign w:val="center"/>
          </w:tcPr>
          <w:p w14:paraId="14261075">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tc>
      </w:tr>
      <w:tr w14:paraId="41F0FB36">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14:paraId="396A1399">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14:paraId="3936E3CF">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14:paraId="7D3BD0A8">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时效指标</w:t>
            </w:r>
          </w:p>
        </w:tc>
        <w:tc>
          <w:tcPr>
            <w:tcW w:w="1220" w:type="dxa"/>
            <w:tcBorders>
              <w:top w:val="single" w:color="auto" w:sz="4" w:space="0"/>
              <w:left w:val="single" w:color="auto" w:sz="4" w:space="0"/>
              <w:bottom w:val="single" w:color="auto" w:sz="4" w:space="0"/>
              <w:right w:val="single" w:color="auto" w:sz="4" w:space="0"/>
            </w:tcBorders>
            <w:noWrap w:val="0"/>
            <w:vAlign w:val="center"/>
          </w:tcPr>
          <w:p w14:paraId="3519B3D3">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lang w:eastAsia="zh-CN"/>
              </w:rPr>
            </w:pPr>
            <w:r>
              <w:rPr>
                <w:rFonts w:hint="eastAsia" w:ascii="仿宋_GB2312" w:hAnsi="仿宋_GB2312" w:eastAsia="仿宋_GB2312" w:cs="仿宋_GB2312"/>
                <w:color w:val="000000"/>
                <w:sz w:val="20"/>
                <w:szCs w:val="20"/>
                <w:highlight w:val="none"/>
                <w:lang w:eastAsia="zh-CN"/>
              </w:rPr>
              <w:t>按照计划时间完成</w:t>
            </w:r>
          </w:p>
        </w:tc>
        <w:tc>
          <w:tcPr>
            <w:tcW w:w="1138" w:type="dxa"/>
            <w:tcBorders>
              <w:top w:val="single" w:color="auto" w:sz="4" w:space="0"/>
              <w:left w:val="single" w:color="auto" w:sz="4" w:space="0"/>
              <w:bottom w:val="single" w:color="auto" w:sz="4" w:space="0"/>
              <w:right w:val="single" w:color="auto" w:sz="4" w:space="0"/>
            </w:tcBorders>
            <w:noWrap w:val="0"/>
            <w:vAlign w:val="center"/>
          </w:tcPr>
          <w:p w14:paraId="7D0A8BEC">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2024年年底</w:t>
            </w:r>
          </w:p>
        </w:tc>
        <w:tc>
          <w:tcPr>
            <w:tcW w:w="1134" w:type="dxa"/>
            <w:tcBorders>
              <w:top w:val="single" w:color="auto" w:sz="4" w:space="0"/>
              <w:left w:val="single" w:color="auto" w:sz="4" w:space="0"/>
              <w:bottom w:val="single" w:color="auto" w:sz="4" w:space="0"/>
              <w:right w:val="single" w:color="auto" w:sz="4" w:space="0"/>
            </w:tcBorders>
            <w:noWrap w:val="0"/>
            <w:vAlign w:val="center"/>
          </w:tcPr>
          <w:p w14:paraId="7CF284EA">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已完成</w:t>
            </w:r>
          </w:p>
        </w:tc>
        <w:tc>
          <w:tcPr>
            <w:tcW w:w="828" w:type="dxa"/>
            <w:tcBorders>
              <w:top w:val="single" w:color="auto" w:sz="4" w:space="0"/>
              <w:left w:val="single" w:color="auto" w:sz="4" w:space="0"/>
              <w:bottom w:val="single" w:color="auto" w:sz="4" w:space="0"/>
              <w:right w:val="single" w:color="auto" w:sz="4" w:space="0"/>
            </w:tcBorders>
            <w:noWrap w:val="0"/>
            <w:vAlign w:val="center"/>
          </w:tcPr>
          <w:p w14:paraId="13F00094">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5</w:t>
            </w:r>
          </w:p>
        </w:tc>
        <w:tc>
          <w:tcPr>
            <w:tcW w:w="1099" w:type="dxa"/>
            <w:tcBorders>
              <w:top w:val="single" w:color="auto" w:sz="4" w:space="0"/>
              <w:left w:val="single" w:color="auto" w:sz="4" w:space="0"/>
              <w:bottom w:val="single" w:color="auto" w:sz="4" w:space="0"/>
              <w:right w:val="single" w:color="auto" w:sz="4" w:space="0"/>
            </w:tcBorders>
            <w:noWrap w:val="0"/>
            <w:vAlign w:val="center"/>
          </w:tcPr>
          <w:p w14:paraId="07E587A1">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5</w:t>
            </w:r>
          </w:p>
        </w:tc>
        <w:tc>
          <w:tcPr>
            <w:tcW w:w="1192" w:type="dxa"/>
            <w:tcBorders>
              <w:top w:val="single" w:color="auto" w:sz="4" w:space="0"/>
              <w:left w:val="single" w:color="auto" w:sz="4" w:space="0"/>
              <w:bottom w:val="single" w:color="auto" w:sz="4" w:space="0"/>
              <w:right w:val="single" w:color="auto" w:sz="4" w:space="0"/>
            </w:tcBorders>
            <w:noWrap w:val="0"/>
            <w:vAlign w:val="center"/>
          </w:tcPr>
          <w:p w14:paraId="002266E6">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tc>
      </w:tr>
      <w:tr w14:paraId="57FA05DB">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14:paraId="2DAE5415">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14:paraId="24625C27">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14:paraId="2DF01BB7">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成本指标</w:t>
            </w:r>
          </w:p>
        </w:tc>
        <w:tc>
          <w:tcPr>
            <w:tcW w:w="1220" w:type="dxa"/>
            <w:tcBorders>
              <w:top w:val="single" w:color="auto" w:sz="4" w:space="0"/>
              <w:left w:val="single" w:color="auto" w:sz="4" w:space="0"/>
              <w:bottom w:val="single" w:color="auto" w:sz="4" w:space="0"/>
              <w:right w:val="single" w:color="auto" w:sz="4" w:space="0"/>
            </w:tcBorders>
            <w:noWrap w:val="0"/>
            <w:vAlign w:val="center"/>
          </w:tcPr>
          <w:p w14:paraId="6D3086B7">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lang w:eastAsia="zh-CN"/>
              </w:rPr>
            </w:pPr>
            <w:r>
              <w:rPr>
                <w:rFonts w:hint="eastAsia" w:ascii="仿宋_GB2312" w:hAnsi="仿宋_GB2312" w:eastAsia="仿宋_GB2312" w:cs="仿宋_GB2312"/>
                <w:color w:val="000000"/>
                <w:sz w:val="20"/>
                <w:szCs w:val="20"/>
                <w:highlight w:val="none"/>
                <w:lang w:eastAsia="zh-CN"/>
              </w:rPr>
              <w:t>项目成本控制在预算范围内</w:t>
            </w:r>
          </w:p>
        </w:tc>
        <w:tc>
          <w:tcPr>
            <w:tcW w:w="1138" w:type="dxa"/>
            <w:tcBorders>
              <w:top w:val="single" w:color="auto" w:sz="4" w:space="0"/>
              <w:left w:val="single" w:color="auto" w:sz="4" w:space="0"/>
              <w:bottom w:val="single" w:color="auto" w:sz="4" w:space="0"/>
              <w:right w:val="single" w:color="auto" w:sz="4" w:space="0"/>
            </w:tcBorders>
            <w:noWrap w:val="0"/>
            <w:vAlign w:val="center"/>
          </w:tcPr>
          <w:p w14:paraId="2E30F2AB">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东文宋体" w:hAnsi="东文宋体" w:eastAsia="东文宋体" w:cs="东文宋体"/>
                <w:color w:val="000000"/>
                <w:sz w:val="20"/>
                <w:szCs w:val="20"/>
                <w:highlight w:val="none"/>
                <w:lang w:val="en-US" w:eastAsia="zh-CN"/>
              </w:rPr>
              <w:t>≤</w:t>
            </w:r>
            <w:r>
              <w:rPr>
                <w:rFonts w:hint="eastAsia" w:ascii="仿宋_GB2312" w:hAnsi="仿宋_GB2312" w:eastAsia="仿宋_GB2312" w:cs="仿宋_GB2312"/>
                <w:color w:val="000000"/>
                <w:sz w:val="20"/>
                <w:szCs w:val="20"/>
                <w:highlight w:val="none"/>
                <w:lang w:val="en-US" w:eastAsia="zh-CN"/>
              </w:rPr>
              <w:t>29.36万</w:t>
            </w:r>
          </w:p>
        </w:tc>
        <w:tc>
          <w:tcPr>
            <w:tcW w:w="1134" w:type="dxa"/>
            <w:tcBorders>
              <w:top w:val="single" w:color="auto" w:sz="4" w:space="0"/>
              <w:left w:val="single" w:color="auto" w:sz="4" w:space="0"/>
              <w:bottom w:val="single" w:color="auto" w:sz="4" w:space="0"/>
              <w:right w:val="single" w:color="auto" w:sz="4" w:space="0"/>
            </w:tcBorders>
            <w:noWrap w:val="0"/>
            <w:vAlign w:val="center"/>
          </w:tcPr>
          <w:p w14:paraId="40E4960E">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29.22万</w:t>
            </w:r>
          </w:p>
        </w:tc>
        <w:tc>
          <w:tcPr>
            <w:tcW w:w="828" w:type="dxa"/>
            <w:tcBorders>
              <w:top w:val="single" w:color="auto" w:sz="4" w:space="0"/>
              <w:left w:val="single" w:color="auto" w:sz="4" w:space="0"/>
              <w:bottom w:val="single" w:color="auto" w:sz="4" w:space="0"/>
              <w:right w:val="single" w:color="auto" w:sz="4" w:space="0"/>
            </w:tcBorders>
            <w:noWrap w:val="0"/>
            <w:vAlign w:val="center"/>
          </w:tcPr>
          <w:p w14:paraId="5BAE458C">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w:t>
            </w:r>
          </w:p>
        </w:tc>
        <w:tc>
          <w:tcPr>
            <w:tcW w:w="1099" w:type="dxa"/>
            <w:tcBorders>
              <w:top w:val="single" w:color="auto" w:sz="4" w:space="0"/>
              <w:left w:val="single" w:color="auto" w:sz="4" w:space="0"/>
              <w:bottom w:val="single" w:color="auto" w:sz="4" w:space="0"/>
              <w:right w:val="single" w:color="auto" w:sz="4" w:space="0"/>
            </w:tcBorders>
            <w:noWrap w:val="0"/>
            <w:vAlign w:val="center"/>
          </w:tcPr>
          <w:p w14:paraId="4F2DF727">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10</w:t>
            </w:r>
          </w:p>
        </w:tc>
        <w:tc>
          <w:tcPr>
            <w:tcW w:w="1192" w:type="dxa"/>
            <w:tcBorders>
              <w:top w:val="single" w:color="auto" w:sz="4" w:space="0"/>
              <w:left w:val="single" w:color="auto" w:sz="4" w:space="0"/>
              <w:bottom w:val="single" w:color="auto" w:sz="4" w:space="0"/>
              <w:right w:val="single" w:color="auto" w:sz="4" w:space="0"/>
            </w:tcBorders>
            <w:noWrap w:val="0"/>
            <w:vAlign w:val="center"/>
          </w:tcPr>
          <w:p w14:paraId="3347E4F8">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tc>
      </w:tr>
      <w:tr w14:paraId="417CCDD9">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14:paraId="0C3DB731">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restart"/>
            <w:tcBorders>
              <w:top w:val="single" w:color="auto" w:sz="4" w:space="0"/>
              <w:left w:val="single" w:color="auto" w:sz="4" w:space="0"/>
              <w:bottom w:val="single" w:color="auto" w:sz="4" w:space="0"/>
              <w:right w:val="single" w:color="auto" w:sz="4" w:space="0"/>
            </w:tcBorders>
            <w:noWrap w:val="0"/>
            <w:vAlign w:val="center"/>
          </w:tcPr>
          <w:p w14:paraId="7EA1B5B0">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效益指标</w:t>
            </w:r>
          </w:p>
          <w:p w14:paraId="724D55BE">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p w14:paraId="082EAABA">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（30分）</w:t>
            </w:r>
          </w:p>
          <w:p w14:paraId="583AE7AD">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080" w:type="dxa"/>
            <w:tcBorders>
              <w:top w:val="single" w:color="auto" w:sz="4" w:space="0"/>
              <w:left w:val="single" w:color="auto" w:sz="4" w:space="0"/>
              <w:bottom w:val="single" w:color="auto" w:sz="4" w:space="0"/>
              <w:right w:val="single" w:color="auto" w:sz="4" w:space="0"/>
            </w:tcBorders>
            <w:noWrap w:val="0"/>
            <w:vAlign w:val="center"/>
          </w:tcPr>
          <w:p w14:paraId="5E02F931">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经济效</w:t>
            </w:r>
          </w:p>
          <w:p w14:paraId="3AC784FA">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益指标</w:t>
            </w:r>
          </w:p>
        </w:tc>
        <w:tc>
          <w:tcPr>
            <w:tcW w:w="1220" w:type="dxa"/>
            <w:tcBorders>
              <w:top w:val="single" w:color="auto" w:sz="4" w:space="0"/>
              <w:left w:val="single" w:color="auto" w:sz="4" w:space="0"/>
              <w:bottom w:val="single" w:color="auto" w:sz="4" w:space="0"/>
              <w:right w:val="single" w:color="auto" w:sz="4" w:space="0"/>
            </w:tcBorders>
            <w:noWrap w:val="0"/>
            <w:vAlign w:val="center"/>
          </w:tcPr>
          <w:p w14:paraId="4DBC80A6">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lang w:eastAsia="zh-CN"/>
              </w:rPr>
            </w:pPr>
            <w:r>
              <w:rPr>
                <w:rFonts w:hint="eastAsia" w:ascii="仿宋_GB2312" w:hAnsi="仿宋_GB2312" w:eastAsia="仿宋_GB2312" w:cs="仿宋_GB2312"/>
                <w:color w:val="000000"/>
                <w:sz w:val="20"/>
                <w:szCs w:val="20"/>
                <w:highlight w:val="none"/>
                <w:lang w:eastAsia="zh-CN"/>
              </w:rPr>
              <w:t>协助征缴契税</w:t>
            </w:r>
          </w:p>
        </w:tc>
        <w:tc>
          <w:tcPr>
            <w:tcW w:w="1138" w:type="dxa"/>
            <w:tcBorders>
              <w:top w:val="single" w:color="auto" w:sz="4" w:space="0"/>
              <w:left w:val="single" w:color="auto" w:sz="4" w:space="0"/>
              <w:bottom w:val="single" w:color="auto" w:sz="4" w:space="0"/>
              <w:right w:val="single" w:color="auto" w:sz="4" w:space="0"/>
            </w:tcBorders>
            <w:noWrap w:val="0"/>
            <w:vAlign w:val="center"/>
          </w:tcPr>
          <w:p w14:paraId="7E67C81B">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w:t>
            </w:r>
            <w:r>
              <w:rPr>
                <w:rFonts w:hint="eastAsia" w:ascii="仿宋_GB2312" w:hAnsi="仿宋_GB2312" w:eastAsia="仿宋_GB2312" w:cs="仿宋_GB2312"/>
                <w:color w:val="000000"/>
                <w:sz w:val="20"/>
                <w:szCs w:val="20"/>
                <w:highlight w:val="none"/>
                <w:lang w:val="en-US" w:eastAsia="zh-CN"/>
              </w:rPr>
              <w:t>2亿</w:t>
            </w:r>
            <w:r>
              <w:rPr>
                <w:rFonts w:hint="eastAsia" w:ascii="东文宋体" w:hAnsi="东文宋体" w:eastAsia="东文宋体" w:cs="东文宋体"/>
                <w:color w:val="000000"/>
                <w:sz w:val="20"/>
                <w:szCs w:val="20"/>
                <w:highlight w:val="none"/>
                <w:lang w:val="en-US" w:eastAsia="zh-CN"/>
              </w:rPr>
              <w:t xml:space="preserve">  </w:t>
            </w:r>
          </w:p>
        </w:tc>
        <w:tc>
          <w:tcPr>
            <w:tcW w:w="1134" w:type="dxa"/>
            <w:tcBorders>
              <w:top w:val="single" w:color="auto" w:sz="4" w:space="0"/>
              <w:left w:val="single" w:color="auto" w:sz="4" w:space="0"/>
              <w:bottom w:val="single" w:color="auto" w:sz="4" w:space="0"/>
              <w:right w:val="single" w:color="auto" w:sz="4" w:space="0"/>
            </w:tcBorders>
            <w:noWrap w:val="0"/>
            <w:vAlign w:val="center"/>
          </w:tcPr>
          <w:p w14:paraId="5DE11E96">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2.01亿</w:t>
            </w:r>
          </w:p>
        </w:tc>
        <w:tc>
          <w:tcPr>
            <w:tcW w:w="828" w:type="dxa"/>
            <w:tcBorders>
              <w:top w:val="single" w:color="auto" w:sz="4" w:space="0"/>
              <w:left w:val="single" w:color="auto" w:sz="4" w:space="0"/>
              <w:bottom w:val="single" w:color="auto" w:sz="4" w:space="0"/>
              <w:right w:val="single" w:color="auto" w:sz="4" w:space="0"/>
            </w:tcBorders>
            <w:noWrap w:val="0"/>
            <w:vAlign w:val="center"/>
          </w:tcPr>
          <w:p w14:paraId="530AAC10">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w:t>
            </w:r>
          </w:p>
        </w:tc>
        <w:tc>
          <w:tcPr>
            <w:tcW w:w="1099" w:type="dxa"/>
            <w:tcBorders>
              <w:top w:val="single" w:color="auto" w:sz="4" w:space="0"/>
              <w:left w:val="single" w:color="auto" w:sz="4" w:space="0"/>
              <w:bottom w:val="single" w:color="auto" w:sz="4" w:space="0"/>
              <w:right w:val="single" w:color="auto" w:sz="4" w:space="0"/>
            </w:tcBorders>
            <w:noWrap w:val="0"/>
            <w:vAlign w:val="center"/>
          </w:tcPr>
          <w:p w14:paraId="512A4EBE">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w:t>
            </w:r>
          </w:p>
        </w:tc>
        <w:tc>
          <w:tcPr>
            <w:tcW w:w="1192" w:type="dxa"/>
            <w:tcBorders>
              <w:top w:val="single" w:color="auto" w:sz="4" w:space="0"/>
              <w:left w:val="single" w:color="auto" w:sz="4" w:space="0"/>
              <w:bottom w:val="single" w:color="auto" w:sz="4" w:space="0"/>
              <w:right w:val="single" w:color="auto" w:sz="4" w:space="0"/>
            </w:tcBorders>
            <w:noWrap w:val="0"/>
            <w:vAlign w:val="center"/>
          </w:tcPr>
          <w:p w14:paraId="3248885A">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tc>
      </w:tr>
      <w:tr w14:paraId="2C733D64">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14:paraId="7AB7F9BD">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14:paraId="68B54A2E">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restart"/>
            <w:tcBorders>
              <w:top w:val="single" w:color="auto" w:sz="4" w:space="0"/>
              <w:left w:val="single" w:color="auto" w:sz="4" w:space="0"/>
              <w:right w:val="single" w:color="auto" w:sz="4" w:space="0"/>
            </w:tcBorders>
            <w:noWrap w:val="0"/>
            <w:vAlign w:val="center"/>
          </w:tcPr>
          <w:p w14:paraId="0FE8E10C">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社会效</w:t>
            </w:r>
          </w:p>
          <w:p w14:paraId="3391A4E2">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益指标</w:t>
            </w:r>
          </w:p>
        </w:tc>
        <w:tc>
          <w:tcPr>
            <w:tcW w:w="1220" w:type="dxa"/>
            <w:tcBorders>
              <w:top w:val="single" w:color="auto" w:sz="4" w:space="0"/>
              <w:left w:val="single" w:color="auto" w:sz="4" w:space="0"/>
              <w:bottom w:val="single" w:color="auto" w:sz="4" w:space="0"/>
              <w:right w:val="single" w:color="auto" w:sz="4" w:space="0"/>
            </w:tcBorders>
            <w:noWrap w:val="0"/>
            <w:vAlign w:val="center"/>
          </w:tcPr>
          <w:p w14:paraId="54192C3D">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lang w:eastAsia="zh-CN"/>
              </w:rPr>
            </w:pPr>
            <w:r>
              <w:rPr>
                <w:rFonts w:hint="eastAsia" w:ascii="仿宋_GB2312" w:hAnsi="仿宋_GB2312" w:eastAsia="仿宋_GB2312" w:cs="仿宋_GB2312"/>
                <w:color w:val="000000"/>
                <w:sz w:val="20"/>
                <w:szCs w:val="20"/>
                <w:highlight w:val="none"/>
                <w:lang w:eastAsia="zh-CN"/>
              </w:rPr>
              <w:t>引导购房人及时办理不动产权证、分户证</w:t>
            </w:r>
          </w:p>
        </w:tc>
        <w:tc>
          <w:tcPr>
            <w:tcW w:w="1138" w:type="dxa"/>
            <w:tcBorders>
              <w:top w:val="single" w:color="auto" w:sz="4" w:space="0"/>
              <w:left w:val="single" w:color="auto" w:sz="4" w:space="0"/>
              <w:bottom w:val="single" w:color="auto" w:sz="4" w:space="0"/>
              <w:right w:val="single" w:color="auto" w:sz="4" w:space="0"/>
            </w:tcBorders>
            <w:noWrap w:val="0"/>
            <w:vAlign w:val="center"/>
          </w:tcPr>
          <w:p w14:paraId="0AD56547">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eastAsia="zh-CN"/>
              </w:rPr>
            </w:pPr>
            <w:r>
              <w:rPr>
                <w:rFonts w:hint="eastAsia" w:ascii="仿宋_GB2312" w:hAnsi="仿宋_GB2312" w:eastAsia="仿宋_GB2312" w:cs="仿宋_GB2312"/>
                <w:color w:val="000000"/>
                <w:sz w:val="20"/>
                <w:szCs w:val="20"/>
                <w:highlight w:val="none"/>
                <w:lang w:eastAsia="zh-CN"/>
              </w:rPr>
              <w:t>有明显效果</w:t>
            </w:r>
          </w:p>
        </w:tc>
        <w:tc>
          <w:tcPr>
            <w:tcW w:w="1134" w:type="dxa"/>
            <w:tcBorders>
              <w:top w:val="single" w:color="auto" w:sz="4" w:space="0"/>
              <w:left w:val="single" w:color="auto" w:sz="4" w:space="0"/>
              <w:bottom w:val="single" w:color="auto" w:sz="4" w:space="0"/>
              <w:right w:val="single" w:color="auto" w:sz="4" w:space="0"/>
            </w:tcBorders>
            <w:noWrap w:val="0"/>
            <w:vAlign w:val="center"/>
          </w:tcPr>
          <w:p w14:paraId="311AAD11">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eastAsia="zh-CN"/>
              </w:rPr>
              <w:t>有明显效果</w:t>
            </w:r>
          </w:p>
        </w:tc>
        <w:tc>
          <w:tcPr>
            <w:tcW w:w="828" w:type="dxa"/>
            <w:tcBorders>
              <w:top w:val="single" w:color="auto" w:sz="4" w:space="0"/>
              <w:left w:val="single" w:color="auto" w:sz="4" w:space="0"/>
              <w:bottom w:val="single" w:color="auto" w:sz="4" w:space="0"/>
              <w:right w:val="single" w:color="auto" w:sz="4" w:space="0"/>
            </w:tcBorders>
            <w:noWrap w:val="0"/>
            <w:vAlign w:val="center"/>
          </w:tcPr>
          <w:p w14:paraId="3679263F">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5</w:t>
            </w:r>
          </w:p>
        </w:tc>
        <w:tc>
          <w:tcPr>
            <w:tcW w:w="1099" w:type="dxa"/>
            <w:tcBorders>
              <w:top w:val="single" w:color="auto" w:sz="4" w:space="0"/>
              <w:left w:val="single" w:color="auto" w:sz="4" w:space="0"/>
              <w:bottom w:val="single" w:color="auto" w:sz="4" w:space="0"/>
              <w:right w:val="single" w:color="auto" w:sz="4" w:space="0"/>
            </w:tcBorders>
            <w:noWrap w:val="0"/>
            <w:vAlign w:val="center"/>
          </w:tcPr>
          <w:p w14:paraId="7604B4E1">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5</w:t>
            </w:r>
          </w:p>
        </w:tc>
        <w:tc>
          <w:tcPr>
            <w:tcW w:w="1192" w:type="dxa"/>
            <w:tcBorders>
              <w:top w:val="single" w:color="auto" w:sz="4" w:space="0"/>
              <w:left w:val="single" w:color="auto" w:sz="4" w:space="0"/>
              <w:bottom w:val="single" w:color="auto" w:sz="4" w:space="0"/>
              <w:right w:val="single" w:color="auto" w:sz="4" w:space="0"/>
            </w:tcBorders>
            <w:noWrap w:val="0"/>
            <w:vAlign w:val="center"/>
          </w:tcPr>
          <w:p w14:paraId="7BA885CC">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tc>
      </w:tr>
      <w:tr w14:paraId="19421C19">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14:paraId="1D7044C1">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14:paraId="41CE9955">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continue"/>
            <w:tcBorders>
              <w:left w:val="single" w:color="auto" w:sz="4" w:space="0"/>
              <w:bottom w:val="single" w:color="auto" w:sz="4" w:space="0"/>
              <w:right w:val="single" w:color="auto" w:sz="4" w:space="0"/>
            </w:tcBorders>
            <w:noWrap w:val="0"/>
            <w:vAlign w:val="center"/>
          </w:tcPr>
          <w:p w14:paraId="41856F39">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tc>
        <w:tc>
          <w:tcPr>
            <w:tcW w:w="1220" w:type="dxa"/>
            <w:tcBorders>
              <w:top w:val="single" w:color="auto" w:sz="4" w:space="0"/>
              <w:left w:val="single" w:color="auto" w:sz="4" w:space="0"/>
              <w:bottom w:val="single" w:color="auto" w:sz="4" w:space="0"/>
              <w:right w:val="single" w:color="auto" w:sz="4" w:space="0"/>
            </w:tcBorders>
            <w:noWrap w:val="0"/>
            <w:vAlign w:val="center"/>
          </w:tcPr>
          <w:p w14:paraId="668A5D7B">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lang w:eastAsia="zh-CN"/>
              </w:rPr>
            </w:pPr>
            <w:r>
              <w:rPr>
                <w:rFonts w:hint="eastAsia" w:ascii="仿宋_GB2312" w:hAnsi="仿宋_GB2312" w:eastAsia="仿宋_GB2312" w:cs="仿宋_GB2312"/>
                <w:color w:val="000000"/>
                <w:sz w:val="20"/>
                <w:szCs w:val="20"/>
                <w:highlight w:val="none"/>
                <w:lang w:eastAsia="zh-CN"/>
              </w:rPr>
              <w:t>保障购房人权益</w:t>
            </w:r>
          </w:p>
        </w:tc>
        <w:tc>
          <w:tcPr>
            <w:tcW w:w="1138" w:type="dxa"/>
            <w:tcBorders>
              <w:top w:val="single" w:color="auto" w:sz="4" w:space="0"/>
              <w:left w:val="single" w:color="auto" w:sz="4" w:space="0"/>
              <w:bottom w:val="single" w:color="auto" w:sz="4" w:space="0"/>
              <w:right w:val="single" w:color="auto" w:sz="4" w:space="0"/>
            </w:tcBorders>
            <w:noWrap w:val="0"/>
            <w:vAlign w:val="center"/>
          </w:tcPr>
          <w:p w14:paraId="3440642E">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eastAsia="zh-CN"/>
              </w:rPr>
            </w:pPr>
            <w:r>
              <w:rPr>
                <w:rFonts w:hint="eastAsia" w:ascii="仿宋_GB2312" w:hAnsi="仿宋_GB2312" w:eastAsia="仿宋_GB2312" w:cs="仿宋_GB2312"/>
                <w:color w:val="000000"/>
                <w:sz w:val="20"/>
                <w:szCs w:val="20"/>
                <w:highlight w:val="none"/>
                <w:lang w:eastAsia="zh-CN"/>
              </w:rPr>
              <w:t>有所保障</w:t>
            </w:r>
          </w:p>
        </w:tc>
        <w:tc>
          <w:tcPr>
            <w:tcW w:w="1134" w:type="dxa"/>
            <w:tcBorders>
              <w:top w:val="single" w:color="auto" w:sz="4" w:space="0"/>
              <w:left w:val="single" w:color="auto" w:sz="4" w:space="0"/>
              <w:bottom w:val="single" w:color="auto" w:sz="4" w:space="0"/>
              <w:right w:val="single" w:color="auto" w:sz="4" w:space="0"/>
            </w:tcBorders>
            <w:noWrap w:val="0"/>
            <w:vAlign w:val="center"/>
          </w:tcPr>
          <w:p w14:paraId="7AB7FC7E">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eastAsia="zh-CN"/>
              </w:rPr>
            </w:pPr>
            <w:r>
              <w:rPr>
                <w:rFonts w:hint="eastAsia" w:ascii="仿宋_GB2312" w:hAnsi="仿宋_GB2312" w:eastAsia="仿宋_GB2312" w:cs="仿宋_GB2312"/>
                <w:color w:val="000000"/>
                <w:sz w:val="20"/>
                <w:szCs w:val="20"/>
                <w:highlight w:val="none"/>
                <w:lang w:eastAsia="zh-CN"/>
              </w:rPr>
              <w:t>有所保障</w:t>
            </w:r>
          </w:p>
        </w:tc>
        <w:tc>
          <w:tcPr>
            <w:tcW w:w="828" w:type="dxa"/>
            <w:tcBorders>
              <w:top w:val="single" w:color="auto" w:sz="4" w:space="0"/>
              <w:left w:val="single" w:color="auto" w:sz="4" w:space="0"/>
              <w:bottom w:val="single" w:color="auto" w:sz="4" w:space="0"/>
              <w:right w:val="single" w:color="auto" w:sz="4" w:space="0"/>
            </w:tcBorders>
            <w:noWrap w:val="0"/>
            <w:vAlign w:val="center"/>
          </w:tcPr>
          <w:p w14:paraId="29138BE8">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5</w:t>
            </w:r>
          </w:p>
        </w:tc>
        <w:tc>
          <w:tcPr>
            <w:tcW w:w="1099" w:type="dxa"/>
            <w:tcBorders>
              <w:top w:val="single" w:color="auto" w:sz="4" w:space="0"/>
              <w:left w:val="single" w:color="auto" w:sz="4" w:space="0"/>
              <w:bottom w:val="single" w:color="auto" w:sz="4" w:space="0"/>
              <w:right w:val="single" w:color="auto" w:sz="4" w:space="0"/>
            </w:tcBorders>
            <w:noWrap w:val="0"/>
            <w:vAlign w:val="center"/>
          </w:tcPr>
          <w:p w14:paraId="70B66A3D">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5</w:t>
            </w:r>
          </w:p>
        </w:tc>
        <w:tc>
          <w:tcPr>
            <w:tcW w:w="1192" w:type="dxa"/>
            <w:tcBorders>
              <w:top w:val="single" w:color="auto" w:sz="4" w:space="0"/>
              <w:left w:val="single" w:color="auto" w:sz="4" w:space="0"/>
              <w:bottom w:val="single" w:color="auto" w:sz="4" w:space="0"/>
              <w:right w:val="single" w:color="auto" w:sz="4" w:space="0"/>
            </w:tcBorders>
            <w:noWrap w:val="0"/>
            <w:vAlign w:val="center"/>
          </w:tcPr>
          <w:p w14:paraId="195CEA9B">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tc>
      </w:tr>
      <w:tr w14:paraId="127D604B">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14:paraId="104493F0">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14:paraId="4D83C3F0">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14:paraId="54766F07">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生态效</w:t>
            </w:r>
          </w:p>
          <w:p w14:paraId="34193900">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益指标</w:t>
            </w:r>
          </w:p>
        </w:tc>
        <w:tc>
          <w:tcPr>
            <w:tcW w:w="1220" w:type="dxa"/>
            <w:tcBorders>
              <w:top w:val="single" w:color="auto" w:sz="4" w:space="0"/>
              <w:left w:val="single" w:color="auto" w:sz="4" w:space="0"/>
              <w:bottom w:val="single" w:color="auto" w:sz="4" w:space="0"/>
              <w:right w:val="single" w:color="auto" w:sz="4" w:space="0"/>
            </w:tcBorders>
            <w:noWrap w:val="0"/>
            <w:vAlign w:val="center"/>
          </w:tcPr>
          <w:p w14:paraId="24AE40A1">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lang w:eastAsia="zh-CN"/>
              </w:rPr>
            </w:pPr>
            <w:r>
              <w:rPr>
                <w:rFonts w:hint="eastAsia" w:ascii="仿宋_GB2312" w:hAnsi="仿宋_GB2312" w:eastAsia="仿宋_GB2312" w:cs="仿宋_GB2312"/>
                <w:color w:val="000000"/>
                <w:sz w:val="20"/>
                <w:szCs w:val="20"/>
                <w:highlight w:val="none"/>
                <w:lang w:eastAsia="zh-CN"/>
              </w:rPr>
              <w:t>不适用</w:t>
            </w:r>
          </w:p>
        </w:tc>
        <w:tc>
          <w:tcPr>
            <w:tcW w:w="1138" w:type="dxa"/>
            <w:tcBorders>
              <w:top w:val="single" w:color="auto" w:sz="4" w:space="0"/>
              <w:left w:val="single" w:color="auto" w:sz="4" w:space="0"/>
              <w:bottom w:val="single" w:color="auto" w:sz="4" w:space="0"/>
              <w:right w:val="single" w:color="auto" w:sz="4" w:space="0"/>
            </w:tcBorders>
            <w:noWrap w:val="0"/>
            <w:vAlign w:val="center"/>
          </w:tcPr>
          <w:p w14:paraId="6F5A1466">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eastAsia="zh-CN"/>
              </w:rPr>
              <w:t>不适用</w:t>
            </w:r>
          </w:p>
        </w:tc>
        <w:tc>
          <w:tcPr>
            <w:tcW w:w="1134" w:type="dxa"/>
            <w:tcBorders>
              <w:top w:val="single" w:color="auto" w:sz="4" w:space="0"/>
              <w:left w:val="single" w:color="auto" w:sz="4" w:space="0"/>
              <w:bottom w:val="single" w:color="auto" w:sz="4" w:space="0"/>
              <w:right w:val="single" w:color="auto" w:sz="4" w:space="0"/>
            </w:tcBorders>
            <w:noWrap w:val="0"/>
            <w:vAlign w:val="center"/>
          </w:tcPr>
          <w:p w14:paraId="65CDF528">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eastAsia="zh-CN"/>
              </w:rPr>
            </w:pPr>
            <w:r>
              <w:rPr>
                <w:rFonts w:hint="eastAsia" w:ascii="仿宋_GB2312" w:hAnsi="仿宋_GB2312" w:eastAsia="仿宋_GB2312" w:cs="仿宋_GB2312"/>
                <w:color w:val="000000"/>
                <w:sz w:val="20"/>
                <w:szCs w:val="20"/>
                <w:highlight w:val="none"/>
                <w:lang w:eastAsia="zh-CN"/>
              </w:rPr>
              <w:t>不适用</w:t>
            </w:r>
          </w:p>
        </w:tc>
        <w:tc>
          <w:tcPr>
            <w:tcW w:w="828" w:type="dxa"/>
            <w:tcBorders>
              <w:top w:val="single" w:color="auto" w:sz="4" w:space="0"/>
              <w:left w:val="single" w:color="auto" w:sz="4" w:space="0"/>
              <w:bottom w:val="single" w:color="auto" w:sz="4" w:space="0"/>
              <w:right w:val="single" w:color="auto" w:sz="4" w:space="0"/>
            </w:tcBorders>
            <w:noWrap w:val="0"/>
            <w:vAlign w:val="center"/>
          </w:tcPr>
          <w:p w14:paraId="5BEE6286">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0</w:t>
            </w:r>
          </w:p>
        </w:tc>
        <w:tc>
          <w:tcPr>
            <w:tcW w:w="1099" w:type="dxa"/>
            <w:tcBorders>
              <w:top w:val="single" w:color="auto" w:sz="4" w:space="0"/>
              <w:left w:val="single" w:color="auto" w:sz="4" w:space="0"/>
              <w:bottom w:val="single" w:color="auto" w:sz="4" w:space="0"/>
              <w:right w:val="single" w:color="auto" w:sz="4" w:space="0"/>
            </w:tcBorders>
            <w:noWrap w:val="0"/>
            <w:vAlign w:val="center"/>
          </w:tcPr>
          <w:p w14:paraId="6807C63F">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0</w:t>
            </w:r>
          </w:p>
        </w:tc>
        <w:tc>
          <w:tcPr>
            <w:tcW w:w="1192" w:type="dxa"/>
            <w:tcBorders>
              <w:top w:val="single" w:color="auto" w:sz="4" w:space="0"/>
              <w:left w:val="single" w:color="auto" w:sz="4" w:space="0"/>
              <w:bottom w:val="single" w:color="auto" w:sz="4" w:space="0"/>
              <w:right w:val="single" w:color="auto" w:sz="4" w:space="0"/>
            </w:tcBorders>
            <w:noWrap w:val="0"/>
            <w:vAlign w:val="center"/>
          </w:tcPr>
          <w:p w14:paraId="284EBE5D">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r>
      <w:tr w14:paraId="7071167A">
        <w:tblPrEx>
          <w:tblCellMar>
            <w:top w:w="0" w:type="dxa"/>
            <w:left w:w="108" w:type="dxa"/>
            <w:bottom w:w="0" w:type="dxa"/>
            <w:right w:w="108" w:type="dxa"/>
          </w:tblCellMar>
        </w:tblPrEx>
        <w:trPr>
          <w:trHeight w:val="282" w:hRule="atLeast"/>
          <w:jc w:val="center"/>
        </w:trPr>
        <w:tc>
          <w:tcPr>
            <w:tcW w:w="1080" w:type="dxa"/>
            <w:vMerge w:val="continue"/>
            <w:tcBorders>
              <w:left w:val="single" w:color="auto" w:sz="4" w:space="0"/>
              <w:right w:val="single" w:color="auto" w:sz="4" w:space="0"/>
            </w:tcBorders>
            <w:noWrap w:val="0"/>
            <w:vAlign w:val="center"/>
          </w:tcPr>
          <w:p w14:paraId="739BD769">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tc>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14:paraId="7131F158">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14:paraId="1FC19C7C">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可持续影响指标</w:t>
            </w:r>
          </w:p>
        </w:tc>
        <w:tc>
          <w:tcPr>
            <w:tcW w:w="1220" w:type="dxa"/>
            <w:tcBorders>
              <w:top w:val="single" w:color="auto" w:sz="4" w:space="0"/>
              <w:left w:val="single" w:color="auto" w:sz="4" w:space="0"/>
              <w:bottom w:val="single" w:color="auto" w:sz="4" w:space="0"/>
              <w:right w:val="single" w:color="auto" w:sz="4" w:space="0"/>
            </w:tcBorders>
            <w:noWrap w:val="0"/>
            <w:vAlign w:val="center"/>
          </w:tcPr>
          <w:p w14:paraId="0164FCDF">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lang w:eastAsia="zh-CN"/>
              </w:rPr>
            </w:pPr>
            <w:r>
              <w:rPr>
                <w:rFonts w:hint="eastAsia" w:ascii="仿宋_GB2312" w:hAnsi="仿宋_GB2312" w:eastAsia="仿宋_GB2312" w:cs="仿宋_GB2312"/>
                <w:color w:val="000000"/>
                <w:sz w:val="20"/>
                <w:szCs w:val="20"/>
                <w:highlight w:val="none"/>
                <w:lang w:eastAsia="zh-CN"/>
              </w:rPr>
              <w:t>促进房地产市场平稳发展</w:t>
            </w:r>
          </w:p>
        </w:tc>
        <w:tc>
          <w:tcPr>
            <w:tcW w:w="1138" w:type="dxa"/>
            <w:tcBorders>
              <w:top w:val="single" w:color="auto" w:sz="4" w:space="0"/>
              <w:left w:val="single" w:color="auto" w:sz="4" w:space="0"/>
              <w:bottom w:val="single" w:color="auto" w:sz="4" w:space="0"/>
              <w:right w:val="single" w:color="auto" w:sz="4" w:space="0"/>
            </w:tcBorders>
            <w:noWrap w:val="0"/>
            <w:vAlign w:val="center"/>
          </w:tcPr>
          <w:p w14:paraId="7D4C3564">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eastAsia="zh-CN"/>
              </w:rPr>
              <w:t>房地产市场平稳发展</w:t>
            </w:r>
          </w:p>
        </w:tc>
        <w:tc>
          <w:tcPr>
            <w:tcW w:w="1134" w:type="dxa"/>
            <w:tcBorders>
              <w:top w:val="single" w:color="auto" w:sz="4" w:space="0"/>
              <w:left w:val="single" w:color="auto" w:sz="4" w:space="0"/>
              <w:bottom w:val="single" w:color="auto" w:sz="4" w:space="0"/>
              <w:right w:val="single" w:color="auto" w:sz="4" w:space="0"/>
            </w:tcBorders>
            <w:noWrap w:val="0"/>
            <w:vAlign w:val="center"/>
          </w:tcPr>
          <w:p w14:paraId="10085772">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eastAsia="zh-CN"/>
              </w:rPr>
              <w:t>房地产市场平稳发展</w:t>
            </w:r>
          </w:p>
        </w:tc>
        <w:tc>
          <w:tcPr>
            <w:tcW w:w="828" w:type="dxa"/>
            <w:tcBorders>
              <w:top w:val="single" w:color="auto" w:sz="4" w:space="0"/>
              <w:left w:val="single" w:color="auto" w:sz="4" w:space="0"/>
              <w:bottom w:val="single" w:color="auto" w:sz="4" w:space="0"/>
              <w:right w:val="single" w:color="auto" w:sz="4" w:space="0"/>
            </w:tcBorders>
            <w:noWrap w:val="0"/>
            <w:vAlign w:val="center"/>
          </w:tcPr>
          <w:p w14:paraId="7B0F9474">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w:t>
            </w:r>
          </w:p>
        </w:tc>
        <w:tc>
          <w:tcPr>
            <w:tcW w:w="1099" w:type="dxa"/>
            <w:tcBorders>
              <w:top w:val="single" w:color="auto" w:sz="4" w:space="0"/>
              <w:left w:val="single" w:color="auto" w:sz="4" w:space="0"/>
              <w:bottom w:val="single" w:color="auto" w:sz="4" w:space="0"/>
              <w:right w:val="single" w:color="auto" w:sz="4" w:space="0"/>
            </w:tcBorders>
            <w:noWrap w:val="0"/>
            <w:vAlign w:val="center"/>
          </w:tcPr>
          <w:p w14:paraId="644D148D">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w:t>
            </w:r>
          </w:p>
        </w:tc>
        <w:tc>
          <w:tcPr>
            <w:tcW w:w="1192" w:type="dxa"/>
            <w:tcBorders>
              <w:top w:val="single" w:color="auto" w:sz="4" w:space="0"/>
              <w:left w:val="single" w:color="auto" w:sz="4" w:space="0"/>
              <w:bottom w:val="single" w:color="auto" w:sz="4" w:space="0"/>
              <w:right w:val="single" w:color="auto" w:sz="4" w:space="0"/>
            </w:tcBorders>
            <w:noWrap w:val="0"/>
            <w:vAlign w:val="center"/>
          </w:tcPr>
          <w:p w14:paraId="0505E9A9">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r>
      <w:tr w14:paraId="70536190">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14:paraId="10420CFD">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14:paraId="0BEB0780">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满意度</w:t>
            </w:r>
          </w:p>
          <w:p w14:paraId="688F525E">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指标</w:t>
            </w:r>
          </w:p>
          <w:p w14:paraId="6C54567F">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（10分）</w:t>
            </w:r>
          </w:p>
        </w:tc>
        <w:tc>
          <w:tcPr>
            <w:tcW w:w="1080" w:type="dxa"/>
            <w:tcBorders>
              <w:top w:val="single" w:color="auto" w:sz="4" w:space="0"/>
              <w:left w:val="single" w:color="auto" w:sz="4" w:space="0"/>
              <w:bottom w:val="single" w:color="auto" w:sz="4" w:space="0"/>
              <w:right w:val="single" w:color="auto" w:sz="4" w:space="0"/>
            </w:tcBorders>
            <w:noWrap w:val="0"/>
            <w:vAlign w:val="center"/>
          </w:tcPr>
          <w:p w14:paraId="7371C2D1">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服务对象满意度指标</w:t>
            </w:r>
          </w:p>
        </w:tc>
        <w:tc>
          <w:tcPr>
            <w:tcW w:w="1220" w:type="dxa"/>
            <w:tcBorders>
              <w:top w:val="single" w:color="auto" w:sz="4" w:space="0"/>
              <w:left w:val="single" w:color="auto" w:sz="4" w:space="0"/>
              <w:bottom w:val="single" w:color="auto" w:sz="4" w:space="0"/>
              <w:right w:val="single" w:color="auto" w:sz="4" w:space="0"/>
            </w:tcBorders>
            <w:noWrap w:val="0"/>
            <w:vAlign w:val="center"/>
          </w:tcPr>
          <w:p w14:paraId="63796734">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lang w:eastAsia="zh-CN"/>
              </w:rPr>
            </w:pPr>
            <w:r>
              <w:rPr>
                <w:rFonts w:hint="eastAsia" w:ascii="仿宋_GB2312" w:hAnsi="仿宋_GB2312" w:eastAsia="仿宋_GB2312" w:cs="仿宋_GB2312"/>
                <w:color w:val="000000"/>
                <w:sz w:val="20"/>
                <w:szCs w:val="20"/>
                <w:highlight w:val="none"/>
                <w:lang w:eastAsia="zh-CN"/>
              </w:rPr>
              <w:t>社会公众满意度</w:t>
            </w:r>
          </w:p>
        </w:tc>
        <w:tc>
          <w:tcPr>
            <w:tcW w:w="1138" w:type="dxa"/>
            <w:tcBorders>
              <w:top w:val="single" w:color="auto" w:sz="4" w:space="0"/>
              <w:left w:val="single" w:color="auto" w:sz="4" w:space="0"/>
              <w:bottom w:val="single" w:color="auto" w:sz="4" w:space="0"/>
              <w:right w:val="single" w:color="auto" w:sz="4" w:space="0"/>
            </w:tcBorders>
            <w:noWrap w:val="0"/>
            <w:vAlign w:val="center"/>
          </w:tcPr>
          <w:p w14:paraId="7AE67332">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东文宋体" w:hAnsi="东文宋体" w:eastAsia="东文宋体" w:cs="东文宋体"/>
                <w:color w:val="000000"/>
                <w:sz w:val="20"/>
                <w:szCs w:val="20"/>
                <w:highlight w:val="none"/>
              </w:rPr>
              <w:t>≥</w:t>
            </w:r>
            <w:r>
              <w:rPr>
                <w:rFonts w:hint="eastAsia" w:ascii="仿宋_GB2312" w:hAnsi="仿宋_GB2312" w:eastAsia="仿宋_GB2312" w:cs="仿宋_GB2312"/>
                <w:color w:val="000000"/>
                <w:sz w:val="20"/>
                <w:szCs w:val="20"/>
                <w:highlight w:val="none"/>
                <w:lang w:val="en-US" w:eastAsia="zh-CN"/>
              </w:rPr>
              <w:t>95%</w:t>
            </w:r>
          </w:p>
        </w:tc>
        <w:tc>
          <w:tcPr>
            <w:tcW w:w="1134" w:type="dxa"/>
            <w:tcBorders>
              <w:top w:val="single" w:color="auto" w:sz="4" w:space="0"/>
              <w:left w:val="single" w:color="auto" w:sz="4" w:space="0"/>
              <w:bottom w:val="single" w:color="auto" w:sz="4" w:space="0"/>
              <w:right w:val="single" w:color="auto" w:sz="4" w:space="0"/>
            </w:tcBorders>
            <w:noWrap w:val="0"/>
            <w:vAlign w:val="center"/>
          </w:tcPr>
          <w:p w14:paraId="01622EAA">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100%</w:t>
            </w:r>
          </w:p>
        </w:tc>
        <w:tc>
          <w:tcPr>
            <w:tcW w:w="828" w:type="dxa"/>
            <w:tcBorders>
              <w:top w:val="single" w:color="auto" w:sz="4" w:space="0"/>
              <w:left w:val="single" w:color="auto" w:sz="4" w:space="0"/>
              <w:bottom w:val="single" w:color="auto" w:sz="4" w:space="0"/>
              <w:right w:val="single" w:color="auto" w:sz="4" w:space="0"/>
            </w:tcBorders>
            <w:noWrap w:val="0"/>
            <w:vAlign w:val="center"/>
          </w:tcPr>
          <w:p w14:paraId="297890C9">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w:t>
            </w:r>
          </w:p>
        </w:tc>
        <w:tc>
          <w:tcPr>
            <w:tcW w:w="1099" w:type="dxa"/>
            <w:tcBorders>
              <w:top w:val="single" w:color="auto" w:sz="4" w:space="0"/>
              <w:left w:val="single" w:color="auto" w:sz="4" w:space="0"/>
              <w:bottom w:val="single" w:color="auto" w:sz="4" w:space="0"/>
              <w:right w:val="single" w:color="auto" w:sz="4" w:space="0"/>
            </w:tcBorders>
            <w:noWrap w:val="0"/>
            <w:vAlign w:val="center"/>
          </w:tcPr>
          <w:p w14:paraId="15B462B6">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w:t>
            </w:r>
          </w:p>
        </w:tc>
        <w:tc>
          <w:tcPr>
            <w:tcW w:w="1192" w:type="dxa"/>
            <w:tcBorders>
              <w:top w:val="single" w:color="auto" w:sz="4" w:space="0"/>
              <w:left w:val="single" w:color="auto" w:sz="4" w:space="0"/>
              <w:bottom w:val="single" w:color="auto" w:sz="4" w:space="0"/>
              <w:right w:val="single" w:color="auto" w:sz="4" w:space="0"/>
            </w:tcBorders>
            <w:noWrap w:val="0"/>
            <w:vAlign w:val="center"/>
          </w:tcPr>
          <w:p w14:paraId="30499A35">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r>
      <w:tr w14:paraId="461F271A">
        <w:tblPrEx>
          <w:tblCellMar>
            <w:top w:w="0" w:type="dxa"/>
            <w:left w:w="108" w:type="dxa"/>
            <w:bottom w:w="0" w:type="dxa"/>
            <w:right w:w="108" w:type="dxa"/>
          </w:tblCellMar>
        </w:tblPrEx>
        <w:trPr>
          <w:jc w:val="center"/>
        </w:trPr>
        <w:tc>
          <w:tcPr>
            <w:tcW w:w="6732" w:type="dxa"/>
            <w:gridSpan w:val="6"/>
            <w:tcBorders>
              <w:top w:val="single" w:color="auto" w:sz="4" w:space="0"/>
              <w:left w:val="single" w:color="auto" w:sz="4" w:space="0"/>
              <w:bottom w:val="single" w:color="auto" w:sz="4" w:space="0"/>
              <w:right w:val="single" w:color="auto" w:sz="4" w:space="0"/>
            </w:tcBorders>
            <w:noWrap w:val="0"/>
            <w:vAlign w:val="center"/>
          </w:tcPr>
          <w:p w14:paraId="75C774E1">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总分</w:t>
            </w:r>
          </w:p>
        </w:tc>
        <w:tc>
          <w:tcPr>
            <w:tcW w:w="828" w:type="dxa"/>
            <w:tcBorders>
              <w:top w:val="single" w:color="auto" w:sz="4" w:space="0"/>
              <w:left w:val="single" w:color="auto" w:sz="4" w:space="0"/>
              <w:bottom w:val="single" w:color="auto" w:sz="4" w:space="0"/>
              <w:right w:val="single" w:color="auto" w:sz="4" w:space="0"/>
            </w:tcBorders>
            <w:noWrap w:val="0"/>
            <w:vAlign w:val="center"/>
          </w:tcPr>
          <w:p w14:paraId="3F232266">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100</w:t>
            </w:r>
          </w:p>
        </w:tc>
        <w:tc>
          <w:tcPr>
            <w:tcW w:w="1099" w:type="dxa"/>
            <w:tcBorders>
              <w:top w:val="single" w:color="auto" w:sz="4" w:space="0"/>
              <w:left w:val="single" w:color="auto" w:sz="4" w:space="0"/>
              <w:bottom w:val="single" w:color="auto" w:sz="4" w:space="0"/>
              <w:right w:val="single" w:color="auto" w:sz="4" w:space="0"/>
            </w:tcBorders>
            <w:noWrap w:val="0"/>
            <w:vAlign w:val="center"/>
          </w:tcPr>
          <w:p w14:paraId="03A2A523">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9</w:t>
            </w:r>
            <w:r>
              <w:rPr>
                <w:rFonts w:hint="default" w:ascii="仿宋_GB2312" w:hAnsi="仿宋_GB2312" w:eastAsia="仿宋_GB2312" w:cs="仿宋_GB2312"/>
                <w:color w:val="000000"/>
                <w:sz w:val="20"/>
                <w:szCs w:val="20"/>
                <w:highlight w:val="none"/>
                <w:lang w:val="en-US" w:eastAsia="zh-CN"/>
              </w:rPr>
              <w:t>6.8</w:t>
            </w:r>
            <w:r>
              <w:rPr>
                <w:rFonts w:hint="eastAsia" w:ascii="仿宋_GB2312" w:hAnsi="仿宋_GB2312" w:eastAsia="仿宋_GB2312" w:cs="仿宋_GB2312"/>
                <w:color w:val="000000"/>
                <w:sz w:val="20"/>
                <w:szCs w:val="20"/>
                <w:highlight w:val="none"/>
                <w:lang w:val="en-US" w:eastAsia="zh-CN"/>
              </w:rPr>
              <w:t>1</w:t>
            </w:r>
          </w:p>
        </w:tc>
        <w:tc>
          <w:tcPr>
            <w:tcW w:w="1192" w:type="dxa"/>
            <w:tcBorders>
              <w:top w:val="single" w:color="auto" w:sz="4" w:space="0"/>
              <w:left w:val="single" w:color="auto" w:sz="4" w:space="0"/>
              <w:bottom w:val="single" w:color="auto" w:sz="4" w:space="0"/>
              <w:right w:val="single" w:color="auto" w:sz="4" w:space="0"/>
            </w:tcBorders>
            <w:noWrap w:val="0"/>
            <w:vAlign w:val="center"/>
          </w:tcPr>
          <w:p w14:paraId="5AD9BE50">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bl>
    <w:p w14:paraId="3B66B577">
      <w:pPr>
        <w:rPr>
          <w:rFonts w:hint="default" w:ascii="Times New Roman" w:hAnsi="Times New Roman" w:eastAsia="仿宋_GB2312" w:cs="Times New Roman"/>
          <w:sz w:val="18"/>
          <w:szCs w:val="18"/>
          <w:highlight w:val="none"/>
          <w:lang w:eastAsia="zh-CN"/>
        </w:rPr>
      </w:pPr>
    </w:p>
    <w:p w14:paraId="3F550735">
      <w:pPr>
        <w:pStyle w:val="2"/>
      </w:pPr>
      <w:r>
        <w:rPr>
          <w:rFonts w:hint="default" w:ascii="Times New Roman" w:hAnsi="Times New Roman" w:eastAsia="仿宋_GB2312" w:cs="Times New Roman"/>
          <w:sz w:val="22"/>
          <w:szCs w:val="22"/>
          <w:highlight w:val="none"/>
        </w:rPr>
        <w:t xml:space="preserve">填表人：       </w:t>
      </w:r>
      <w:r>
        <w:rPr>
          <w:rFonts w:hint="eastAsia" w:ascii="Times New Roman" w:hAnsi="Times New Roman" w:eastAsia="仿宋_GB2312" w:cs="Times New Roman"/>
          <w:sz w:val="22"/>
          <w:szCs w:val="22"/>
          <w:highlight w:val="none"/>
          <w:lang w:val="en-US" w:eastAsia="zh-CN"/>
        </w:rPr>
        <w:t xml:space="preserve"> </w:t>
      </w:r>
      <w:r>
        <w:rPr>
          <w:rFonts w:hint="default" w:ascii="Times New Roman" w:hAnsi="Times New Roman" w:eastAsia="仿宋_GB2312" w:cs="Times New Roman"/>
          <w:sz w:val="22"/>
          <w:szCs w:val="22"/>
          <w:highlight w:val="none"/>
        </w:rPr>
        <w:t xml:space="preserve">填报日期：     </w:t>
      </w:r>
      <w:r>
        <w:rPr>
          <w:rFonts w:hint="eastAsia" w:ascii="Times New Roman" w:hAnsi="Times New Roman" w:eastAsia="仿宋_GB2312" w:cs="Times New Roman"/>
          <w:sz w:val="22"/>
          <w:szCs w:val="22"/>
          <w:highlight w:val="none"/>
          <w:lang w:val="en-US" w:eastAsia="zh-CN"/>
        </w:rPr>
        <w:t xml:space="preserve">      </w:t>
      </w:r>
      <w:r>
        <w:rPr>
          <w:rFonts w:hint="default" w:ascii="Times New Roman" w:hAnsi="Times New Roman" w:eastAsia="仿宋_GB2312" w:cs="Times New Roman"/>
          <w:sz w:val="22"/>
          <w:szCs w:val="22"/>
          <w:highlight w:val="none"/>
        </w:rPr>
        <w:t xml:space="preserve">联系电话：   </w:t>
      </w:r>
      <w:r>
        <w:rPr>
          <w:rFonts w:hint="eastAsia" w:ascii="Times New Roman" w:hAnsi="Times New Roman" w:eastAsia="仿宋_GB2312" w:cs="Times New Roman"/>
          <w:sz w:val="22"/>
          <w:szCs w:val="22"/>
          <w:highlight w:val="none"/>
          <w:lang w:val="en-US" w:eastAsia="zh-CN"/>
        </w:rPr>
        <w:t xml:space="preserve">         </w:t>
      </w:r>
      <w:r>
        <w:rPr>
          <w:rFonts w:hint="default" w:ascii="Times New Roman" w:hAnsi="Times New Roman" w:eastAsia="仿宋_GB2312" w:cs="Times New Roman"/>
          <w:sz w:val="22"/>
          <w:szCs w:val="22"/>
          <w:highlight w:val="none"/>
        </w:rPr>
        <w:t xml:space="preserve"> 单位负责人签字：</w:t>
      </w:r>
    </w:p>
    <w:sectPr>
      <w:pgSz w:w="11906" w:h="16838"/>
      <w:pgMar w:top="720" w:right="720" w:bottom="720" w:left="720" w:header="851" w:footer="992" w:gutter="0"/>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Arial Unicode MS"/>
    <w:panose1 w:val="02000000000000000000"/>
    <w:charset w:val="86"/>
    <w:family w:val="script"/>
    <w:pitch w:val="default"/>
    <w:sig w:usb0="00000000" w:usb1="0000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方正小标宋简体">
    <w:altName w:val="Arial Unicode MS"/>
    <w:panose1 w:val="02000000000000000000"/>
    <w:charset w:val="86"/>
    <w:family w:val="auto"/>
    <w:pitch w:val="default"/>
    <w:sig w:usb0="00000000" w:usb1="00000000" w:usb2="00000012" w:usb3="00000000" w:csb0="00040001" w:csb1="00000000"/>
  </w:font>
  <w:font w:name="东文宋体">
    <w:altName w:val="宋体"/>
    <w:panose1 w:val="00000000000000000000"/>
    <w:charset w:val="00"/>
    <w:family w:val="auto"/>
    <w:pitch w:val="default"/>
    <w:sig w:usb0="00000000" w:usb1="00000000" w:usb2="00000000"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EDECFD4"/>
    <w:multiLevelType w:val="singleLevel"/>
    <w:tmpl w:val="8EDECFD4"/>
    <w:lvl w:ilvl="0" w:tentative="0">
      <w:start w:val="3"/>
      <w:numFmt w:val="chineseCounting"/>
      <w:suff w:val="nothing"/>
      <w:lvlText w:val="（%1）"/>
      <w:lvlJc w:val="left"/>
      <w:rPr>
        <w:rFonts w:hint="eastAsia"/>
      </w:rPr>
    </w:lvl>
  </w:abstractNum>
  <w:abstractNum w:abstractNumId="1">
    <w:nsid w:val="FCBFEBC6"/>
    <w:multiLevelType w:val="singleLevel"/>
    <w:tmpl w:val="FCBFEBC6"/>
    <w:lvl w:ilvl="0" w:tentative="0">
      <w:start w:val="1"/>
      <w:numFmt w:val="chineseCounting"/>
      <w:suff w:val="nothing"/>
      <w:lvlText w:val="（%1）"/>
      <w:lvlJc w:val="left"/>
      <w:rPr>
        <w:rFonts w:hint="eastAsia"/>
      </w:rPr>
    </w:lvl>
  </w:abstractNum>
  <w:abstractNum w:abstractNumId="2">
    <w:nsid w:val="FDE2971B"/>
    <w:multiLevelType w:val="singleLevel"/>
    <w:tmpl w:val="FDE2971B"/>
    <w:lvl w:ilvl="0" w:tentative="0">
      <w:start w:val="1"/>
      <w:numFmt w:val="chineseCounting"/>
      <w:suff w:val="nothing"/>
      <w:lvlText w:val="（%1）"/>
      <w:lvlJc w:val="left"/>
      <w:rPr>
        <w:rFonts w:hint="eastAsia"/>
      </w:rPr>
    </w:lvl>
  </w:abstractNum>
  <w:abstractNum w:abstractNumId="3">
    <w:nsid w:val="FFFFF020"/>
    <w:multiLevelType w:val="singleLevel"/>
    <w:tmpl w:val="FFFFF020"/>
    <w:lvl w:ilvl="0" w:tentative="0">
      <w:start w:val="1"/>
      <w:numFmt w:val="chineseCounting"/>
      <w:suff w:val="nothing"/>
      <w:lvlText w:val="%1、"/>
      <w:lvlJc w:val="left"/>
      <w:rPr>
        <w:rFonts w:hint="eastAsia"/>
      </w:rPr>
    </w:lvl>
  </w:abstractNum>
  <w:abstractNum w:abstractNumId="4">
    <w:nsid w:val="373518C1"/>
    <w:multiLevelType w:val="multilevel"/>
    <w:tmpl w:val="373518C1"/>
    <w:lvl w:ilvl="0" w:tentative="0">
      <w:start w:val="1"/>
      <w:numFmt w:val="none"/>
      <w:lvlText w:val="一、"/>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616B9EA8"/>
    <w:multiLevelType w:val="singleLevel"/>
    <w:tmpl w:val="616B9EA8"/>
    <w:lvl w:ilvl="0" w:tentative="0">
      <w:start w:val="4"/>
      <w:numFmt w:val="chineseCounting"/>
      <w:suff w:val="nothing"/>
      <w:lvlText w:val="%1、"/>
      <w:lvlJc w:val="left"/>
      <w:rPr>
        <w:rFonts w:hint="eastAsia"/>
      </w:rPr>
    </w:lvl>
  </w:abstractNum>
  <w:num w:numId="1">
    <w:abstractNumId w:val="4"/>
  </w:num>
  <w:num w:numId="2">
    <w:abstractNumId w:val="0"/>
  </w:num>
  <w:num w:numId="3">
    <w:abstractNumId w:val="3"/>
  </w:num>
  <w:num w:numId="4">
    <w:abstractNumId w:val="5"/>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06F9"/>
    <w:rsid w:val="0002229B"/>
    <w:rsid w:val="000273BD"/>
    <w:rsid w:val="00040CBC"/>
    <w:rsid w:val="000415B7"/>
    <w:rsid w:val="00041E3F"/>
    <w:rsid w:val="00055DAA"/>
    <w:rsid w:val="00061F7B"/>
    <w:rsid w:val="000658A3"/>
    <w:rsid w:val="00074155"/>
    <w:rsid w:val="000A3F69"/>
    <w:rsid w:val="00103957"/>
    <w:rsid w:val="00152C6D"/>
    <w:rsid w:val="00162D39"/>
    <w:rsid w:val="001678BD"/>
    <w:rsid w:val="00182373"/>
    <w:rsid w:val="001A67DB"/>
    <w:rsid w:val="001C3C29"/>
    <w:rsid w:val="001D51E5"/>
    <w:rsid w:val="001E080D"/>
    <w:rsid w:val="001E53D0"/>
    <w:rsid w:val="001F0C3B"/>
    <w:rsid w:val="00202C82"/>
    <w:rsid w:val="00214427"/>
    <w:rsid w:val="00226CB7"/>
    <w:rsid w:val="00264552"/>
    <w:rsid w:val="00264EF9"/>
    <w:rsid w:val="00265724"/>
    <w:rsid w:val="0027426B"/>
    <w:rsid w:val="002E0A30"/>
    <w:rsid w:val="003130C4"/>
    <w:rsid w:val="00316C4B"/>
    <w:rsid w:val="0032192B"/>
    <w:rsid w:val="003479BD"/>
    <w:rsid w:val="0037197D"/>
    <w:rsid w:val="003768D5"/>
    <w:rsid w:val="003926B9"/>
    <w:rsid w:val="003C47E6"/>
    <w:rsid w:val="003C4FC2"/>
    <w:rsid w:val="00416E61"/>
    <w:rsid w:val="0042790C"/>
    <w:rsid w:val="004506F9"/>
    <w:rsid w:val="004717A2"/>
    <w:rsid w:val="00473DF3"/>
    <w:rsid w:val="00487911"/>
    <w:rsid w:val="00491741"/>
    <w:rsid w:val="004B0CEE"/>
    <w:rsid w:val="00500E5F"/>
    <w:rsid w:val="005122EF"/>
    <w:rsid w:val="0051441A"/>
    <w:rsid w:val="00517C33"/>
    <w:rsid w:val="00517D5F"/>
    <w:rsid w:val="00523644"/>
    <w:rsid w:val="0054069E"/>
    <w:rsid w:val="00544866"/>
    <w:rsid w:val="005767CC"/>
    <w:rsid w:val="00590D9F"/>
    <w:rsid w:val="00595D26"/>
    <w:rsid w:val="005A74E6"/>
    <w:rsid w:val="005B404E"/>
    <w:rsid w:val="005D4D55"/>
    <w:rsid w:val="005E2CFB"/>
    <w:rsid w:val="005F2103"/>
    <w:rsid w:val="005F3D1C"/>
    <w:rsid w:val="0062378F"/>
    <w:rsid w:val="00641842"/>
    <w:rsid w:val="00651EEC"/>
    <w:rsid w:val="00686673"/>
    <w:rsid w:val="00691E8C"/>
    <w:rsid w:val="006A22C4"/>
    <w:rsid w:val="006A351B"/>
    <w:rsid w:val="006B0422"/>
    <w:rsid w:val="006C1B53"/>
    <w:rsid w:val="006D7730"/>
    <w:rsid w:val="006E5284"/>
    <w:rsid w:val="006F3EB5"/>
    <w:rsid w:val="00702E34"/>
    <w:rsid w:val="00704395"/>
    <w:rsid w:val="00710FE7"/>
    <w:rsid w:val="00717621"/>
    <w:rsid w:val="00720FF1"/>
    <w:rsid w:val="00727A53"/>
    <w:rsid w:val="00787B42"/>
    <w:rsid w:val="007C4539"/>
    <w:rsid w:val="007F3657"/>
    <w:rsid w:val="00812ED5"/>
    <w:rsid w:val="008277D9"/>
    <w:rsid w:val="0084478C"/>
    <w:rsid w:val="0086638C"/>
    <w:rsid w:val="008A3E8D"/>
    <w:rsid w:val="009237C4"/>
    <w:rsid w:val="00944C48"/>
    <w:rsid w:val="00950252"/>
    <w:rsid w:val="00967F5D"/>
    <w:rsid w:val="009A0F95"/>
    <w:rsid w:val="009B3ADF"/>
    <w:rsid w:val="009B4D8E"/>
    <w:rsid w:val="009C3B52"/>
    <w:rsid w:val="009E6817"/>
    <w:rsid w:val="009E6E9A"/>
    <w:rsid w:val="00A01D2B"/>
    <w:rsid w:val="00A42218"/>
    <w:rsid w:val="00A70249"/>
    <w:rsid w:val="00A70B02"/>
    <w:rsid w:val="00A71D9F"/>
    <w:rsid w:val="00A92E9F"/>
    <w:rsid w:val="00AB18FF"/>
    <w:rsid w:val="00B33BEA"/>
    <w:rsid w:val="00B57C9F"/>
    <w:rsid w:val="00B63572"/>
    <w:rsid w:val="00B845B3"/>
    <w:rsid w:val="00B85D8B"/>
    <w:rsid w:val="00BB4A40"/>
    <w:rsid w:val="00BD6C3E"/>
    <w:rsid w:val="00BE3674"/>
    <w:rsid w:val="00C10681"/>
    <w:rsid w:val="00C3049A"/>
    <w:rsid w:val="00C31B1E"/>
    <w:rsid w:val="00C77645"/>
    <w:rsid w:val="00CE04C3"/>
    <w:rsid w:val="00CE76A0"/>
    <w:rsid w:val="00D148C6"/>
    <w:rsid w:val="00D17A8A"/>
    <w:rsid w:val="00D415BA"/>
    <w:rsid w:val="00D63780"/>
    <w:rsid w:val="00D644EE"/>
    <w:rsid w:val="00DD06FF"/>
    <w:rsid w:val="00DD5FE9"/>
    <w:rsid w:val="00E00C7A"/>
    <w:rsid w:val="00E37D6C"/>
    <w:rsid w:val="00E55B68"/>
    <w:rsid w:val="00E561AE"/>
    <w:rsid w:val="00E67BE6"/>
    <w:rsid w:val="00E8683C"/>
    <w:rsid w:val="00EA2B72"/>
    <w:rsid w:val="00F74360"/>
    <w:rsid w:val="00FB462F"/>
    <w:rsid w:val="00FE16FA"/>
    <w:rsid w:val="00FE328A"/>
    <w:rsid w:val="00FE6269"/>
    <w:rsid w:val="00FF5CD6"/>
    <w:rsid w:val="059958AD"/>
    <w:rsid w:val="06C857E7"/>
    <w:rsid w:val="080D10A4"/>
    <w:rsid w:val="08C24A73"/>
    <w:rsid w:val="09320C74"/>
    <w:rsid w:val="11944E2C"/>
    <w:rsid w:val="12583BA5"/>
    <w:rsid w:val="13BA5B9C"/>
    <w:rsid w:val="176F167E"/>
    <w:rsid w:val="1A7B3090"/>
    <w:rsid w:val="1BFF961A"/>
    <w:rsid w:val="1D97DEFF"/>
    <w:rsid w:val="1DFF72E5"/>
    <w:rsid w:val="1EFC6F07"/>
    <w:rsid w:val="1F0527A6"/>
    <w:rsid w:val="22AC03C2"/>
    <w:rsid w:val="283B15FE"/>
    <w:rsid w:val="2FDF85B8"/>
    <w:rsid w:val="2FFF496F"/>
    <w:rsid w:val="2FFFEE04"/>
    <w:rsid w:val="31C95635"/>
    <w:rsid w:val="34DF85B0"/>
    <w:rsid w:val="375E76EF"/>
    <w:rsid w:val="3B8F36BC"/>
    <w:rsid w:val="3D5FE7A0"/>
    <w:rsid w:val="3EDF34C3"/>
    <w:rsid w:val="3EED2E27"/>
    <w:rsid w:val="41420297"/>
    <w:rsid w:val="43EB5BA5"/>
    <w:rsid w:val="43F74515"/>
    <w:rsid w:val="491FF225"/>
    <w:rsid w:val="4EC310A1"/>
    <w:rsid w:val="4FFD214C"/>
    <w:rsid w:val="5352765A"/>
    <w:rsid w:val="5777D4F5"/>
    <w:rsid w:val="57F22B6F"/>
    <w:rsid w:val="57F7E848"/>
    <w:rsid w:val="59DD8326"/>
    <w:rsid w:val="5DEF592A"/>
    <w:rsid w:val="5DFF7D2A"/>
    <w:rsid w:val="5F5C49F7"/>
    <w:rsid w:val="5F93E372"/>
    <w:rsid w:val="5FB679C1"/>
    <w:rsid w:val="5FBF53B8"/>
    <w:rsid w:val="5FC6BB1E"/>
    <w:rsid w:val="5FF720F1"/>
    <w:rsid w:val="622964C1"/>
    <w:rsid w:val="6636565D"/>
    <w:rsid w:val="6673C611"/>
    <w:rsid w:val="67F7BFBA"/>
    <w:rsid w:val="67FF5C0B"/>
    <w:rsid w:val="680405B9"/>
    <w:rsid w:val="68C76E73"/>
    <w:rsid w:val="6B7B4553"/>
    <w:rsid w:val="6BAA4A2F"/>
    <w:rsid w:val="6BBC7240"/>
    <w:rsid w:val="6DDEC5C0"/>
    <w:rsid w:val="6EFC0924"/>
    <w:rsid w:val="6F57EF21"/>
    <w:rsid w:val="6FAAB8C7"/>
    <w:rsid w:val="6FB74722"/>
    <w:rsid w:val="6FEF8B7E"/>
    <w:rsid w:val="6FF4DD43"/>
    <w:rsid w:val="717FE77F"/>
    <w:rsid w:val="71A6591B"/>
    <w:rsid w:val="71FE63F8"/>
    <w:rsid w:val="737D59BA"/>
    <w:rsid w:val="737F32B1"/>
    <w:rsid w:val="73BD3FCA"/>
    <w:rsid w:val="776BDA01"/>
    <w:rsid w:val="77C37683"/>
    <w:rsid w:val="79FF515B"/>
    <w:rsid w:val="7AB3A5AC"/>
    <w:rsid w:val="7B0D42EF"/>
    <w:rsid w:val="7CFF0F3C"/>
    <w:rsid w:val="7DEE9C9B"/>
    <w:rsid w:val="7DFBFF20"/>
    <w:rsid w:val="7E9E1962"/>
    <w:rsid w:val="7E9F11B4"/>
    <w:rsid w:val="7F37EC1E"/>
    <w:rsid w:val="7F3FD411"/>
    <w:rsid w:val="7F6F417F"/>
    <w:rsid w:val="7F7750F2"/>
    <w:rsid w:val="7F7C0DDA"/>
    <w:rsid w:val="7F7DCD9D"/>
    <w:rsid w:val="7F970A6F"/>
    <w:rsid w:val="7FC1FFF3"/>
    <w:rsid w:val="7FC69637"/>
    <w:rsid w:val="7FDF8620"/>
    <w:rsid w:val="7FE73CF4"/>
    <w:rsid w:val="7FFB242F"/>
    <w:rsid w:val="7FFDB408"/>
    <w:rsid w:val="7FFE4EEB"/>
    <w:rsid w:val="95FB2B98"/>
    <w:rsid w:val="9A639BC2"/>
    <w:rsid w:val="9FF7D786"/>
    <w:rsid w:val="ABBFB23D"/>
    <w:rsid w:val="B677ED7A"/>
    <w:rsid w:val="B6BE5A03"/>
    <w:rsid w:val="B8C93228"/>
    <w:rsid w:val="BBDBC163"/>
    <w:rsid w:val="BFBFF5D1"/>
    <w:rsid w:val="C3B4DA5A"/>
    <w:rsid w:val="C4FF458C"/>
    <w:rsid w:val="C7BBD038"/>
    <w:rsid w:val="CBFF70E0"/>
    <w:rsid w:val="CFF50B82"/>
    <w:rsid w:val="CFFFAD89"/>
    <w:rsid w:val="D76E6756"/>
    <w:rsid w:val="D7F39EC4"/>
    <w:rsid w:val="D8DA2C31"/>
    <w:rsid w:val="DB6F282C"/>
    <w:rsid w:val="DB7F9F0B"/>
    <w:rsid w:val="DFFD2AED"/>
    <w:rsid w:val="DFFE359E"/>
    <w:rsid w:val="DFFE4FFD"/>
    <w:rsid w:val="DFFF5403"/>
    <w:rsid w:val="E2370D6B"/>
    <w:rsid w:val="E7FF699E"/>
    <w:rsid w:val="E7FFCA34"/>
    <w:rsid w:val="EBC3E00A"/>
    <w:rsid w:val="EDBFF51F"/>
    <w:rsid w:val="EDFBE100"/>
    <w:rsid w:val="EEABED75"/>
    <w:rsid w:val="EF7E8003"/>
    <w:rsid w:val="F39A8C72"/>
    <w:rsid w:val="F56FDF51"/>
    <w:rsid w:val="F5D58C55"/>
    <w:rsid w:val="F5F3EE78"/>
    <w:rsid w:val="F6B69F17"/>
    <w:rsid w:val="F6E5BB3A"/>
    <w:rsid w:val="F77F1D61"/>
    <w:rsid w:val="F7FED3A9"/>
    <w:rsid w:val="F8C9DB26"/>
    <w:rsid w:val="F97E8EAE"/>
    <w:rsid w:val="FABEB0F0"/>
    <w:rsid w:val="FB36E1A6"/>
    <w:rsid w:val="FB3BE134"/>
    <w:rsid w:val="FBB52F57"/>
    <w:rsid w:val="FCFF4275"/>
    <w:rsid w:val="FD7FEEEA"/>
    <w:rsid w:val="FDBD7207"/>
    <w:rsid w:val="FDFFB577"/>
    <w:rsid w:val="FEE9E619"/>
    <w:rsid w:val="FEEA50FE"/>
    <w:rsid w:val="FF6E91FF"/>
    <w:rsid w:val="FF7D47A9"/>
    <w:rsid w:val="FF9EEDDC"/>
    <w:rsid w:val="FFCF21CB"/>
    <w:rsid w:val="FFDF1E0E"/>
    <w:rsid w:val="FFF94102"/>
    <w:rsid w:val="FFFF1C8B"/>
    <w:rsid w:val="FFFF743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0" w:semiHidden="0" w:name="Normal Indent"/>
    <w:lsdException w:qFormat="1" w:unhideWhenUsed="0" w:uiPriority="0"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iPriority="99"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Normal Indent"/>
    <w:basedOn w:val="1"/>
    <w:unhideWhenUsed/>
    <w:qFormat/>
    <w:uiPriority w:val="0"/>
    <w:pPr>
      <w:ind w:firstLine="420" w:firstLineChars="200"/>
    </w:pPr>
    <w:rPr>
      <w:rFonts w:hint="default"/>
      <w:sz w:val="21"/>
      <w:szCs w:val="24"/>
    </w:rPr>
  </w:style>
  <w:style w:type="paragraph" w:styleId="3">
    <w:name w:val="Body Text Indent"/>
    <w:basedOn w:val="1"/>
    <w:next w:val="4"/>
    <w:unhideWhenUsed/>
    <w:qFormat/>
    <w:uiPriority w:val="99"/>
    <w:pPr>
      <w:widowControl/>
      <w:spacing w:after="120"/>
      <w:ind w:left="420" w:leftChars="200"/>
      <w:jc w:val="left"/>
    </w:pPr>
    <w:rPr>
      <w:rFonts w:ascii="宋体" w:hAnsi="宋体" w:eastAsia="宋体" w:cs="宋体"/>
      <w:kern w:val="0"/>
      <w:sz w:val="24"/>
    </w:rPr>
  </w:style>
  <w:style w:type="paragraph" w:styleId="4">
    <w:name w:val="Body Text First Indent 2"/>
    <w:basedOn w:val="3"/>
    <w:next w:val="1"/>
    <w:unhideWhenUsed/>
    <w:qFormat/>
    <w:uiPriority w:val="99"/>
    <w:pPr>
      <w:ind w:firstLine="420" w:firstLineChars="200"/>
    </w:pPr>
  </w:style>
  <w:style w:type="paragraph" w:styleId="5">
    <w:name w:val="Balloon Text"/>
    <w:basedOn w:val="1"/>
    <w:link w:val="15"/>
    <w:semiHidden/>
    <w:unhideWhenUsed/>
    <w:qFormat/>
    <w:uiPriority w:val="99"/>
    <w:rPr>
      <w:sz w:val="18"/>
      <w:szCs w:val="18"/>
    </w:rPr>
  </w:style>
  <w:style w:type="paragraph" w:styleId="6">
    <w:name w:val="footer"/>
    <w:basedOn w:val="1"/>
    <w:link w:val="12"/>
    <w:unhideWhenUsed/>
    <w:qFormat/>
    <w:uiPriority w:val="99"/>
    <w:pPr>
      <w:tabs>
        <w:tab w:val="center" w:pos="4153"/>
        <w:tab w:val="right" w:pos="8306"/>
      </w:tabs>
      <w:snapToGrid w:val="0"/>
      <w:jc w:val="left"/>
    </w:pPr>
    <w:rPr>
      <w:sz w:val="18"/>
      <w:szCs w:val="18"/>
    </w:rPr>
  </w:style>
  <w:style w:type="paragraph" w:styleId="7">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footnote text"/>
    <w:basedOn w:val="1"/>
    <w:next w:val="4"/>
    <w:semiHidden/>
    <w:qFormat/>
    <w:uiPriority w:val="0"/>
    <w:pPr>
      <w:snapToGrid w:val="0"/>
      <w:jc w:val="left"/>
    </w:pPr>
    <w:rPr>
      <w:sz w:val="18"/>
      <w:szCs w:val="18"/>
    </w:rPr>
  </w:style>
  <w:style w:type="character" w:customStyle="1" w:styleId="11">
    <w:name w:val="页眉 Char"/>
    <w:basedOn w:val="10"/>
    <w:link w:val="7"/>
    <w:qFormat/>
    <w:uiPriority w:val="99"/>
    <w:rPr>
      <w:sz w:val="18"/>
      <w:szCs w:val="18"/>
    </w:rPr>
  </w:style>
  <w:style w:type="character" w:customStyle="1" w:styleId="12">
    <w:name w:val="页脚 Char"/>
    <w:basedOn w:val="10"/>
    <w:link w:val="6"/>
    <w:qFormat/>
    <w:uiPriority w:val="99"/>
    <w:rPr>
      <w:sz w:val="18"/>
      <w:szCs w:val="18"/>
    </w:rPr>
  </w:style>
  <w:style w:type="paragraph" w:customStyle="1" w:styleId="13">
    <w:name w:val="Default"/>
    <w:qFormat/>
    <w:uiPriority w:val="0"/>
    <w:pPr>
      <w:widowControl w:val="0"/>
      <w:autoSpaceDE w:val="0"/>
      <w:autoSpaceDN w:val="0"/>
      <w:adjustRightInd w:val="0"/>
    </w:pPr>
    <w:rPr>
      <w:rFonts w:ascii="黑体" w:eastAsia="黑体" w:cs="黑体" w:hAnsiTheme="minorHAnsi"/>
      <w:color w:val="000000"/>
      <w:kern w:val="0"/>
      <w:sz w:val="24"/>
      <w:szCs w:val="24"/>
      <w:lang w:val="en-US" w:eastAsia="zh-CN" w:bidi="ar-SA"/>
    </w:rPr>
  </w:style>
  <w:style w:type="paragraph" w:styleId="14">
    <w:name w:val="List Paragraph"/>
    <w:basedOn w:val="1"/>
    <w:qFormat/>
    <w:uiPriority w:val="34"/>
    <w:pPr>
      <w:ind w:firstLine="420" w:firstLineChars="200"/>
    </w:pPr>
  </w:style>
  <w:style w:type="character" w:customStyle="1" w:styleId="15">
    <w:name w:val="批注框文本 Char"/>
    <w:basedOn w:val="10"/>
    <w:link w:val="5"/>
    <w:semiHidden/>
    <w:qFormat/>
    <w:uiPriority w:val="99"/>
    <w:rPr>
      <w:sz w:val="18"/>
      <w:szCs w:val="18"/>
    </w:rPr>
  </w:style>
  <w:style w:type="character" w:customStyle="1" w:styleId="16">
    <w:name w:val="font01"/>
    <w:basedOn w:val="10"/>
    <w:qFormat/>
    <w:uiPriority w:val="0"/>
    <w:rPr>
      <w:rFonts w:hint="eastAsia" w:ascii="宋体" w:hAnsi="宋体" w:eastAsia="宋体" w:cs="宋体"/>
      <w:color w:val="000000"/>
      <w:sz w:val="22"/>
      <w:szCs w:val="22"/>
      <w:u w:val="none"/>
    </w:rPr>
  </w:style>
  <w:style w:type="character" w:customStyle="1" w:styleId="17">
    <w:name w:val="font21"/>
    <w:basedOn w:val="10"/>
    <w:qFormat/>
    <w:uiPriority w:val="0"/>
    <w:rPr>
      <w:rFonts w:hint="eastAsia" w:ascii="宋体" w:hAnsi="宋体" w:eastAsia="宋体" w:cs="宋体"/>
      <w:color w:val="000000"/>
      <w:sz w:val="24"/>
      <w:szCs w:val="24"/>
      <w:u w:val="none"/>
    </w:rPr>
  </w:style>
  <w:style w:type="character" w:customStyle="1" w:styleId="18">
    <w:name w:val="font11"/>
    <w:basedOn w:val="10"/>
    <w:qFormat/>
    <w:uiPriority w:val="0"/>
    <w:rPr>
      <w:rFonts w:hint="eastAsia" w:ascii="宋体" w:hAnsi="宋体" w:eastAsia="宋体" w:cs="宋体"/>
      <w:color w:val="000000"/>
      <w:sz w:val="24"/>
      <w:szCs w:val="24"/>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39</Pages>
  <Words>17467</Words>
  <Characters>18403</Characters>
  <Lines>63</Lines>
  <Paragraphs>18</Paragraphs>
  <TotalTime>67</TotalTime>
  <ScaleCrop>false</ScaleCrop>
  <LinksUpToDate>false</LinksUpToDate>
  <CharactersWithSpaces>20192</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2020-07-13T02:32:00Z</dcterms:created>
  <dc:creator>李航 null</dc:creator>
  <cp:lastModifiedBy>得失荣枯</cp:lastModifiedBy>
  <cp:lastPrinted>2025-09-22T07:13:00Z</cp:lastPrinted>
  <dcterms:modified xsi:type="dcterms:W3CDTF">2025-09-22T07:39:05Z</dcterms:modified>
  <cp:revision>67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E4BC25C078144C82A3740A249E5870EE_13</vt:lpwstr>
  </property>
  <property fmtid="{D5CDD505-2E9C-101B-9397-08002B2CF9AE}" pid="4" name="KSOTemplateDocerSaveRecord">
    <vt:lpwstr>eyJoZGlkIjoiNDllNjg1N2ZkNWIxNDgwMWIyN2M4YjE0YzI0OTVmZjUiLCJ1c2VySWQiOiIzNDA4MzEyMDAifQ==</vt:lpwstr>
  </property>
</Properties>
</file>