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84"/>
          <w:szCs w:val="84"/>
        </w:rPr>
      </w:pPr>
    </w:p>
    <w:p>
      <w:pPr>
        <w:pStyle w:val="17"/>
        <w:jc w:val="center"/>
        <w:rPr>
          <w:sz w:val="84"/>
          <w:szCs w:val="84"/>
        </w:rPr>
      </w:pPr>
    </w:p>
    <w:p>
      <w:pPr>
        <w:pStyle w:val="17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  <w:t>岳阳市城市照明管理中心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7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56"/>
          <w:szCs w:val="56"/>
        </w:rPr>
      </w:pPr>
    </w:p>
    <w:p>
      <w:pPr>
        <w:pStyle w:val="17"/>
        <w:jc w:val="center"/>
        <w:rPr>
          <w:sz w:val="32"/>
          <w:szCs w:val="32"/>
        </w:rPr>
      </w:pPr>
    </w:p>
    <w:p>
      <w:pPr>
        <w:pStyle w:val="17"/>
        <w:jc w:val="center"/>
        <w:rPr>
          <w:sz w:val="32"/>
          <w:szCs w:val="32"/>
        </w:rPr>
      </w:pPr>
    </w:p>
    <w:p>
      <w:pPr>
        <w:pStyle w:val="17"/>
        <w:jc w:val="center"/>
        <w:rPr>
          <w:sz w:val="32"/>
          <w:szCs w:val="32"/>
        </w:rPr>
      </w:pPr>
    </w:p>
    <w:p>
      <w:pPr>
        <w:pStyle w:val="17"/>
        <w:jc w:val="center"/>
        <w:rPr>
          <w:sz w:val="32"/>
          <w:szCs w:val="32"/>
        </w:rPr>
      </w:pPr>
    </w:p>
    <w:p>
      <w:pPr>
        <w:pStyle w:val="17"/>
        <w:jc w:val="center"/>
        <w:rPr>
          <w:sz w:val="32"/>
          <w:szCs w:val="32"/>
        </w:rPr>
      </w:pPr>
    </w:p>
    <w:p>
      <w:pPr>
        <w:pStyle w:val="17"/>
        <w:spacing w:line="540" w:lineRule="exact"/>
        <w:jc w:val="center"/>
        <w:rPr>
          <w:sz w:val="56"/>
          <w:szCs w:val="56"/>
        </w:rPr>
      </w:pPr>
    </w:p>
    <w:p>
      <w:pPr>
        <w:pStyle w:val="17"/>
        <w:spacing w:line="500" w:lineRule="exact"/>
        <w:jc w:val="both"/>
        <w:rPr>
          <w:b/>
          <w:sz w:val="36"/>
          <w:szCs w:val="28"/>
        </w:rPr>
      </w:pPr>
    </w:p>
    <w:p>
      <w:pPr>
        <w:pStyle w:val="17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CESI黑体-GB2312" w:hAnsi="CESI黑体-GB2312" w:eastAsia="CESI黑体-GB2312" w:cs="CESI黑体-GB2312"/>
          <w:sz w:val="28"/>
          <w:szCs w:val="28"/>
        </w:rPr>
        <w:t>岳阳市城市照明管理中心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单位概况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及决算单位构成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第一部分 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岳阳市城市照明管理中心单位概况</w:t>
      </w:r>
    </w:p>
    <w:p>
      <w:pPr>
        <w:pStyle w:val="6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18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numPr>
          <w:ilvl w:val="0"/>
          <w:numId w:val="2"/>
        </w:numPr>
        <w:ind w:left="638" w:leftChars="304" w:firstLine="0" w:firstLineChars="0"/>
        <w:jc w:val="left"/>
        <w:rPr>
          <w:rFonts w:hint="eastAsia" w:ascii="CESI仿宋-GB2312" w:hAnsi="CESI仿宋-GB2312" w:eastAsia="CESI仿宋-GB2312" w:cs="CESI仿宋-GB2312"/>
          <w:sz w:val="32"/>
        </w:rPr>
      </w:pPr>
      <w:r>
        <w:rPr>
          <w:rFonts w:hint="eastAsia" w:ascii="CESI仿宋-GB2312" w:hAnsi="CESI仿宋-GB2312" w:eastAsia="CESI仿宋-GB2312" w:cs="CESI仿宋-GB2312"/>
          <w:sz w:val="32"/>
        </w:rPr>
        <w:t>承担城市道路照明及景观亮化设施设备的日常维护管理工作；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（二）</w:t>
      </w:r>
      <w:r>
        <w:rPr>
          <w:rFonts w:hint="eastAsia" w:ascii="CESI仿宋-GB2312" w:hAnsi="CESI仿宋-GB2312" w:eastAsia="CESI仿宋-GB2312" w:cs="CESI仿宋-GB2312"/>
          <w:sz w:val="32"/>
        </w:rPr>
        <w:t>承担城市道路照明及景观亮化工程的建设工作；</w:t>
      </w:r>
    </w:p>
    <w:p>
      <w:pPr>
        <w:numPr>
          <w:ilvl w:val="0"/>
          <w:numId w:val="0"/>
        </w:numPr>
        <w:ind w:leftChars="304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lang w:eastAsia="zh-CN"/>
        </w:rPr>
        <w:t>（三）</w:t>
      </w:r>
      <w:r>
        <w:rPr>
          <w:rFonts w:hint="eastAsia" w:ascii="CESI仿宋-GB2312" w:hAnsi="CESI仿宋-GB2312" w:eastAsia="CESI仿宋-GB2312" w:cs="CESI仿宋-GB2312"/>
          <w:sz w:val="32"/>
        </w:rPr>
        <w:t>承担社会产权单位（个人）景观亮化建设工程的技术服务工作。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CESI仿宋-GB2312" w:hAnsi="CESI仿宋-GB2312" w:eastAsia="CESI仿宋-GB2312" w:cs="CESI仿宋-GB2312"/>
          <w:bCs/>
          <w:kern w:val="0"/>
          <w:sz w:val="32"/>
          <w:szCs w:val="32"/>
          <w:lang w:eastAsia="zh-CN"/>
        </w:rPr>
        <w:t>岳阳市城市照明管理中心</w:t>
      </w:r>
      <w:r>
        <w:rPr>
          <w:rFonts w:hint="eastAsia" w:ascii="CESI仿宋-GB2312" w:hAnsi="CESI仿宋-GB2312" w:eastAsia="CESI仿宋-GB2312" w:cs="CESI仿宋-GB2312"/>
          <w:bCs/>
          <w:kern w:val="0"/>
          <w:sz w:val="32"/>
          <w:szCs w:val="32"/>
        </w:rPr>
        <w:t>内设机构包括：</w:t>
      </w:r>
      <w:r>
        <w:rPr>
          <w:rFonts w:hint="eastAsia" w:ascii="CESI仿宋-GB2312" w:hAnsi="CESI仿宋-GB2312" w:eastAsia="CESI仿宋-GB2312" w:cs="CESI仿宋-GB2312"/>
          <w:sz w:val="32"/>
        </w:rPr>
        <w:t>综合部、财务内审部、生产管理部、亮化管理部、技术服务部、信息考评部</w:t>
      </w:r>
      <w:r>
        <w:rPr>
          <w:rFonts w:hint="eastAsia" w:ascii="CESI仿宋-GB2312" w:hAnsi="CESI仿宋-GB2312" w:eastAsia="CESI仿宋-GB2312" w:cs="CESI仿宋-GB2312"/>
          <w:sz w:val="32"/>
          <w:lang w:eastAsia="zh-CN"/>
        </w:rPr>
        <w:t>六个职能部室。</w:t>
      </w:r>
    </w:p>
    <w:p>
      <w:pPr>
        <w:ind w:firstLine="640" w:firstLineChars="200"/>
        <w:jc w:val="left"/>
        <w:rPr>
          <w:rFonts w:ascii="仿宋_GB2312" w:eastAsia="仿宋_GB2312" w:hAnsiTheme="minorEastAsia"/>
          <w:sz w:val="28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eastAsia="zh-CN"/>
        </w:rPr>
        <w:t>本单位无独立核算的下属单位，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2023年度部门决算汇总公开单位仅包括</w:t>
      </w:r>
      <w:r>
        <w:rPr>
          <w:rFonts w:hint="eastAsia" w:ascii="CESI仿宋-GB2312" w:hAnsi="CESI仿宋-GB2312" w:eastAsia="CESI仿宋-GB2312" w:cs="CESI仿宋-GB2312"/>
          <w:bCs/>
          <w:color w:val="auto"/>
          <w:kern w:val="0"/>
          <w:sz w:val="32"/>
          <w:szCs w:val="32"/>
          <w:lang w:eastAsia="zh-CN"/>
        </w:rPr>
        <w:t>岳阳市城市照明管理中心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本级</w:t>
      </w:r>
      <w:r>
        <w:rPr>
          <w:rFonts w:hint="eastAsia" w:ascii="CESI仿宋-GB2312" w:hAnsi="CESI仿宋-GB2312" w:eastAsia="CESI仿宋-GB2312" w:cs="CESI仿宋-GB2312"/>
          <w:i/>
          <w:iCs/>
          <w:color w:val="auto"/>
          <w:sz w:val="32"/>
          <w:szCs w:val="32"/>
          <w:highlight w:val="white"/>
        </w:rPr>
        <w:t>。</w:t>
      </w:r>
    </w:p>
    <w:p>
      <w:pPr>
        <w:pStyle w:val="17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7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第二部分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部门决算表</w:t>
      </w:r>
    </w:p>
    <w:p>
      <w:pPr>
        <w:pStyle w:val="17"/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（见附件）</w:t>
      </w:r>
    </w:p>
    <w:p>
      <w:pPr>
        <w:pStyle w:val="17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7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第三部分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年度部门决算情况说明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宋体" w:hAnsi="宋体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6012.87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1201.16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24.96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主要是因为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本年负责维护的路灯和公用亮化设施数量有所增加，并增加了城区绿色照明改造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和部分路段路灯改造工程预算经费。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6012.87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5513.12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91.69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499.75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8.31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6012.87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1539.26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25.55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4473.61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74.45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5513.12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924.46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主要是因为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本年负责维护的路灯和公用亮化设施数量有所增加，并增加了城区绿色照明改造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和部分路段路灯改造工程预算经费。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5513.12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91.69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924.46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主要是因为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本年负责维护的路灯和公用亮化设施数量有所增加，并增加了城区绿色照明改造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和部分路段路灯改造工程预算经费。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5513.12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社会保障和就业（类）支出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%；住房保障（类）支出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sz w:val="32"/>
          <w:szCs w:val="32"/>
        </w:rPr>
        <w:t>%;城乡社区（类）支出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5385.97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97.70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3994.37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5513.12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138.02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（类）行政事业单位养老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（款）机关事业单位基本养老保险缴费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（类）其他社会保障和就业支出（款）其他社会保障和就业支出（项）。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抚恤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优抚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支出（项）。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年中追加去世退休人员抚恤金预算经费。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、住房保障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住房改革支出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（款）住房公积金（项）。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城乡社区规划与管理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 城乡社区规划与管理（项）。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黑体" w:hAnsi="黑体" w:eastAsia="仿宋_GB2312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3837.87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4277.74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111.46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年中财政下拨了代编全城临街楼宇亮化设施电费及维护预算经费。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其他城乡社区支出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 其他城乡社区支出（项）。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黑体" w:hAnsi="黑体" w:eastAsia="仿宋_GB2312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353.03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年中财政下拨了代编全城临街楼宇亮化设施电费及维护预算经费。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城乡社区管理事务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（款）其他城乡社区管理事务支出（项）。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995.26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年中财政增拨了城区绿色照明改造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和部分路段路灯改造预算经费。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1039.51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931.96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89.65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绩效工资、机关事业单位基本养老保险缴费、职工基本医疗保险缴费、其他社会保障缴费、住房公积金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对个人和家庭的补助、退休费、抚恤金、医疗费补助、奖励金、其他对个人和家庭的补助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10.35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水费、邮电费、物业管理费、差旅费、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维修（护）费、公务接待费、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工会经费、福利费、公务用车运行维护费、其他交通费用、其他商品和服务支出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/>
          <w:color w:val="auto"/>
          <w:kern w:val="0"/>
          <w:sz w:val="32"/>
          <w:szCs w:val="32"/>
          <w:lang w:val="en-US" w:eastAsia="zh-CN" w:bidi="ar-SA"/>
        </w:rPr>
        <w:t>2023年度政府性基金预算财政拨款收入0万元；年初结转和结余0万元；支出0万元，其中基本支出0万元，项目支出0万元；年末结转和结余0万元。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kern w:val="0"/>
          <w:sz w:val="32"/>
          <w:szCs w:val="32"/>
          <w:lang w:val="en-US" w:eastAsia="zh-CN" w:bidi="ar-SA"/>
        </w:rPr>
        <w:t>2023年度国有资本经营预算财政拨款收入0万元；年初结转和结余0万元；支出0万元，其中：基本支出0万元，项目支出0万元；年末结转和结余0万元。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“三公”经费财政拨款支出预算为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74.48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坚持厉行节约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压减一般性支出，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与上年相比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增加24.58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由于上年决算数为0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故无法计算比重，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增长的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路灯及亮化维护作业专用车辆运行维护经费预算形式调整，由项目支出保障形式调整至基本支出公车运行维护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我单位严格按预算执行决算；与上年一致，无增减变动，主要原因是未安排因公出国（境）活动。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公务接待费支出预算为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3.67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严格执行中央八项规定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与上年相比增加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由于上年决算数为0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故无法计算比重，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增长的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本年有其他县市同行业单位来岳交流学习公务接待活动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公务用车购置费支出预算为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 xml:space="preserve">与上年一致，无增减变动，主要原因是两年均未购置公务用车。  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81.57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坚持厉行节约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压减一般性支出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，与上年相比增加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由于上年决算数为0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故无法计算比重</w:t>
      </w:r>
      <w:r>
        <w:rPr>
          <w:rFonts w:hint="eastAsia" w:ascii="仿宋_GB2312" w:hAnsi="仿宋_GB2312" w:eastAsia="仿宋_GB2312" w:cs="仿宋_GB2312"/>
          <w:sz w:val="32"/>
          <w:szCs w:val="32"/>
        </w:rPr>
        <w:t>,增长的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路灯及亮化维护作业专用车辆运行维护经费预算形式调整，由项目支出保障形式调整至基本支出公车运行维护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公务用车购置费及运行维护费支出决算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99.55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万元，全年安排因公出国（境）团组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个，累计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b w:val="0"/>
          <w:bCs w:val="0"/>
          <w:i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我单位2023年度无因公出国（境）费支出。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2、公务接待费支出决算为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万元，全年共接待来访团组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个、来宾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其他县市同行业单位来岳交流学习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发生的接待支出。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3、公务用车购置费及运行维护费支出决算为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当年没有购置公务用车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车辆油料费、维修费、保险费及年检费用等支出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年12月31日，我单位开支财政拨款的公务用车保有量为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7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单位为全额拨款事业单位，按照机关运行经费的口径，本年度机关运行经费为0。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7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  <w:t>本单位无会议费的预算和支出决算数；无培训费的预算和支出决算数；无举办节庆、晚会、论坛、赛事等活动的预算和支出决算数。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1835.54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1452.08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293.60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1835.54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1835.54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辆，其他用车主要是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照明设施维护管理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生产用车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根据预算绩效管理要求，我们组织对2023年度整体支出和项目资金实施了全覆盖性的绩效评价，撰写了绩效自评报告。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开展整体支出绩效评价，涉及一般公共预算支出5513.12万元，政府性基金预算支出0万元，国有资本经营预算支出0万元。从评价情况来看，整体支出绩效评价中，2023年整体支出6012.87万元，其中：基本支出1539.26万元，项目支出4473.61万元，本单位整体支出绩效自评综合评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98.35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，评价结果等次为优秀。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组织对一般公共预算项目支出全面开展绩效自评，项目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9个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共涉及资金4473.61万元，占一般公共预算项目支出总额的100%。组织对政府性基金预算项目支出开展绩效自评，项目0个，共涉及资金0万元（由于政府性基金预算项目支出总额为0，故无法计算占政府性基金预算项目支出总额比重）。组织对国有资本经营预算项目支出开展绩效自评，项目0个，共涉及资金0万元（由于国有资本经营预算项目支出总额为0，故无法计算占国有资本经营预算项目支出总额的比重）。从评价情况来看，项目绩效自评得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均在97分以上，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评价结果等次为优秀。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根据年初设定的绩效目标，绩效自评得分为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98.35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分。全年预算数为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6103.91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6012.87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万元，完成预算的98.51%。绩效目标完成情况：一是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维护管养水平和公共服务意识不断提高，保障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城区主次干道及小街巷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4008.258KW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公用亮化设施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24768盏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路灯正常运行；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加大了路灯和公用亮化设施的维护力度，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美化、亮化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夜间环境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岳阳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城市整体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形象，方便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市民夜间出行，保障夜间道路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交通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安全；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指导中心城区夜景亮化方案的设计，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完成了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新建楼宇亮化方案审批及亮化单位用电量计量管理，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完成了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城区夜景亮化工程的施工检查、竣工验收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中心城区路灯节能改造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工作有序推进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，节约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电力资源，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推动了城市照明事业向着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建设生态绿色城市的目标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奋进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以习近平新时代中国特色社会主义思想为指导，全面贯彻党的二十大精神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以党建为引领点亮开拓创新“指路灯”。坚持以</w:t>
      </w:r>
      <w:r>
        <w:rPr>
          <w:rFonts w:hint="eastAsia" w:ascii="仿宋_GB2312" w:hAnsi="仿宋_GB2312" w:eastAsia="仿宋_GB2312" w:cs="仿宋_GB2312"/>
          <w:sz w:val="32"/>
          <w:szCs w:val="32"/>
        </w:rPr>
        <w:t>“六大城管”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为工作理念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构建“灯亮路明、一街一景、安全环保、便民高效”的城市照明体系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目标，主动作为，多措并举，进一步强化路灯及亮化精细化管理成效，确保中心城区路灯亮灯率、设施完好率始终达到98%以上，重大活动、重要节日期间达到99%以上，为夜间行车、行人提供了安全保障，点亮了百姓满意“暖心灯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按照住建部节能改造相关要求和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完成了14条主次干道绿色照明改造工作，优质高效点亮绿色照明“节能灯”。同时，牢固树立安全理念，强化现场监督管理，深化隐患排查治理，贯彻标准化管理规定，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"http://www.baidu.com/link?url=ITxOCaNmo2-Oiu0vDtHhqu4qTesmhHS7O4DQGivLi0-LeHIhdvlvb9oFf2XbGGFejrPUOBL0Hiu5nS74_XVMba" \t "https://www.baidu.com/_blank"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筑牢安全壁垒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，点亮社会稳定“保障灯”。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城区路灯和公用亮化设施的精细化、科学化管理，为我市打造了</w:t>
      </w:r>
      <w:r>
        <w:rPr>
          <w:rFonts w:hint="eastAsia" w:ascii="仿宋_GB2312" w:hAnsi="仿宋_GB2312" w:eastAsia="仿宋_GB2312" w:cs="仿宋_GB2312"/>
          <w:sz w:val="32"/>
          <w:szCs w:val="32"/>
        </w:rPr>
        <w:t>美观、节能的路灯和亮化系统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提升了城区夜间环境的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艺术性，形成了和谐、雅致、丰富的城市夜间景观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助推了城市旅游业发展，拓宽了市民夜间休闲空间，增强了市民的幸福感和获得感。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存在的主要问题及原因：一是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城区路灯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节能改造步伐有待加速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主要原因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按照国家“十四五”规划中关于“LED等高效节能灯具使用占比应超过70%”的硬性要求，城区需改造的灯具数量大，资金投入需求量大，需有计划分步实施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；二是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人员结构老化且专业性不足，主要原因单位目前存在年龄老化与结构性不均的问题，在编人员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年龄在36岁以下的仅7人，电气工程对口专业技术力量薄弱，高层次人才引进较难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下一步改进措施：一是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加强事前绩效评估管理，合理分配路灯维护更新与节能灯具更新资金比例，加大节能改造资金投入，加快节能灯具更新步伐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加强与新建路段建设单位沟通，路灯安装按国家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“十四五”规划要求使用节能环保灯具，避免二次更新费用。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达到既整体降低路灯及亮化设施运行成本，又节能环保的目标；三是加强职工专业技术培训，提高专业技能，同时多渠道引进专业人才，优化人才队伍建设。</w:t>
      </w:r>
    </w:p>
    <w:p>
      <w:pPr>
        <w:pStyle w:val="1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pStyle w:val="17"/>
        <w:jc w:val="both"/>
        <w:rPr>
          <w:sz w:val="72"/>
          <w:szCs w:val="72"/>
        </w:rPr>
      </w:pPr>
    </w:p>
    <w:p>
      <w:pPr>
        <w:pStyle w:val="17"/>
        <w:ind w:firstLine="2640" w:firstLineChars="600"/>
        <w:jc w:val="both"/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第四部分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名词解释</w:t>
      </w:r>
    </w:p>
    <w:p/>
    <w:p>
      <w:pPr>
        <w:pStyle w:val="10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/>
    <w:p>
      <w:pPr>
        <w:pStyle w:val="10"/>
      </w:pPr>
    </w:p>
    <w:p>
      <w:pPr>
        <w:pStyle w:val="6"/>
      </w:pPr>
    </w:p>
    <w:p/>
    <w:p>
      <w:pPr>
        <w:pStyle w:val="10"/>
      </w:pPr>
    </w:p>
    <w:p>
      <w:pPr>
        <w:pStyle w:val="6"/>
      </w:pPr>
    </w:p>
    <w:p>
      <w:pPr>
        <w:pStyle w:val="17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部分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FB0E1"/>
    <w:multiLevelType w:val="singleLevel"/>
    <w:tmpl w:val="F6DFB0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TBlMjkxOGJkZTY2YWVjYTkxNWZjODEzNjkwZDc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4C26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958E0"/>
    <w:rsid w:val="007C4539"/>
    <w:rsid w:val="007F3657"/>
    <w:rsid w:val="00812ED5"/>
    <w:rsid w:val="008277D9"/>
    <w:rsid w:val="0084478C"/>
    <w:rsid w:val="0086638C"/>
    <w:rsid w:val="00893649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66F31"/>
    <w:rsid w:val="00F74360"/>
    <w:rsid w:val="00FB462F"/>
    <w:rsid w:val="00FE16FA"/>
    <w:rsid w:val="00FE328A"/>
    <w:rsid w:val="00FE6269"/>
    <w:rsid w:val="00FF5CD6"/>
    <w:rsid w:val="02F456F2"/>
    <w:rsid w:val="03231B33"/>
    <w:rsid w:val="03C03826"/>
    <w:rsid w:val="042C2B7D"/>
    <w:rsid w:val="046E5030"/>
    <w:rsid w:val="04B862AB"/>
    <w:rsid w:val="04D367CD"/>
    <w:rsid w:val="051D4C21"/>
    <w:rsid w:val="059958AD"/>
    <w:rsid w:val="061B2F96"/>
    <w:rsid w:val="066E7569"/>
    <w:rsid w:val="07503AD9"/>
    <w:rsid w:val="078F2EA3"/>
    <w:rsid w:val="08BA0844"/>
    <w:rsid w:val="08C8147A"/>
    <w:rsid w:val="08F8136C"/>
    <w:rsid w:val="09DD6D0A"/>
    <w:rsid w:val="0A7315F2"/>
    <w:rsid w:val="0B0C55FB"/>
    <w:rsid w:val="0C264765"/>
    <w:rsid w:val="0E145168"/>
    <w:rsid w:val="0E3177FA"/>
    <w:rsid w:val="0E3C1CFB"/>
    <w:rsid w:val="0E4532A6"/>
    <w:rsid w:val="0FA613C5"/>
    <w:rsid w:val="105A46BB"/>
    <w:rsid w:val="11A71B81"/>
    <w:rsid w:val="11B4505F"/>
    <w:rsid w:val="12583BA5"/>
    <w:rsid w:val="129C0FBA"/>
    <w:rsid w:val="12A367ED"/>
    <w:rsid w:val="13AC16D1"/>
    <w:rsid w:val="13BA5B9C"/>
    <w:rsid w:val="14D233B9"/>
    <w:rsid w:val="14EA425F"/>
    <w:rsid w:val="16CF5E02"/>
    <w:rsid w:val="16D57191"/>
    <w:rsid w:val="170535D2"/>
    <w:rsid w:val="1736022E"/>
    <w:rsid w:val="17D70741"/>
    <w:rsid w:val="19551028"/>
    <w:rsid w:val="19A30E80"/>
    <w:rsid w:val="1A654678"/>
    <w:rsid w:val="1A692480"/>
    <w:rsid w:val="1A8213DE"/>
    <w:rsid w:val="1CF7460A"/>
    <w:rsid w:val="1D976F4E"/>
    <w:rsid w:val="1D97DEFF"/>
    <w:rsid w:val="1DFF72E5"/>
    <w:rsid w:val="1E301693"/>
    <w:rsid w:val="1EB3600A"/>
    <w:rsid w:val="1EBC3110"/>
    <w:rsid w:val="1EFC6F07"/>
    <w:rsid w:val="20074837"/>
    <w:rsid w:val="20112FE8"/>
    <w:rsid w:val="20B16579"/>
    <w:rsid w:val="21723F5A"/>
    <w:rsid w:val="21CF4F08"/>
    <w:rsid w:val="21D249F9"/>
    <w:rsid w:val="22AC03C2"/>
    <w:rsid w:val="235356C5"/>
    <w:rsid w:val="24042E63"/>
    <w:rsid w:val="25871E1F"/>
    <w:rsid w:val="26712A32"/>
    <w:rsid w:val="26F06033"/>
    <w:rsid w:val="277B168E"/>
    <w:rsid w:val="29746395"/>
    <w:rsid w:val="297E7214"/>
    <w:rsid w:val="29F946EE"/>
    <w:rsid w:val="2A2E7A87"/>
    <w:rsid w:val="2AEA2DB3"/>
    <w:rsid w:val="2B0379D1"/>
    <w:rsid w:val="2BD4649E"/>
    <w:rsid w:val="2C6B3A80"/>
    <w:rsid w:val="2D0143E4"/>
    <w:rsid w:val="2D4D10E6"/>
    <w:rsid w:val="2D6A1F89"/>
    <w:rsid w:val="2EB01C1E"/>
    <w:rsid w:val="2FDF85B8"/>
    <w:rsid w:val="2FFFEE04"/>
    <w:rsid w:val="30522BBF"/>
    <w:rsid w:val="30BB2AFC"/>
    <w:rsid w:val="317B29B7"/>
    <w:rsid w:val="31A7600D"/>
    <w:rsid w:val="31C95635"/>
    <w:rsid w:val="32BB5035"/>
    <w:rsid w:val="32BF4B25"/>
    <w:rsid w:val="33FD0146"/>
    <w:rsid w:val="34724F48"/>
    <w:rsid w:val="34DF85B0"/>
    <w:rsid w:val="3675430B"/>
    <w:rsid w:val="3729607A"/>
    <w:rsid w:val="37FF1344"/>
    <w:rsid w:val="38550F45"/>
    <w:rsid w:val="38795776"/>
    <w:rsid w:val="3894435E"/>
    <w:rsid w:val="38FFD193"/>
    <w:rsid w:val="397C3770"/>
    <w:rsid w:val="39C3314D"/>
    <w:rsid w:val="3A0E1EEE"/>
    <w:rsid w:val="3B8F36BC"/>
    <w:rsid w:val="3BB56077"/>
    <w:rsid w:val="3C8D7A42"/>
    <w:rsid w:val="3DF31B27"/>
    <w:rsid w:val="3DF8CB71"/>
    <w:rsid w:val="3E3C78B4"/>
    <w:rsid w:val="3E5F82E6"/>
    <w:rsid w:val="3F3F6731"/>
    <w:rsid w:val="3FF7D9A4"/>
    <w:rsid w:val="42C24D65"/>
    <w:rsid w:val="4407632C"/>
    <w:rsid w:val="44354C47"/>
    <w:rsid w:val="44F765B1"/>
    <w:rsid w:val="4732546E"/>
    <w:rsid w:val="48236291"/>
    <w:rsid w:val="482379D2"/>
    <w:rsid w:val="491FF225"/>
    <w:rsid w:val="49627B61"/>
    <w:rsid w:val="4A4E6A63"/>
    <w:rsid w:val="4AF72F2B"/>
    <w:rsid w:val="4C612351"/>
    <w:rsid w:val="4C9B29CA"/>
    <w:rsid w:val="4CDF3310"/>
    <w:rsid w:val="4D471547"/>
    <w:rsid w:val="4DF711BF"/>
    <w:rsid w:val="4E17716C"/>
    <w:rsid w:val="4F6B59C1"/>
    <w:rsid w:val="4FFD214C"/>
    <w:rsid w:val="4FFFC685"/>
    <w:rsid w:val="51A21442"/>
    <w:rsid w:val="52DE64AA"/>
    <w:rsid w:val="530A4CA0"/>
    <w:rsid w:val="53511372"/>
    <w:rsid w:val="5352765A"/>
    <w:rsid w:val="5371052E"/>
    <w:rsid w:val="54336CC9"/>
    <w:rsid w:val="5777D4F5"/>
    <w:rsid w:val="57EFDD2B"/>
    <w:rsid w:val="598853C1"/>
    <w:rsid w:val="59DD8326"/>
    <w:rsid w:val="5AA12BDF"/>
    <w:rsid w:val="5AEE74A6"/>
    <w:rsid w:val="5AF01470"/>
    <w:rsid w:val="5AFE6240"/>
    <w:rsid w:val="5B1A02B0"/>
    <w:rsid w:val="5B8438C5"/>
    <w:rsid w:val="5BC67F88"/>
    <w:rsid w:val="5CEFC230"/>
    <w:rsid w:val="5DEF592A"/>
    <w:rsid w:val="5E2F405E"/>
    <w:rsid w:val="5EF15F40"/>
    <w:rsid w:val="5F7A22F5"/>
    <w:rsid w:val="5FA016B7"/>
    <w:rsid w:val="5FC6BB1E"/>
    <w:rsid w:val="5FF720F1"/>
    <w:rsid w:val="5FFB1922"/>
    <w:rsid w:val="600B4656"/>
    <w:rsid w:val="601E25DC"/>
    <w:rsid w:val="618F29D9"/>
    <w:rsid w:val="62141EE8"/>
    <w:rsid w:val="629E5C56"/>
    <w:rsid w:val="635A7DCF"/>
    <w:rsid w:val="63612F0B"/>
    <w:rsid w:val="637D6259"/>
    <w:rsid w:val="64F61D79"/>
    <w:rsid w:val="654C68E7"/>
    <w:rsid w:val="654D04DA"/>
    <w:rsid w:val="66F422E8"/>
    <w:rsid w:val="674723A8"/>
    <w:rsid w:val="6753714E"/>
    <w:rsid w:val="67784CC7"/>
    <w:rsid w:val="67FF5C0B"/>
    <w:rsid w:val="68A25F61"/>
    <w:rsid w:val="69AF58F6"/>
    <w:rsid w:val="69EE301F"/>
    <w:rsid w:val="69F543AD"/>
    <w:rsid w:val="6BAA4A2F"/>
    <w:rsid w:val="6BF6D3D0"/>
    <w:rsid w:val="6C427652"/>
    <w:rsid w:val="6D4A0EB4"/>
    <w:rsid w:val="6D5835D1"/>
    <w:rsid w:val="6D8141AA"/>
    <w:rsid w:val="6EAB3BD4"/>
    <w:rsid w:val="6EFC0924"/>
    <w:rsid w:val="6F0F4465"/>
    <w:rsid w:val="6FB74722"/>
    <w:rsid w:val="6FEF5D43"/>
    <w:rsid w:val="6FEF8B7E"/>
    <w:rsid w:val="710B095A"/>
    <w:rsid w:val="71A6591B"/>
    <w:rsid w:val="727A5D97"/>
    <w:rsid w:val="737D59BA"/>
    <w:rsid w:val="737F32B1"/>
    <w:rsid w:val="738844E4"/>
    <w:rsid w:val="73C117A4"/>
    <w:rsid w:val="74AA7178"/>
    <w:rsid w:val="74F160B9"/>
    <w:rsid w:val="75E654F2"/>
    <w:rsid w:val="75EF25F8"/>
    <w:rsid w:val="76004806"/>
    <w:rsid w:val="762D3121"/>
    <w:rsid w:val="76852F5D"/>
    <w:rsid w:val="76EE28B0"/>
    <w:rsid w:val="773C186D"/>
    <w:rsid w:val="774921DC"/>
    <w:rsid w:val="776B12C5"/>
    <w:rsid w:val="77BD117C"/>
    <w:rsid w:val="77C37683"/>
    <w:rsid w:val="77DFF82F"/>
    <w:rsid w:val="79D6D152"/>
    <w:rsid w:val="79F226B7"/>
    <w:rsid w:val="79FF515B"/>
    <w:rsid w:val="7AB73771"/>
    <w:rsid w:val="7BBFA3F4"/>
    <w:rsid w:val="7C0A652A"/>
    <w:rsid w:val="7C484810"/>
    <w:rsid w:val="7DF94B5E"/>
    <w:rsid w:val="7E470AF8"/>
    <w:rsid w:val="7E9E1962"/>
    <w:rsid w:val="7E9F11B4"/>
    <w:rsid w:val="7EFBBBA1"/>
    <w:rsid w:val="7F18226F"/>
    <w:rsid w:val="7F37EC1E"/>
    <w:rsid w:val="7F3948E4"/>
    <w:rsid w:val="7F7DCD9D"/>
    <w:rsid w:val="7F970A6F"/>
    <w:rsid w:val="7FB59469"/>
    <w:rsid w:val="7FC1FFF3"/>
    <w:rsid w:val="7FC69637"/>
    <w:rsid w:val="7FDD1D6E"/>
    <w:rsid w:val="7FDF8620"/>
    <w:rsid w:val="7FFB242F"/>
    <w:rsid w:val="7FFDB408"/>
    <w:rsid w:val="7FFE4EEB"/>
    <w:rsid w:val="8BFFCEF3"/>
    <w:rsid w:val="95FB2B98"/>
    <w:rsid w:val="9A639BC2"/>
    <w:rsid w:val="9EFBA5DC"/>
    <w:rsid w:val="9FF7D786"/>
    <w:rsid w:val="ABBFB23D"/>
    <w:rsid w:val="AEEDEB32"/>
    <w:rsid w:val="AF9FA7FB"/>
    <w:rsid w:val="B1AB6DF6"/>
    <w:rsid w:val="B7FF3249"/>
    <w:rsid w:val="BB9FFB9E"/>
    <w:rsid w:val="BD9D98EC"/>
    <w:rsid w:val="BDFA6848"/>
    <w:rsid w:val="BEDBF3DA"/>
    <w:rsid w:val="BF97366A"/>
    <w:rsid w:val="BFEFC991"/>
    <w:rsid w:val="C3B4DA5A"/>
    <w:rsid w:val="C67DCB9F"/>
    <w:rsid w:val="CBFF70E0"/>
    <w:rsid w:val="CFF50B82"/>
    <w:rsid w:val="CFFFAD89"/>
    <w:rsid w:val="D6F1E617"/>
    <w:rsid w:val="DEBFFDB8"/>
    <w:rsid w:val="DF6EEC30"/>
    <w:rsid w:val="DF77F199"/>
    <w:rsid w:val="DFFE359E"/>
    <w:rsid w:val="DFFE4FFD"/>
    <w:rsid w:val="DFFFA1FA"/>
    <w:rsid w:val="E6BCA04D"/>
    <w:rsid w:val="ECFF5F8C"/>
    <w:rsid w:val="EDBA7B7B"/>
    <w:rsid w:val="EDFF382F"/>
    <w:rsid w:val="EEABED75"/>
    <w:rsid w:val="F1FFE081"/>
    <w:rsid w:val="F56FDF51"/>
    <w:rsid w:val="F57DBF60"/>
    <w:rsid w:val="F5DBB0CB"/>
    <w:rsid w:val="F62EDF98"/>
    <w:rsid w:val="F6B69F17"/>
    <w:rsid w:val="F6FD2158"/>
    <w:rsid w:val="F77B1FFA"/>
    <w:rsid w:val="F77F1D61"/>
    <w:rsid w:val="F7BF4BAF"/>
    <w:rsid w:val="F7FED3A9"/>
    <w:rsid w:val="F8C9DB26"/>
    <w:rsid w:val="F97E8EAE"/>
    <w:rsid w:val="FB36E1A6"/>
    <w:rsid w:val="FB3BE134"/>
    <w:rsid w:val="FBDF43D2"/>
    <w:rsid w:val="FBF3BA4E"/>
    <w:rsid w:val="FCFF4275"/>
    <w:rsid w:val="FD7FEEEA"/>
    <w:rsid w:val="FDAB817C"/>
    <w:rsid w:val="FDFFB577"/>
    <w:rsid w:val="FEBF0161"/>
    <w:rsid w:val="FECF0927"/>
    <w:rsid w:val="FEDB9AB4"/>
    <w:rsid w:val="FEEA50FE"/>
    <w:rsid w:val="FF579437"/>
    <w:rsid w:val="FF7D47A9"/>
    <w:rsid w:val="FFAF2450"/>
    <w:rsid w:val="FFB8B458"/>
    <w:rsid w:val="FFBF38DD"/>
    <w:rsid w:val="FFCF21CB"/>
    <w:rsid w:val="FFE578C8"/>
    <w:rsid w:val="FFFDF261"/>
    <w:rsid w:val="FFFDFD2E"/>
    <w:rsid w:val="FFFF1C8B"/>
    <w:rsid w:val="FF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default"/>
      <w:sz w:val="24"/>
      <w:szCs w:val="24"/>
    </w:rPr>
  </w:style>
  <w:style w:type="paragraph" w:styleId="5">
    <w:name w:val="Body Text Indent"/>
    <w:basedOn w:val="1"/>
    <w:next w:val="6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6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15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6055</Words>
  <Characters>6612</Characters>
  <Lines>63</Lines>
  <Paragraphs>18</Paragraphs>
  <TotalTime>1</TotalTime>
  <ScaleCrop>false</ScaleCrop>
  <LinksUpToDate>false</LinksUpToDate>
  <CharactersWithSpaces>6640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2020-07-10T02:32:00Z</dcterms:created>
  <dc:creator>李航 null</dc:creator>
  <cp:lastModifiedBy>TCB003</cp:lastModifiedBy>
  <cp:lastPrinted>2024-08-10T10:20:00Z</cp:lastPrinted>
  <dcterms:modified xsi:type="dcterms:W3CDTF">2025-08-25T14:56:56Z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98623D6660B449428EB8E073C6C952EA</vt:lpwstr>
  </property>
</Properties>
</file>