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1C657">
      <w:pPr>
        <w:pStyle w:val="13"/>
        <w:jc w:val="center"/>
        <w:rPr>
          <w:color w:val="000000" w:themeColor="text1"/>
          <w:sz w:val="56"/>
          <w:szCs w:val="56"/>
          <w14:textFill>
            <w14:solidFill>
              <w14:schemeClr w14:val="tx1"/>
            </w14:solidFill>
          </w14:textFill>
        </w:rPr>
      </w:pPr>
      <w:bookmarkStart w:id="0" w:name="_GoBack"/>
    </w:p>
    <w:p w14:paraId="6C316038">
      <w:pPr>
        <w:pStyle w:val="13"/>
        <w:jc w:val="center"/>
        <w:rPr>
          <w:color w:val="000000" w:themeColor="text1"/>
          <w:sz w:val="56"/>
          <w:szCs w:val="56"/>
          <w14:textFill>
            <w14:solidFill>
              <w14:schemeClr w14:val="tx1"/>
            </w14:solidFill>
          </w14:textFill>
        </w:rPr>
      </w:pPr>
    </w:p>
    <w:p w14:paraId="4B04FE43">
      <w:pPr>
        <w:pStyle w:val="13"/>
        <w:jc w:val="center"/>
        <w:rPr>
          <w:color w:val="000000" w:themeColor="text1"/>
          <w:sz w:val="84"/>
          <w:szCs w:val="84"/>
          <w14:textFill>
            <w14:solidFill>
              <w14:schemeClr w14:val="tx1"/>
            </w14:solidFill>
          </w14:textFill>
        </w:rPr>
      </w:pPr>
    </w:p>
    <w:p w14:paraId="11521601">
      <w:pPr>
        <w:pStyle w:val="13"/>
        <w:jc w:val="center"/>
        <w:rPr>
          <w:color w:val="000000" w:themeColor="text1"/>
          <w:sz w:val="84"/>
          <w:szCs w:val="84"/>
          <w14:textFill>
            <w14:solidFill>
              <w14:schemeClr w14:val="tx1"/>
            </w14:solidFill>
          </w14:textFill>
        </w:rPr>
      </w:pPr>
    </w:p>
    <w:p w14:paraId="6A006404">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202</w:t>
      </w:r>
      <w:r>
        <w:rPr>
          <w:rFonts w:hint="eastAsia" w:ascii="方正小标宋_GBK" w:hAnsi="方正小标宋_GBK" w:eastAsia="方正小标宋_GBK" w:cs="方正小标宋_GBK"/>
          <w:color w:val="000000" w:themeColor="text1"/>
          <w:sz w:val="72"/>
          <w:szCs w:val="72"/>
          <w:lang w:val="en-US" w:eastAsia="zh-CN"/>
          <w14:textFill>
            <w14:solidFill>
              <w14:schemeClr w14:val="tx1"/>
            </w14:solidFill>
          </w14:textFill>
        </w:rPr>
        <w:t>3</w:t>
      </w:r>
      <w:r>
        <w:rPr>
          <w:rFonts w:hint="eastAsia" w:ascii="方正小标宋_GBK" w:hAnsi="方正小标宋_GBK" w:eastAsia="方正小标宋_GBK" w:cs="方正小标宋_GBK"/>
          <w:color w:val="000000" w:themeColor="text1"/>
          <w:sz w:val="72"/>
          <w:szCs w:val="72"/>
          <w14:textFill>
            <w14:solidFill>
              <w14:schemeClr w14:val="tx1"/>
            </w14:solidFill>
          </w14:textFill>
        </w:rPr>
        <w:t>年度</w:t>
      </w:r>
    </w:p>
    <w:p w14:paraId="5717848A">
      <w:pPr>
        <w:pStyle w:val="13"/>
        <w:jc w:val="center"/>
        <w:rPr>
          <w:rFonts w:hint="eastAsia" w:ascii="方正小标宋_GBK" w:hAnsi="方正小标宋_GBK" w:eastAsia="方正小标宋_GBK" w:cs="方正小标宋_GBK"/>
          <w:color w:val="000000" w:themeColor="text1"/>
          <w:sz w:val="72"/>
          <w:szCs w:val="72"/>
          <w:lang w:eastAsia="zh-CN"/>
          <w14:textFill>
            <w14:solidFill>
              <w14:schemeClr w14:val="tx1"/>
            </w14:solidFill>
          </w14:textFill>
        </w:rPr>
      </w:pPr>
      <w:r>
        <w:rPr>
          <w:rFonts w:hint="eastAsia" w:ascii="方正小标宋_GBK" w:hAnsi="方正小标宋_GBK" w:eastAsia="方正小标宋_GBK" w:cs="方正小标宋_GBK"/>
          <w:color w:val="000000" w:themeColor="text1"/>
          <w:sz w:val="72"/>
          <w:szCs w:val="72"/>
          <w:lang w:eastAsia="zh-CN"/>
          <w14:textFill>
            <w14:solidFill>
              <w14:schemeClr w14:val="tx1"/>
            </w14:solidFill>
          </w14:textFill>
        </w:rPr>
        <w:t>岳阳市动物疫病预防控制中心</w:t>
      </w:r>
    </w:p>
    <w:p w14:paraId="24A6B4D5">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部门决算</w:t>
      </w:r>
    </w:p>
    <w:p w14:paraId="6C97F362">
      <w:pPr>
        <w:pStyle w:val="13"/>
        <w:jc w:val="center"/>
        <w:rPr>
          <w:rFonts w:hint="eastAsia" w:ascii="方正小标宋_GBK" w:hAnsi="方正小标宋_GBK" w:eastAsia="方正小标宋_GBK" w:cs="方正小标宋_GBK"/>
          <w:color w:val="000000" w:themeColor="text1"/>
          <w:sz w:val="56"/>
          <w:szCs w:val="56"/>
          <w14:textFill>
            <w14:solidFill>
              <w14:schemeClr w14:val="tx1"/>
            </w14:solidFill>
          </w14:textFill>
        </w:rPr>
      </w:pPr>
    </w:p>
    <w:p w14:paraId="0B4698BD">
      <w:pPr>
        <w:pStyle w:val="13"/>
        <w:jc w:val="center"/>
        <w:rPr>
          <w:color w:val="000000" w:themeColor="text1"/>
          <w:sz w:val="56"/>
          <w:szCs w:val="56"/>
          <w14:textFill>
            <w14:solidFill>
              <w14:schemeClr w14:val="tx1"/>
            </w14:solidFill>
          </w14:textFill>
        </w:rPr>
      </w:pPr>
    </w:p>
    <w:p w14:paraId="2C1281CB">
      <w:pPr>
        <w:pStyle w:val="13"/>
        <w:jc w:val="center"/>
        <w:rPr>
          <w:color w:val="000000" w:themeColor="text1"/>
          <w:sz w:val="56"/>
          <w:szCs w:val="56"/>
          <w14:textFill>
            <w14:solidFill>
              <w14:schemeClr w14:val="tx1"/>
            </w14:solidFill>
          </w14:textFill>
        </w:rPr>
      </w:pPr>
    </w:p>
    <w:p w14:paraId="0A0AF6DB">
      <w:pPr>
        <w:pStyle w:val="13"/>
        <w:jc w:val="center"/>
        <w:rPr>
          <w:color w:val="000000" w:themeColor="text1"/>
          <w:sz w:val="56"/>
          <w:szCs w:val="56"/>
          <w14:textFill>
            <w14:solidFill>
              <w14:schemeClr w14:val="tx1"/>
            </w14:solidFill>
          </w14:textFill>
        </w:rPr>
      </w:pPr>
    </w:p>
    <w:p w14:paraId="49CA20EC">
      <w:pPr>
        <w:pStyle w:val="13"/>
        <w:jc w:val="center"/>
        <w:rPr>
          <w:color w:val="000000" w:themeColor="text1"/>
          <w:sz w:val="32"/>
          <w:szCs w:val="32"/>
          <w14:textFill>
            <w14:solidFill>
              <w14:schemeClr w14:val="tx1"/>
            </w14:solidFill>
          </w14:textFill>
        </w:rPr>
      </w:pPr>
    </w:p>
    <w:p w14:paraId="1F6918CF">
      <w:pPr>
        <w:pStyle w:val="13"/>
        <w:jc w:val="center"/>
        <w:rPr>
          <w:color w:val="000000" w:themeColor="text1"/>
          <w:sz w:val="32"/>
          <w:szCs w:val="32"/>
          <w14:textFill>
            <w14:solidFill>
              <w14:schemeClr w14:val="tx1"/>
            </w14:solidFill>
          </w14:textFill>
        </w:rPr>
      </w:pPr>
    </w:p>
    <w:p w14:paraId="5670C3A4">
      <w:pPr>
        <w:pStyle w:val="13"/>
        <w:spacing w:line="540" w:lineRule="exact"/>
        <w:jc w:val="both"/>
        <w:rPr>
          <w:color w:val="000000" w:themeColor="text1"/>
          <w:sz w:val="56"/>
          <w:szCs w:val="56"/>
          <w14:textFill>
            <w14:solidFill>
              <w14:schemeClr w14:val="tx1"/>
            </w14:solidFill>
          </w14:textFill>
        </w:rPr>
      </w:pPr>
    </w:p>
    <w:p w14:paraId="07CAFD15">
      <w:pPr>
        <w:pStyle w:val="13"/>
        <w:spacing w:line="500" w:lineRule="exact"/>
        <w:jc w:val="both"/>
        <w:rPr>
          <w:b/>
          <w:color w:val="000000" w:themeColor="text1"/>
          <w:sz w:val="36"/>
          <w:szCs w:val="28"/>
          <w14:textFill>
            <w14:solidFill>
              <w14:schemeClr w14:val="tx1"/>
            </w14:solidFill>
          </w14:textFill>
        </w:rPr>
      </w:pPr>
    </w:p>
    <w:p w14:paraId="60B4B1FB">
      <w:pPr>
        <w:pStyle w:val="13"/>
        <w:spacing w:line="500" w:lineRule="exact"/>
        <w:jc w:val="center"/>
        <w:rPr>
          <w:b/>
          <w:color w:val="000000" w:themeColor="text1"/>
          <w:sz w:val="36"/>
          <w:szCs w:val="28"/>
          <w14:textFill>
            <w14:solidFill>
              <w14:schemeClr w14:val="tx1"/>
            </w14:solidFill>
          </w14:textFill>
        </w:rPr>
      </w:pPr>
      <w:r>
        <w:rPr>
          <w:rFonts w:hint="eastAsia"/>
          <w:b/>
          <w:color w:val="000000" w:themeColor="text1"/>
          <w:sz w:val="36"/>
          <w:szCs w:val="28"/>
          <w14:textFill>
            <w14:solidFill>
              <w14:schemeClr w14:val="tx1"/>
            </w14:solidFill>
          </w14:textFill>
        </w:rPr>
        <w:t>目录</w:t>
      </w:r>
    </w:p>
    <w:p w14:paraId="4024ABD0">
      <w:pPr>
        <w:pStyle w:val="13"/>
        <w:spacing w:line="500" w:lineRule="exact"/>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第一部分</w:t>
      </w:r>
      <w:r>
        <w:rPr>
          <w:rFonts w:hint="eastAsia" w:ascii="黑体" w:hAnsi="黑体" w:eastAsia="黑体" w:cs="黑体"/>
          <w:b w:val="0"/>
          <w:bCs/>
          <w:color w:val="000000" w:themeColor="text1"/>
          <w:sz w:val="28"/>
          <w:szCs w:val="28"/>
          <w:lang w:val="en-US" w:eastAsia="zh-CN"/>
          <w14:textFill>
            <w14:solidFill>
              <w14:schemeClr w14:val="tx1"/>
            </w14:solidFill>
          </w14:textFill>
        </w:rPr>
        <w:t xml:space="preserve"> </w:t>
      </w:r>
      <w:r>
        <w:rPr>
          <w:rFonts w:hint="eastAsia" w:ascii="黑体" w:hAnsi="黑体" w:eastAsia="黑体" w:cs="黑体"/>
          <w:b w:val="0"/>
          <w:bCs/>
          <w:color w:val="000000" w:themeColor="text1"/>
          <w:sz w:val="28"/>
          <w:szCs w:val="28"/>
          <w14:textFill>
            <w14:solidFill>
              <w14:schemeClr w14:val="tx1"/>
            </w14:solidFill>
          </w14:textFill>
        </w:rPr>
        <w:t>岳阳市动物疫病预防控制中心概况</w:t>
      </w:r>
    </w:p>
    <w:p w14:paraId="12AD3430">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一、部门职责</w:t>
      </w:r>
    </w:p>
    <w:p w14:paraId="62BCA51B">
      <w:pPr>
        <w:pStyle w:val="13"/>
        <w:spacing w:line="500" w:lineRule="exact"/>
        <w:ind w:firstLine="700" w:firstLineChars="250"/>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二、机构设置</w:t>
      </w:r>
      <w:r>
        <w:rPr>
          <w:rFonts w:hint="eastAsia" w:ascii="仿宋_GB2312" w:hAnsi="仿宋_GB2312" w:eastAsia="仿宋_GB2312" w:cs="仿宋_GB2312"/>
          <w:color w:val="000000" w:themeColor="text1"/>
          <w:sz w:val="28"/>
          <w:szCs w:val="28"/>
          <w:lang w:eastAsia="zh-CN"/>
          <w14:textFill>
            <w14:solidFill>
              <w14:schemeClr w14:val="tx1"/>
            </w14:solidFill>
          </w14:textFill>
        </w:rPr>
        <w:t>及决算单位构成</w:t>
      </w:r>
    </w:p>
    <w:p w14:paraId="67C31A40">
      <w:pPr>
        <w:pStyle w:val="13"/>
        <w:spacing w:line="500" w:lineRule="exact"/>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第二部分</w:t>
      </w:r>
      <w:r>
        <w:rPr>
          <w:rFonts w:hint="eastAsia" w:ascii="黑体" w:hAnsi="黑体" w:eastAsia="黑体" w:cs="黑体"/>
          <w:b w:val="0"/>
          <w:bCs/>
          <w:color w:val="000000" w:themeColor="text1"/>
          <w:sz w:val="28"/>
          <w:szCs w:val="28"/>
          <w:lang w:val="en-US" w:eastAsia="zh-CN"/>
          <w14:textFill>
            <w14:solidFill>
              <w14:schemeClr w14:val="tx1"/>
            </w14:solidFill>
          </w14:textFill>
        </w:rPr>
        <w:t xml:space="preserve"> </w:t>
      </w:r>
      <w:r>
        <w:rPr>
          <w:rFonts w:hint="eastAsia" w:ascii="黑体" w:hAnsi="黑体" w:eastAsia="黑体" w:cs="黑体"/>
          <w:b w:val="0"/>
          <w:bCs/>
          <w:color w:val="000000" w:themeColor="text1"/>
          <w:sz w:val="28"/>
          <w:szCs w:val="28"/>
          <w14:textFill>
            <w14:solidFill>
              <w14:schemeClr w14:val="tx1"/>
            </w14:solidFill>
          </w14:textFill>
        </w:rPr>
        <w:t>部门决算表</w:t>
      </w:r>
    </w:p>
    <w:p w14:paraId="5AFC76AE">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一、收入支出决算总表</w:t>
      </w:r>
    </w:p>
    <w:p w14:paraId="2B0CFB0A">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二、收入决算表</w:t>
      </w:r>
    </w:p>
    <w:p w14:paraId="1C672C1E">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三、支出决算表</w:t>
      </w:r>
    </w:p>
    <w:p w14:paraId="7C6917D0">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四、财政拨款收入支出决算总表</w:t>
      </w:r>
    </w:p>
    <w:p w14:paraId="6F9B83EA">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五、一般公共预算财政拨款支出决算表</w:t>
      </w:r>
    </w:p>
    <w:p w14:paraId="1BC82C64">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六、一般公共预算财政拨款基本支出决算明细表</w:t>
      </w:r>
    </w:p>
    <w:p w14:paraId="4E8B989A">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七、政府性基金预算财政拨款收入支出决算表</w:t>
      </w:r>
    </w:p>
    <w:p w14:paraId="09D56B78">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八、国有资本经营预算财政拨款支出决算表</w:t>
      </w:r>
    </w:p>
    <w:p w14:paraId="3BFB00EC">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九、财政拨款“三公”经费支出决算表</w:t>
      </w:r>
    </w:p>
    <w:p w14:paraId="392BFDA0">
      <w:pPr>
        <w:pStyle w:val="13"/>
        <w:spacing w:line="500" w:lineRule="exact"/>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第三部分</w:t>
      </w:r>
      <w:r>
        <w:rPr>
          <w:rFonts w:hint="eastAsia" w:ascii="黑体" w:hAnsi="黑体" w:eastAsia="黑体" w:cs="黑体"/>
          <w:b w:val="0"/>
          <w:bCs/>
          <w:color w:val="000000" w:themeColor="text1"/>
          <w:sz w:val="28"/>
          <w:szCs w:val="28"/>
          <w:lang w:val="en-US" w:eastAsia="zh-CN"/>
          <w14:textFill>
            <w14:solidFill>
              <w14:schemeClr w14:val="tx1"/>
            </w14:solidFill>
          </w14:textFill>
        </w:rPr>
        <w:t xml:space="preserve"> </w:t>
      </w:r>
      <w:r>
        <w:rPr>
          <w:rFonts w:hint="eastAsia" w:ascii="黑体" w:hAnsi="黑体" w:eastAsia="黑体" w:cs="黑体"/>
          <w:b w:val="0"/>
          <w:bCs/>
          <w:color w:val="000000" w:themeColor="text1"/>
          <w:sz w:val="28"/>
          <w:szCs w:val="28"/>
          <w14:textFill>
            <w14:solidFill>
              <w14:schemeClr w14:val="tx1"/>
            </w14:solidFill>
          </w14:textFill>
        </w:rPr>
        <w:t>部门决算情况说明</w:t>
      </w:r>
    </w:p>
    <w:p w14:paraId="38726BE0">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一、收入支出决算总体情况说明</w:t>
      </w:r>
    </w:p>
    <w:p w14:paraId="4940E470">
      <w:pPr>
        <w:spacing w:line="500" w:lineRule="exact"/>
        <w:ind w:firstLine="700" w:firstLineChars="250"/>
        <w:jc w:val="left"/>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二、收入决算情况说明</w:t>
      </w:r>
    </w:p>
    <w:p w14:paraId="7C4744FF">
      <w:pPr>
        <w:autoSpaceDE w:val="0"/>
        <w:autoSpaceDN w:val="0"/>
        <w:adjustRightInd w:val="0"/>
        <w:spacing w:line="500" w:lineRule="exact"/>
        <w:ind w:firstLine="700" w:firstLineChars="250"/>
        <w:jc w:val="left"/>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三、支出决算情况说明</w:t>
      </w:r>
    </w:p>
    <w:p w14:paraId="5B0EB5DA">
      <w:pPr>
        <w:autoSpaceDE w:val="0"/>
        <w:autoSpaceDN w:val="0"/>
        <w:adjustRightInd w:val="0"/>
        <w:spacing w:line="500" w:lineRule="exact"/>
        <w:ind w:firstLine="700" w:firstLineChars="250"/>
        <w:jc w:val="left"/>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四、财政拨款收入支出决算总体情况说明</w:t>
      </w:r>
    </w:p>
    <w:p w14:paraId="7AD80474">
      <w:pPr>
        <w:autoSpaceDE w:val="0"/>
        <w:autoSpaceDN w:val="0"/>
        <w:adjustRightInd w:val="0"/>
        <w:spacing w:line="500" w:lineRule="exact"/>
        <w:ind w:firstLine="700" w:firstLineChars="250"/>
        <w:jc w:val="left"/>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五、一般公共预算财政拨款支出决算情况说明</w:t>
      </w:r>
    </w:p>
    <w:p w14:paraId="435EDF74">
      <w:pPr>
        <w:autoSpaceDE w:val="0"/>
        <w:autoSpaceDN w:val="0"/>
        <w:adjustRightInd w:val="0"/>
        <w:spacing w:line="500" w:lineRule="exact"/>
        <w:ind w:firstLine="700" w:firstLineChars="250"/>
        <w:jc w:val="left"/>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六、一般公共预算财政拨款基本支出决算情况说明</w:t>
      </w:r>
    </w:p>
    <w:p w14:paraId="7C7CD5B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七、政府性基金预算收入支出决算情况</w:t>
      </w:r>
    </w:p>
    <w:p w14:paraId="5184A82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八、</w:t>
      </w:r>
      <w:r>
        <w:rPr>
          <w:rFonts w:hint="eastAsia" w:ascii="仿宋_GB2312" w:hAnsi="仿宋_GB2312" w:eastAsia="仿宋_GB2312" w:cs="仿宋_GB2312"/>
          <w:color w:val="000000" w:themeColor="text1"/>
          <w:sz w:val="28"/>
          <w:szCs w:val="28"/>
          <w14:textFill>
            <w14:solidFill>
              <w14:schemeClr w14:val="tx1"/>
            </w14:solidFill>
          </w14:textFill>
        </w:rPr>
        <w:t>国有资本经营预算财政拨款支出决算</w:t>
      </w:r>
      <w:r>
        <w:rPr>
          <w:rFonts w:hint="eastAsia" w:ascii="仿宋_GB2312" w:hAnsi="仿宋_GB2312" w:eastAsia="仿宋_GB2312" w:cs="仿宋_GB2312"/>
          <w:color w:val="000000" w:themeColor="text1"/>
          <w:sz w:val="28"/>
          <w:szCs w:val="28"/>
          <w:lang w:eastAsia="zh-CN"/>
          <w14:textFill>
            <w14:solidFill>
              <w14:schemeClr w14:val="tx1"/>
            </w14:solidFill>
          </w14:textFill>
        </w:rPr>
        <w:t>情况</w:t>
      </w:r>
    </w:p>
    <w:p w14:paraId="41323A5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themeColor="text1"/>
          <w:kern w:val="0"/>
          <w:sz w:val="28"/>
          <w:szCs w:val="28"/>
          <w:lang w:eastAsia="zh-CN"/>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九、财政拨款三公经费支出决算情况说明</w:t>
      </w:r>
    </w:p>
    <w:p w14:paraId="5F1DD15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十、关于机关运行经费支出说明</w:t>
      </w:r>
    </w:p>
    <w:p w14:paraId="55F90AF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14:textFill>
            <w14:solidFill>
              <w14:schemeClr w14:val="tx1"/>
            </w14:solidFill>
          </w14:textFill>
        </w:rPr>
        <w:t>十一、一般性支出情况说明</w:t>
      </w:r>
    </w:p>
    <w:p w14:paraId="109B287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themeColor="text1"/>
          <w:kern w:val="0"/>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十二、</w:t>
      </w:r>
      <w:r>
        <w:rPr>
          <w:rFonts w:hint="eastAsia" w:ascii="仿宋_GB2312" w:hAnsi="仿宋_GB2312" w:eastAsia="仿宋_GB2312" w:cs="仿宋_GB2312"/>
          <w:color w:val="000000" w:themeColor="text1"/>
          <w:kern w:val="0"/>
          <w:sz w:val="28"/>
          <w:szCs w:val="28"/>
          <w14:textFill>
            <w14:solidFill>
              <w14:schemeClr w14:val="tx1"/>
            </w14:solidFill>
          </w14:textFill>
        </w:rPr>
        <w:t>关于政府采购支出说明</w:t>
      </w:r>
    </w:p>
    <w:p w14:paraId="3814A20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themeColor="text1"/>
          <w:kern w:val="0"/>
          <w:sz w:val="28"/>
          <w:szCs w:val="28"/>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bidi="ar-SA"/>
          <w14:textFill>
            <w14:solidFill>
              <w14:schemeClr w14:val="tx1"/>
            </w14:solidFill>
          </w14:textFill>
        </w:rPr>
        <w:t>十三、关于国有资产占用情况说明</w:t>
      </w:r>
    </w:p>
    <w:p w14:paraId="3D02B3D3">
      <w:pPr>
        <w:pStyle w:val="13"/>
        <w:spacing w:line="500" w:lineRule="exact"/>
        <w:ind w:firstLine="700" w:firstLineChars="250"/>
        <w:rPr>
          <w:rFonts w:hint="eastAsia"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kern w:val="0"/>
          <w:sz w:val="28"/>
          <w:szCs w:val="28"/>
          <w:lang w:val="en-US" w:eastAsia="zh-CN" w:bidi="ar-SA"/>
          <w14:textFill>
            <w14:solidFill>
              <w14:schemeClr w14:val="tx1"/>
            </w14:solidFill>
          </w14:textFill>
        </w:rPr>
        <w:t>十四、</w:t>
      </w:r>
      <w:r>
        <w:rPr>
          <w:rFonts w:hint="eastAsia" w:ascii="仿宋_GB2312" w:hAnsi="仿宋_GB2312" w:eastAsia="仿宋_GB2312" w:cs="仿宋_GB2312"/>
          <w:color w:val="000000" w:themeColor="text1"/>
          <w:sz w:val="28"/>
          <w:szCs w:val="28"/>
          <w14:textFill>
            <w14:solidFill>
              <w14:schemeClr w14:val="tx1"/>
            </w14:solidFill>
          </w14:textFill>
        </w:rPr>
        <w:t>关于</w:t>
      </w:r>
      <w:r>
        <w:rPr>
          <w:rFonts w:hint="default" w:ascii="Times New Roman" w:hAnsi="Times New Roman" w:eastAsia="仿宋_GB2312" w:cs="Times New Roman"/>
          <w:color w:val="000000" w:themeColor="text1"/>
          <w:sz w:val="28"/>
          <w:szCs w:val="28"/>
          <w14:textFill>
            <w14:solidFill>
              <w14:schemeClr w14:val="tx1"/>
            </w14:solidFill>
          </w14:textFill>
        </w:rPr>
        <w:t>202</w:t>
      </w:r>
      <w:r>
        <w:rPr>
          <w:rFonts w:hint="default" w:ascii="Times New Roman" w:hAnsi="Times New Roman" w:eastAsia="仿宋_GB2312" w:cs="Times New Roman"/>
          <w:color w:val="000000" w:themeColor="text1"/>
          <w:sz w:val="28"/>
          <w:szCs w:val="28"/>
          <w:lang w:val="en-US" w:eastAsia="zh-CN"/>
          <w14:textFill>
            <w14:solidFill>
              <w14:schemeClr w14:val="tx1"/>
            </w14:solidFill>
          </w14:textFill>
        </w:rPr>
        <w:t>3</w:t>
      </w:r>
      <w:r>
        <w:rPr>
          <w:rFonts w:hint="eastAsia" w:ascii="仿宋_GB2312" w:hAnsi="仿宋_GB2312" w:eastAsia="仿宋_GB2312" w:cs="仿宋_GB2312"/>
          <w:color w:val="000000" w:themeColor="text1"/>
          <w:sz w:val="28"/>
          <w:szCs w:val="28"/>
          <w14:textFill>
            <w14:solidFill>
              <w14:schemeClr w14:val="tx1"/>
            </w14:solidFill>
          </w14:textFill>
        </w:rPr>
        <w:t>年度</w:t>
      </w:r>
      <w:r>
        <w:rPr>
          <w:rFonts w:hint="eastAsia" w:ascii="仿宋_GB2312" w:hAnsi="仿宋_GB2312" w:eastAsia="仿宋_GB2312" w:cs="仿宋_GB2312"/>
          <w:color w:val="000000" w:themeColor="text1"/>
          <w:sz w:val="28"/>
          <w:szCs w:val="28"/>
          <w:lang w:eastAsia="zh-CN"/>
          <w14:textFill>
            <w14:solidFill>
              <w14:schemeClr w14:val="tx1"/>
            </w14:solidFill>
          </w14:textFill>
        </w:rPr>
        <w:t>预算</w:t>
      </w:r>
      <w:r>
        <w:rPr>
          <w:rFonts w:hint="eastAsia" w:ascii="仿宋_GB2312" w:hAnsi="仿宋_GB2312" w:eastAsia="仿宋_GB2312" w:cs="仿宋_GB2312"/>
          <w:color w:val="000000" w:themeColor="text1"/>
          <w:sz w:val="28"/>
          <w:szCs w:val="28"/>
          <w14:textFill>
            <w14:solidFill>
              <w14:schemeClr w14:val="tx1"/>
            </w14:solidFill>
          </w14:textFill>
        </w:rPr>
        <w:t>绩效情况的说明</w:t>
      </w:r>
    </w:p>
    <w:p w14:paraId="4BFD60B3">
      <w:pPr>
        <w:pStyle w:val="13"/>
        <w:spacing w:line="500" w:lineRule="exact"/>
        <w:rPr>
          <w:rFonts w:hint="eastAsia" w:ascii="黑体" w:hAnsi="黑体" w:eastAsia="黑体" w:cs="黑体"/>
          <w:b w:val="0"/>
          <w:bCs/>
          <w:color w:val="000000" w:themeColor="text1"/>
          <w:sz w:val="28"/>
          <w:szCs w:val="28"/>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第四部分</w:t>
      </w:r>
      <w:r>
        <w:rPr>
          <w:rFonts w:hint="eastAsia" w:ascii="黑体" w:hAnsi="黑体" w:eastAsia="黑体" w:cs="黑体"/>
          <w:b w:val="0"/>
          <w:bCs/>
          <w:color w:val="000000" w:themeColor="text1"/>
          <w:sz w:val="28"/>
          <w:szCs w:val="28"/>
          <w:lang w:val="en-US" w:eastAsia="zh-CN"/>
          <w14:textFill>
            <w14:solidFill>
              <w14:schemeClr w14:val="tx1"/>
            </w14:solidFill>
          </w14:textFill>
        </w:rPr>
        <w:t xml:space="preserve"> </w:t>
      </w:r>
      <w:r>
        <w:rPr>
          <w:rFonts w:hint="eastAsia" w:ascii="黑体" w:hAnsi="黑体" w:eastAsia="黑体" w:cs="黑体"/>
          <w:b w:val="0"/>
          <w:bCs/>
          <w:color w:val="000000" w:themeColor="text1"/>
          <w:sz w:val="28"/>
          <w:szCs w:val="28"/>
          <w14:textFill>
            <w14:solidFill>
              <w14:schemeClr w14:val="tx1"/>
            </w14:solidFill>
          </w14:textFill>
        </w:rPr>
        <w:t>名词解释</w:t>
      </w:r>
    </w:p>
    <w:p w14:paraId="128009C1">
      <w:pPr>
        <w:pStyle w:val="13"/>
        <w:spacing w:line="500" w:lineRule="exact"/>
        <w:rPr>
          <w:rFonts w:hint="eastAsia" w:ascii="黑体" w:hAnsi="黑体" w:eastAsia="黑体" w:cs="黑体"/>
          <w:b w:val="0"/>
          <w:bCs/>
          <w:color w:val="000000" w:themeColor="text1"/>
          <w:sz w:val="28"/>
          <w:szCs w:val="28"/>
          <w:lang w:eastAsia="zh-CN"/>
          <w14:textFill>
            <w14:solidFill>
              <w14:schemeClr w14:val="tx1"/>
            </w14:solidFill>
          </w14:textFill>
        </w:rPr>
      </w:pPr>
      <w:r>
        <w:rPr>
          <w:rFonts w:hint="eastAsia" w:ascii="黑体" w:hAnsi="黑体" w:eastAsia="黑体" w:cs="黑体"/>
          <w:b w:val="0"/>
          <w:bCs/>
          <w:color w:val="000000" w:themeColor="text1"/>
          <w:sz w:val="28"/>
          <w:szCs w:val="28"/>
          <w14:textFill>
            <w14:solidFill>
              <w14:schemeClr w14:val="tx1"/>
            </w14:solidFill>
          </w14:textFill>
        </w:rPr>
        <w:t>第</w:t>
      </w:r>
      <w:r>
        <w:rPr>
          <w:rFonts w:hint="eastAsia" w:hAnsi="黑体" w:cs="黑体"/>
          <w:b w:val="0"/>
          <w:bCs/>
          <w:color w:val="000000" w:themeColor="text1"/>
          <w:sz w:val="28"/>
          <w:szCs w:val="28"/>
          <w:lang w:eastAsia="zh-CN"/>
          <w14:textFill>
            <w14:solidFill>
              <w14:schemeClr w14:val="tx1"/>
            </w14:solidFill>
          </w14:textFill>
        </w:rPr>
        <w:t>五</w:t>
      </w:r>
      <w:r>
        <w:rPr>
          <w:rFonts w:hint="eastAsia" w:ascii="黑体" w:hAnsi="黑体" w:eastAsia="黑体" w:cs="黑体"/>
          <w:b w:val="0"/>
          <w:bCs/>
          <w:color w:val="000000" w:themeColor="text1"/>
          <w:sz w:val="28"/>
          <w:szCs w:val="28"/>
          <w14:textFill>
            <w14:solidFill>
              <w14:schemeClr w14:val="tx1"/>
            </w14:solidFill>
          </w14:textFill>
        </w:rPr>
        <w:t>部分</w:t>
      </w:r>
      <w:r>
        <w:rPr>
          <w:rFonts w:hint="eastAsia" w:ascii="黑体" w:hAnsi="黑体" w:eastAsia="黑体" w:cs="黑体"/>
          <w:b w:val="0"/>
          <w:bCs/>
          <w:color w:val="000000" w:themeColor="text1"/>
          <w:sz w:val="28"/>
          <w:szCs w:val="28"/>
          <w:lang w:val="en-US" w:eastAsia="zh-CN"/>
          <w14:textFill>
            <w14:solidFill>
              <w14:schemeClr w14:val="tx1"/>
            </w14:solidFill>
          </w14:textFill>
        </w:rPr>
        <w:t xml:space="preserve"> </w:t>
      </w:r>
      <w:r>
        <w:rPr>
          <w:rFonts w:hint="eastAsia" w:hAnsi="黑体" w:cs="黑体"/>
          <w:b w:val="0"/>
          <w:bCs/>
          <w:color w:val="000000" w:themeColor="text1"/>
          <w:sz w:val="28"/>
          <w:szCs w:val="28"/>
          <w:lang w:eastAsia="zh-CN"/>
          <w14:textFill>
            <w14:solidFill>
              <w14:schemeClr w14:val="tx1"/>
            </w14:solidFill>
          </w14:textFill>
        </w:rPr>
        <w:t>附件</w:t>
      </w:r>
    </w:p>
    <w:p w14:paraId="57D6F691">
      <w:pPr>
        <w:pStyle w:val="13"/>
        <w:jc w:val="center"/>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08B66B98">
      <w:pPr>
        <w:pStyle w:val="13"/>
        <w:jc w:val="center"/>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2E75969A">
      <w:pPr>
        <w:pStyle w:val="13"/>
        <w:jc w:val="center"/>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511A8254">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 xml:space="preserve">第一部分 </w:t>
      </w:r>
    </w:p>
    <w:p w14:paraId="02869EC9">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岳阳市动物疫病预防控制中心</w:t>
      </w:r>
    </w:p>
    <w:p w14:paraId="60A9282D">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概况</w:t>
      </w:r>
    </w:p>
    <w:p w14:paraId="1E1DEA95">
      <w:pPr>
        <w:pStyle w:val="8"/>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7AC8BCD3">
      <w:pPr>
        <w:pStyle w:val="4"/>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0A50F39F">
      <w:pPr>
        <w:pStyle w:val="4"/>
        <w:ind w:left="0" w:leftChars="0" w:firstLine="0" w:firstLineChars="0"/>
        <w:rPr>
          <w:rFonts w:hint="eastAsia" w:ascii="方正小标宋_GBK" w:hAnsi="方正小标宋_GBK" w:eastAsia="方正小标宋_GBK" w:cs="方正小标宋_GBK"/>
          <w:color w:val="000000" w:themeColor="text1"/>
          <w:sz w:val="32"/>
          <w:szCs w:val="32"/>
          <w14:textFill>
            <w14:solidFill>
              <w14:schemeClr w14:val="tx1"/>
            </w14:solidFill>
          </w14:textFill>
        </w:rPr>
      </w:pPr>
    </w:p>
    <w:p w14:paraId="6553E13A">
      <w:pPr>
        <w:rPr>
          <w:rFonts w:hint="eastAsia"/>
          <w:color w:val="000000" w:themeColor="text1"/>
          <w14:textFill>
            <w14:solidFill>
              <w14:schemeClr w14:val="tx1"/>
            </w14:solidFill>
          </w14:textFill>
        </w:rPr>
      </w:pPr>
    </w:p>
    <w:p w14:paraId="3E3CC83B">
      <w:pPr>
        <w:rPr>
          <w:rFonts w:hint="eastAsia" w:ascii="方正小标宋_GBK" w:hAnsi="方正小标宋_GBK" w:eastAsia="方正小标宋_GBK" w:cs="方正小标宋_GBK"/>
          <w:color w:val="000000" w:themeColor="text1"/>
          <w:sz w:val="32"/>
          <w:szCs w:val="32"/>
          <w14:textFill>
            <w14:solidFill>
              <w14:schemeClr w14:val="tx1"/>
            </w14:solidFill>
          </w14:textFill>
        </w:rPr>
      </w:pPr>
    </w:p>
    <w:p w14:paraId="7663DCAA">
      <w:pPr>
        <w:pStyle w:val="2"/>
        <w:rPr>
          <w:rFonts w:hint="eastAsia"/>
          <w:color w:val="000000" w:themeColor="text1"/>
          <w14:textFill>
            <w14:solidFill>
              <w14:schemeClr w14:val="tx1"/>
            </w14:solidFill>
          </w14:textFill>
        </w:rPr>
      </w:pPr>
    </w:p>
    <w:p w14:paraId="66BFDF9F">
      <w:pPr>
        <w:pStyle w:val="2"/>
        <w:jc w:val="both"/>
        <w:rPr>
          <w:rFonts w:hint="eastAsia"/>
          <w:color w:val="000000" w:themeColor="text1"/>
          <w14:textFill>
            <w14:solidFill>
              <w14:schemeClr w14:val="tx1"/>
            </w14:solidFill>
          </w14:textFill>
        </w:rPr>
      </w:pPr>
    </w:p>
    <w:p w14:paraId="5700130B">
      <w:pPr>
        <w:rPr>
          <w:rFonts w:hint="eastAsia"/>
          <w:color w:val="000000" w:themeColor="text1"/>
          <w14:textFill>
            <w14:solidFill>
              <w14:schemeClr w14:val="tx1"/>
            </w14:solidFill>
          </w14:textFill>
        </w:rPr>
      </w:pPr>
    </w:p>
    <w:p w14:paraId="53EBAE63">
      <w:pPr>
        <w:pStyle w:val="14"/>
        <w:numPr>
          <w:ilvl w:val="0"/>
          <w:numId w:val="0"/>
        </w:numPr>
        <w:ind w:leftChars="0" w:firstLine="640" w:firstLineChars="200"/>
        <w:jc w:val="left"/>
        <w:rPr>
          <w:rFonts w:hint="eastAsia" w:ascii="黑体" w:hAnsi="黑体" w:eastAsia="黑体" w:cs="黑体"/>
          <w:b w:val="0"/>
          <w:bCs w:val="0"/>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z w:val="32"/>
          <w:szCs w:val="32"/>
          <w:lang w:eastAsia="zh-CN"/>
          <w14:textFill>
            <w14:solidFill>
              <w14:schemeClr w14:val="tx1"/>
            </w14:solidFill>
          </w14:textFill>
        </w:rPr>
        <w:t>一、</w:t>
      </w:r>
      <w:r>
        <w:rPr>
          <w:rFonts w:hint="eastAsia" w:ascii="黑体" w:hAnsi="黑体" w:eastAsia="黑体" w:cs="黑体"/>
          <w:b w:val="0"/>
          <w:bCs w:val="0"/>
          <w:color w:val="000000" w:themeColor="text1"/>
          <w:sz w:val="32"/>
          <w:szCs w:val="32"/>
          <w14:textFill>
            <w14:solidFill>
              <w14:schemeClr w14:val="tx1"/>
            </w14:solidFill>
          </w14:textFill>
        </w:rPr>
        <w:t>部门职责</w:t>
      </w:r>
    </w:p>
    <w:p w14:paraId="5D11B69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岳阳市动物疫病预防控制中心（加挂“岳阳市动物血吸虫病防治工作站”牌子），为正科级公益一类事业单位，隶属岳阳市农业农村局。</w:t>
      </w:r>
    </w:p>
    <w:p w14:paraId="79042D9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主要工作职责：</w:t>
      </w:r>
    </w:p>
    <w:p w14:paraId="76E5B6A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1、参与制订全市动物防疫工作、计划和动物强制免疫方案等，并协助组织实施。</w:t>
      </w:r>
    </w:p>
    <w:p w14:paraId="4BF7F3D5">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2、承担动物疫病的监测、检测、诊断、流行病学调查、疫情报告及其他预防、控制等技术工作；按照国务院农业农村主管部门的规定和动物疫病监测计划，对动物疫病的发生、流行等情况进行监测，收集、分析、报告监测信息，预测动物疫病发生、流行趋势。</w:t>
      </w:r>
    </w:p>
    <w:p w14:paraId="133AF424">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3、承担动物疫病净化、消灭的技术工作；按照动物疫病净化、消灭的规划和计划、开展动物疫病净化技术指导、培训，对动物疫病净化效果进行监测、评估。</w:t>
      </w:r>
    </w:p>
    <w:p w14:paraId="28ADF5FF">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4、对强制免疫计划实施情况和效果进行评估，并公布评估结果。</w:t>
      </w:r>
    </w:p>
    <w:p w14:paraId="473C885D">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5、承担对家畜血吸虫病监测、筛查、预测、流行病学调查、疫情报告和处理工作的技术支撑工作。</w:t>
      </w:r>
    </w:p>
    <w:p w14:paraId="24D7E85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s="仿宋_GB2312"/>
          <w:color w:val="000000" w:themeColor="text1"/>
          <w:sz w:val="32"/>
          <w:szCs w:val="32"/>
          <w14:textFill>
            <w14:solidFill>
              <w14:schemeClr w14:val="tx1"/>
            </w14:solidFill>
          </w14:textFill>
        </w:rPr>
        <w:t>6、完成市农业农村局交办的其他任务。</w:t>
      </w:r>
    </w:p>
    <w:p w14:paraId="07143EF3">
      <w:pPr>
        <w:widowControl/>
        <w:spacing w:line="600" w:lineRule="exact"/>
        <w:ind w:firstLine="640" w:firstLineChars="200"/>
        <w:rPr>
          <w:rFonts w:hint="eastAsia" w:ascii="黑体" w:hAnsi="黑体" w:eastAsia="黑体" w:cs="黑体"/>
          <w:b w:val="0"/>
          <w:bCs/>
          <w:color w:val="000000" w:themeColor="text1"/>
          <w:kern w:val="0"/>
          <w:sz w:val="32"/>
          <w:szCs w:val="32"/>
          <w14:textFill>
            <w14:solidFill>
              <w14:schemeClr w14:val="tx1"/>
            </w14:solidFill>
          </w14:textFill>
        </w:rPr>
      </w:pPr>
      <w:r>
        <w:rPr>
          <w:rFonts w:hint="eastAsia" w:ascii="黑体" w:hAnsi="黑体" w:eastAsia="黑体" w:cs="黑体"/>
          <w:b w:val="0"/>
          <w:bCs/>
          <w:color w:val="000000" w:themeColor="text1"/>
          <w:kern w:val="0"/>
          <w:sz w:val="32"/>
          <w:szCs w:val="32"/>
          <w:lang w:eastAsia="zh-CN"/>
          <w14:textFill>
            <w14:solidFill>
              <w14:schemeClr w14:val="tx1"/>
            </w14:solidFill>
          </w14:textFill>
        </w:rPr>
        <w:t>二、</w:t>
      </w:r>
      <w:r>
        <w:rPr>
          <w:rFonts w:hint="eastAsia" w:ascii="黑体" w:hAnsi="黑体" w:eastAsia="黑体" w:cs="黑体"/>
          <w:b w:val="0"/>
          <w:bCs/>
          <w:color w:val="000000" w:themeColor="text1"/>
          <w:kern w:val="0"/>
          <w:sz w:val="32"/>
          <w:szCs w:val="32"/>
          <w14:textFill>
            <w14:solidFill>
              <w14:schemeClr w14:val="tx1"/>
            </w14:solidFill>
          </w14:textFill>
        </w:rPr>
        <w:t>机构设置及决算单位构成</w:t>
      </w:r>
    </w:p>
    <w:p w14:paraId="0926BCD6">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color w:val="000000" w:themeColor="text1"/>
          <w:kern w:val="0"/>
          <w:sz w:val="32"/>
          <w:szCs w:val="32"/>
          <w14:textFill>
            <w14:solidFill>
              <w14:schemeClr w14:val="tx1"/>
            </w14:solidFill>
          </w14:textFill>
        </w:rPr>
      </w:pPr>
      <w:r>
        <w:rPr>
          <w:rFonts w:hint="eastAsia" w:ascii="Times New Roman" w:hAnsi="Times New Roman" w:eastAsia="仿宋_GB2312" w:cs="仿宋_GB2312"/>
          <w:bCs/>
          <w:color w:val="000000" w:themeColor="text1"/>
          <w:kern w:val="0"/>
          <w:sz w:val="32"/>
          <w:szCs w:val="32"/>
          <w14:textFill>
            <w14:solidFill>
              <w14:schemeClr w14:val="tx1"/>
            </w14:solidFill>
          </w14:textFill>
        </w:rPr>
        <w:t>（一）内设机构设置。岳阳市动物疫病预防控制中心内设3个职能股室：综合办公室、血清学检测室、病原学检测室。</w:t>
      </w:r>
    </w:p>
    <w:p w14:paraId="149AB44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color w:val="000000" w:themeColor="text1"/>
          <w14:textFill>
            <w14:solidFill>
              <w14:schemeClr w14:val="tx1"/>
            </w14:solidFill>
          </w14:textFill>
        </w:rPr>
      </w:pPr>
      <w:r>
        <w:rPr>
          <w:rFonts w:hint="eastAsia" w:ascii="Times New Roman" w:hAnsi="Times New Roman" w:eastAsia="仿宋_GB2312" w:cs="仿宋_GB2312"/>
          <w:bCs/>
          <w:color w:val="000000" w:themeColor="text1"/>
          <w:kern w:val="0"/>
          <w:sz w:val="32"/>
          <w:szCs w:val="32"/>
          <w14:textFill>
            <w14:solidFill>
              <w14:schemeClr w14:val="tx1"/>
            </w14:solidFill>
          </w14:textFill>
        </w:rPr>
        <w:t>（二）决算单位构成。</w:t>
      </w:r>
      <w:r>
        <w:rPr>
          <w:rFonts w:hint="eastAsia" w:ascii="Times New Roman" w:hAnsi="Times New Roman" w:eastAsia="仿宋_GB2312" w:cs="仿宋_GB2312"/>
          <w:bCs/>
          <w:color w:val="000000" w:themeColor="text1"/>
          <w:kern w:val="0"/>
          <w:sz w:val="32"/>
          <w:szCs w:val="32"/>
          <w:lang w:eastAsia="zh-CN"/>
          <w14:textFill>
            <w14:solidFill>
              <w14:schemeClr w14:val="tx1"/>
            </w14:solidFill>
          </w14:textFill>
        </w:rPr>
        <w:t>本单位无独立核算的下属单位，</w:t>
      </w:r>
      <w:r>
        <w:rPr>
          <w:rFonts w:hint="eastAsia" w:ascii="Times New Roman" w:hAnsi="Times New Roman" w:eastAsia="仿宋_GB2312" w:cs="仿宋_GB2312"/>
          <w:bCs/>
          <w:color w:val="000000" w:themeColor="text1"/>
          <w:kern w:val="0"/>
          <w:sz w:val="32"/>
          <w:szCs w:val="32"/>
          <w:lang w:val="en-US" w:eastAsia="zh-CN"/>
          <w14:textFill>
            <w14:solidFill>
              <w14:schemeClr w14:val="tx1"/>
            </w14:solidFill>
          </w14:textFill>
        </w:rPr>
        <w:t>2023年度部门决算汇总公开单位仅包括岳阳市动物疫病预防控制中心本级</w:t>
      </w:r>
      <w:r>
        <w:rPr>
          <w:rFonts w:hint="eastAsia" w:ascii="Times New Roman" w:hAnsi="Times New Roman" w:eastAsia="仿宋_GB2312" w:cs="仿宋_GB2312"/>
          <w:bCs/>
          <w:color w:val="000000" w:themeColor="text1"/>
          <w:kern w:val="0"/>
          <w:sz w:val="32"/>
          <w:szCs w:val="32"/>
          <w:lang w:eastAsia="zh-CN"/>
          <w14:textFill>
            <w14:solidFill>
              <w14:schemeClr w14:val="tx1"/>
            </w14:solidFill>
          </w14:textFill>
        </w:rPr>
        <w:t>。</w:t>
      </w:r>
    </w:p>
    <w:p w14:paraId="2DF3CB83">
      <w:pPr>
        <w:rPr>
          <w:color w:val="000000" w:themeColor="text1"/>
          <w14:textFill>
            <w14:solidFill>
              <w14:schemeClr w14:val="tx1"/>
            </w14:solidFill>
          </w14:textFill>
        </w:rPr>
      </w:pPr>
    </w:p>
    <w:p w14:paraId="02C78D6C">
      <w:pPr>
        <w:pStyle w:val="8"/>
        <w:rPr>
          <w:color w:val="000000" w:themeColor="text1"/>
          <w14:textFill>
            <w14:solidFill>
              <w14:schemeClr w14:val="tx1"/>
            </w14:solidFill>
          </w14:textFill>
        </w:rPr>
      </w:pPr>
    </w:p>
    <w:p w14:paraId="4729A758">
      <w:pPr>
        <w:pStyle w:val="4"/>
        <w:rPr>
          <w:color w:val="000000" w:themeColor="text1"/>
          <w14:textFill>
            <w14:solidFill>
              <w14:schemeClr w14:val="tx1"/>
            </w14:solidFill>
          </w14:textFill>
        </w:rPr>
      </w:pPr>
    </w:p>
    <w:p w14:paraId="58C2ECE3">
      <w:pPr>
        <w:rPr>
          <w:color w:val="000000" w:themeColor="text1"/>
          <w14:textFill>
            <w14:solidFill>
              <w14:schemeClr w14:val="tx1"/>
            </w14:solidFill>
          </w14:textFill>
        </w:rPr>
      </w:pPr>
    </w:p>
    <w:p w14:paraId="2308D481">
      <w:pPr>
        <w:pStyle w:val="13"/>
        <w:jc w:val="center"/>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07E949C3">
      <w:pPr>
        <w:pStyle w:val="13"/>
        <w:jc w:val="center"/>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42AD7C44">
      <w:pPr>
        <w:pStyle w:val="13"/>
        <w:jc w:val="center"/>
        <w:rPr>
          <w:rFonts w:hint="eastAsia" w:ascii="方正小标宋_GBK" w:hAnsi="方正小标宋_GBK" w:eastAsia="方正小标宋_GBK" w:cs="方正小标宋_GBK"/>
          <w:color w:val="000000" w:themeColor="text1"/>
          <w:sz w:val="84"/>
          <w:szCs w:val="84"/>
          <w14:textFill>
            <w14:solidFill>
              <w14:schemeClr w14:val="tx1"/>
            </w14:solidFill>
          </w14:textFill>
        </w:rPr>
      </w:pPr>
    </w:p>
    <w:p w14:paraId="315DC006">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第二部分</w:t>
      </w:r>
    </w:p>
    <w:p w14:paraId="489D0750">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部门决算表</w:t>
      </w:r>
    </w:p>
    <w:p w14:paraId="14A921AC">
      <w:pPr>
        <w:pStyle w:val="13"/>
        <w:jc w:val="center"/>
        <w:rPr>
          <w:rFonts w:hint="eastAsia" w:ascii="方正小标宋_GBK" w:hAnsi="方正小标宋_GBK" w:eastAsia="方正小标宋_GBK" w:cs="方正小标宋_GBK"/>
          <w:color w:val="000000" w:themeColor="text1"/>
          <w:sz w:val="72"/>
          <w:szCs w:val="72"/>
          <w:lang w:eastAsia="zh-CN"/>
          <w14:textFill>
            <w14:solidFill>
              <w14:schemeClr w14:val="tx1"/>
            </w14:solidFill>
          </w14:textFill>
        </w:rPr>
      </w:pPr>
      <w:r>
        <w:rPr>
          <w:rFonts w:hint="eastAsia" w:ascii="方正小标宋_GBK" w:hAnsi="方正小标宋_GBK" w:eastAsia="方正小标宋_GBK" w:cs="方正小标宋_GBK"/>
          <w:color w:val="000000" w:themeColor="text1"/>
          <w:sz w:val="72"/>
          <w:szCs w:val="72"/>
          <w:lang w:eastAsia="zh-CN"/>
          <w14:textFill>
            <w14:solidFill>
              <w14:schemeClr w14:val="tx1"/>
            </w14:solidFill>
          </w14:textFill>
        </w:rPr>
        <w:t>（见附件）</w:t>
      </w:r>
    </w:p>
    <w:p w14:paraId="502191D1">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5BAFB771">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03EFA6F2">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0A9739BE">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21F2EB51">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1BCB15AF">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30BD76DE">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67B295DB">
      <w:pPr>
        <w:pStyle w:val="13"/>
        <w:jc w:val="center"/>
        <w:rPr>
          <w:rFonts w:hint="eastAsia" w:ascii="仿宋_GB2312" w:hAnsi="仿宋_GB2312" w:eastAsia="仿宋_GB2312" w:cs="仿宋_GB2312"/>
          <w:b w:val="0"/>
          <w:bCs w:val="0"/>
          <w:color w:val="000000" w:themeColor="text1"/>
          <w:sz w:val="72"/>
          <w:szCs w:val="72"/>
          <w:lang w:eastAsia="zh-CN"/>
          <w14:textFill>
            <w14:solidFill>
              <w14:schemeClr w14:val="tx1"/>
            </w14:solidFill>
          </w14:textFill>
        </w:rPr>
      </w:pPr>
    </w:p>
    <w:p w14:paraId="2A64C8D2">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p>
    <w:p w14:paraId="5ACCF794">
      <w:pPr>
        <w:pStyle w:val="13"/>
        <w:jc w:val="both"/>
        <w:rPr>
          <w:rFonts w:hint="eastAsia" w:ascii="方正小标宋_GBK" w:hAnsi="方正小标宋_GBK" w:eastAsia="方正小标宋_GBK" w:cs="方正小标宋_GBK"/>
          <w:color w:val="000000" w:themeColor="text1"/>
          <w:sz w:val="72"/>
          <w:szCs w:val="72"/>
          <w14:textFill>
            <w14:solidFill>
              <w14:schemeClr w14:val="tx1"/>
            </w14:solidFill>
          </w14:textFill>
        </w:rPr>
      </w:pPr>
    </w:p>
    <w:p w14:paraId="5BE030D0">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第三部分</w:t>
      </w:r>
    </w:p>
    <w:p w14:paraId="2F910693">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202</w:t>
      </w:r>
      <w:r>
        <w:rPr>
          <w:rFonts w:hint="eastAsia" w:ascii="方正小标宋_GBK" w:hAnsi="方正小标宋_GBK" w:eastAsia="方正小标宋_GBK" w:cs="方正小标宋_GBK"/>
          <w:color w:val="000000" w:themeColor="text1"/>
          <w:sz w:val="72"/>
          <w:szCs w:val="72"/>
          <w:lang w:val="en-US" w:eastAsia="zh-CN"/>
          <w14:textFill>
            <w14:solidFill>
              <w14:schemeClr w14:val="tx1"/>
            </w14:solidFill>
          </w14:textFill>
        </w:rPr>
        <w:t>3</w:t>
      </w:r>
      <w:r>
        <w:rPr>
          <w:rFonts w:hint="eastAsia" w:ascii="方正小标宋_GBK" w:hAnsi="方正小标宋_GBK" w:eastAsia="方正小标宋_GBK" w:cs="方正小标宋_GBK"/>
          <w:color w:val="000000" w:themeColor="text1"/>
          <w:sz w:val="72"/>
          <w:szCs w:val="72"/>
          <w14:textFill>
            <w14:solidFill>
              <w14:schemeClr w14:val="tx1"/>
            </w14:solidFill>
          </w14:textFill>
        </w:rPr>
        <w:t>年度部门决算情况说明</w:t>
      </w:r>
    </w:p>
    <w:p w14:paraId="0FADE52C">
      <w:pPr>
        <w:pStyle w:val="13"/>
        <w:jc w:val="center"/>
        <w:rPr>
          <w:rFonts w:hint="eastAsia" w:ascii="方正小标宋_GBK" w:hAnsi="方正小标宋_GBK" w:eastAsia="方正小标宋_GBK" w:cs="方正小标宋_GBK"/>
          <w:color w:val="000000" w:themeColor="text1"/>
          <w:sz w:val="70"/>
          <w:szCs w:val="70"/>
          <w14:textFill>
            <w14:solidFill>
              <w14:schemeClr w14:val="tx1"/>
            </w14:solidFill>
          </w14:textFill>
        </w:rPr>
      </w:pPr>
    </w:p>
    <w:p w14:paraId="44C7D4DB">
      <w:pPr>
        <w:pStyle w:val="13"/>
        <w:jc w:val="center"/>
        <w:rPr>
          <w:rFonts w:hint="eastAsia" w:ascii="方正小标宋_GBK" w:hAnsi="方正小标宋_GBK" w:eastAsia="方正小标宋_GBK" w:cs="方正小标宋_GBK"/>
          <w:color w:val="000000" w:themeColor="text1"/>
          <w:sz w:val="70"/>
          <w:szCs w:val="70"/>
          <w14:textFill>
            <w14:solidFill>
              <w14:schemeClr w14:val="tx1"/>
            </w14:solidFill>
          </w14:textFill>
        </w:rPr>
      </w:pPr>
    </w:p>
    <w:p w14:paraId="2E9F9141">
      <w:pPr>
        <w:pStyle w:val="13"/>
        <w:jc w:val="center"/>
        <w:rPr>
          <w:rFonts w:hint="eastAsia" w:ascii="方正小标宋_GBK" w:hAnsi="方正小标宋_GBK" w:eastAsia="方正小标宋_GBK" w:cs="方正小标宋_GBK"/>
          <w:color w:val="000000" w:themeColor="text1"/>
          <w:sz w:val="70"/>
          <w:szCs w:val="70"/>
          <w14:textFill>
            <w14:solidFill>
              <w14:schemeClr w14:val="tx1"/>
            </w14:solidFill>
          </w14:textFill>
        </w:rPr>
      </w:pPr>
    </w:p>
    <w:p w14:paraId="5065E451">
      <w:pPr>
        <w:pStyle w:val="13"/>
        <w:jc w:val="center"/>
        <w:rPr>
          <w:rFonts w:hint="eastAsia" w:ascii="方正小标宋_GBK" w:hAnsi="方正小标宋_GBK" w:eastAsia="方正小标宋_GBK" w:cs="方正小标宋_GBK"/>
          <w:color w:val="000000" w:themeColor="text1"/>
          <w:sz w:val="70"/>
          <w:szCs w:val="70"/>
          <w14:textFill>
            <w14:solidFill>
              <w14:schemeClr w14:val="tx1"/>
            </w14:solidFill>
          </w14:textFill>
        </w:rPr>
      </w:pPr>
    </w:p>
    <w:p w14:paraId="62CD288D">
      <w:pPr>
        <w:pStyle w:val="13"/>
        <w:jc w:val="both"/>
        <w:rPr>
          <w:rFonts w:hint="eastAsia" w:ascii="方正小标宋_GBK" w:hAnsi="方正小标宋_GBK" w:eastAsia="方正小标宋_GBK" w:cs="方正小标宋_GBK"/>
          <w:color w:val="000000" w:themeColor="text1"/>
          <w:sz w:val="70"/>
          <w:szCs w:val="70"/>
          <w14:textFill>
            <w14:solidFill>
              <w14:schemeClr w14:val="tx1"/>
            </w14:solidFill>
          </w14:textFill>
        </w:rPr>
      </w:pPr>
    </w:p>
    <w:p w14:paraId="21753C21">
      <w:pPr>
        <w:widowControl/>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说明：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由于</w:t>
      </w:r>
      <w:r>
        <w:rPr>
          <w:rFonts w:hint="eastAsia" w:ascii="仿宋_GB2312" w:hAnsi="仿宋_GB2312" w:eastAsia="仿宋_GB2312" w:cs="仿宋_GB2312"/>
          <w:color w:val="000000" w:themeColor="text1"/>
          <w:sz w:val="32"/>
          <w:szCs w:val="32"/>
          <w:lang w:eastAsia="zh-CN"/>
          <w14:textFill>
            <w14:solidFill>
              <w14:schemeClr w14:val="tx1"/>
            </w14:solidFill>
          </w14:textFill>
        </w:rPr>
        <w:t>部门</w:t>
      </w:r>
      <w:r>
        <w:rPr>
          <w:rFonts w:hint="eastAsia" w:ascii="仿宋_GB2312" w:hAnsi="仿宋_GB2312" w:eastAsia="仿宋_GB2312" w:cs="仿宋_GB2312"/>
          <w:color w:val="000000" w:themeColor="text1"/>
          <w:sz w:val="32"/>
          <w:szCs w:val="32"/>
          <w14:textFill>
            <w14:solidFill>
              <w14:schemeClr w14:val="tx1"/>
            </w14:solidFill>
          </w14:textFill>
        </w:rPr>
        <w:t>决算编制时</w:t>
      </w:r>
      <w:r>
        <w:rPr>
          <w:rFonts w:hint="eastAsia" w:ascii="仿宋_GB2312" w:hAnsi="仿宋_GB2312" w:eastAsia="仿宋_GB2312" w:cs="仿宋_GB2312"/>
          <w:color w:val="000000" w:themeColor="text1"/>
          <w:sz w:val="32"/>
          <w:szCs w:val="32"/>
          <w:lang w:eastAsia="zh-CN"/>
          <w14:textFill>
            <w14:solidFill>
              <w14:schemeClr w14:val="tx1"/>
            </w14:solidFill>
          </w14:textFill>
        </w:rPr>
        <w:t>数据</w:t>
      </w:r>
      <w:r>
        <w:rPr>
          <w:rFonts w:hint="eastAsia" w:ascii="仿宋_GB2312" w:hAnsi="仿宋_GB2312" w:eastAsia="仿宋_GB2312" w:cs="仿宋_GB2312"/>
          <w:color w:val="000000" w:themeColor="text1"/>
          <w:sz w:val="32"/>
          <w:szCs w:val="32"/>
          <w14:textFill>
            <w14:solidFill>
              <w14:schemeClr w14:val="tx1"/>
            </w14:solidFill>
          </w14:textFill>
        </w:rPr>
        <w:t>明细</w:t>
      </w:r>
      <w:r>
        <w:rPr>
          <w:rFonts w:hint="eastAsia" w:ascii="仿宋_GB2312" w:hAnsi="仿宋_GB2312" w:eastAsia="仿宋_GB2312" w:cs="仿宋_GB2312"/>
          <w:color w:val="000000" w:themeColor="text1"/>
          <w:sz w:val="32"/>
          <w:szCs w:val="32"/>
          <w:lang w:eastAsia="zh-CN"/>
          <w14:textFill>
            <w14:solidFill>
              <w14:schemeClr w14:val="tx1"/>
            </w14:solidFill>
          </w14:textFill>
        </w:rPr>
        <w:t>至“金额单位：元</w:t>
      </w:r>
      <w:r>
        <w:rPr>
          <w:rFonts w:hint="eastAsia" w:ascii="仿宋_GB2312" w:hAnsi="仿宋_GB2312" w:eastAsia="仿宋_GB2312" w:cs="仿宋_GB2312"/>
          <w:color w:val="000000" w:themeColor="text1"/>
          <w:sz w:val="32"/>
          <w:szCs w:val="32"/>
          <w14:textFill>
            <w14:solidFill>
              <w14:schemeClr w14:val="tx1"/>
            </w14:solidFill>
          </w14:textFill>
        </w:rPr>
        <w:t>”，而</w:t>
      </w:r>
      <w:r>
        <w:rPr>
          <w:rFonts w:hint="eastAsia" w:ascii="仿宋_GB2312" w:hAnsi="仿宋_GB2312" w:eastAsia="仿宋_GB2312" w:cs="仿宋_GB2312"/>
          <w:color w:val="000000" w:themeColor="text1"/>
          <w:sz w:val="32"/>
          <w:szCs w:val="32"/>
          <w:lang w:eastAsia="zh-CN"/>
          <w14:textFill>
            <w14:solidFill>
              <w14:schemeClr w14:val="tx1"/>
            </w14:solidFill>
          </w14:textFill>
        </w:rPr>
        <w:t>本套部门决算文字说明</w:t>
      </w:r>
      <w:r>
        <w:rPr>
          <w:rFonts w:hint="eastAsia" w:ascii="仿宋_GB2312" w:hAnsi="仿宋_GB2312" w:eastAsia="仿宋_GB2312" w:cs="仿宋_GB2312"/>
          <w:color w:val="000000" w:themeColor="text1"/>
          <w:sz w:val="32"/>
          <w:szCs w:val="32"/>
          <w14:textFill>
            <w14:solidFill>
              <w14:schemeClr w14:val="tx1"/>
            </w14:solidFill>
          </w14:textFill>
        </w:rPr>
        <w:t>和公开表格</w:t>
      </w:r>
      <w:r>
        <w:rPr>
          <w:rFonts w:hint="eastAsia" w:ascii="仿宋_GB2312" w:hAnsi="仿宋_GB2312" w:eastAsia="仿宋_GB2312" w:cs="仿宋_GB2312"/>
          <w:color w:val="000000" w:themeColor="text1"/>
          <w:sz w:val="32"/>
          <w:szCs w:val="32"/>
          <w:lang w:eastAsia="zh-CN"/>
          <w14:textFill>
            <w14:solidFill>
              <w14:schemeClr w14:val="tx1"/>
            </w14:solidFill>
          </w14:textFill>
        </w:rPr>
        <w:t>数据</w:t>
      </w:r>
      <w:r>
        <w:rPr>
          <w:rFonts w:hint="eastAsia" w:ascii="仿宋_GB2312" w:hAnsi="仿宋_GB2312" w:eastAsia="仿宋_GB2312" w:cs="仿宋_GB2312"/>
          <w:color w:val="000000" w:themeColor="text1"/>
          <w:sz w:val="32"/>
          <w:szCs w:val="32"/>
          <w14:textFill>
            <w14:solidFill>
              <w14:schemeClr w14:val="tx1"/>
            </w14:solidFill>
          </w14:textFill>
        </w:rPr>
        <w:t>取数</w:t>
      </w:r>
      <w:r>
        <w:rPr>
          <w:rFonts w:hint="eastAsia" w:ascii="仿宋_GB2312" w:hAnsi="仿宋_GB2312" w:eastAsia="仿宋_GB2312" w:cs="仿宋_GB2312"/>
          <w:color w:val="000000" w:themeColor="text1"/>
          <w:sz w:val="32"/>
          <w:szCs w:val="32"/>
          <w:lang w:eastAsia="zh-CN"/>
          <w14:textFill>
            <w14:solidFill>
              <w14:schemeClr w14:val="tx1"/>
            </w14:solidFill>
          </w14:textFill>
        </w:rPr>
        <w:t>转换为</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金额单位：</w:t>
      </w:r>
      <w:r>
        <w:rPr>
          <w:rFonts w:hint="eastAsia" w:ascii="仿宋_GB2312" w:hAnsi="仿宋_GB2312" w:eastAsia="仿宋_GB2312" w:cs="仿宋_GB2312"/>
          <w:color w:val="000000" w:themeColor="text1"/>
          <w:sz w:val="32"/>
          <w:szCs w:val="32"/>
          <w14:textFill>
            <w14:solidFill>
              <w14:schemeClr w14:val="tx1"/>
            </w14:solidFill>
          </w14:textFill>
        </w:rPr>
        <w:t>万元”，可能导致</w:t>
      </w:r>
      <w:r>
        <w:rPr>
          <w:rFonts w:hint="eastAsia" w:ascii="仿宋_GB2312" w:hAnsi="仿宋_GB2312" w:eastAsia="仿宋_GB2312" w:cs="仿宋_GB2312"/>
          <w:color w:val="000000" w:themeColor="text1"/>
          <w:sz w:val="32"/>
          <w:szCs w:val="32"/>
          <w:lang w:eastAsia="zh-CN"/>
          <w14:textFill>
            <w14:solidFill>
              <w14:schemeClr w14:val="tx1"/>
            </w14:solidFill>
          </w14:textFill>
        </w:rPr>
        <w:t>以下文字说明中的各项数据取数以及公开</w:t>
      </w:r>
      <w:r>
        <w:rPr>
          <w:rFonts w:hint="eastAsia" w:ascii="仿宋_GB2312" w:hAnsi="仿宋_GB2312" w:eastAsia="仿宋_GB2312" w:cs="仿宋_GB2312"/>
          <w:color w:val="000000" w:themeColor="text1"/>
          <w:sz w:val="32"/>
          <w:szCs w:val="32"/>
          <w14:textFill>
            <w14:solidFill>
              <w14:schemeClr w14:val="tx1"/>
            </w14:solidFill>
          </w14:textFill>
        </w:rPr>
        <w:t>表格</w:t>
      </w:r>
      <w:r>
        <w:rPr>
          <w:rFonts w:hint="eastAsia" w:ascii="仿宋_GB2312" w:hAnsi="仿宋_GB2312" w:eastAsia="仿宋_GB2312" w:cs="仿宋_GB2312"/>
          <w:color w:val="000000" w:themeColor="text1"/>
          <w:sz w:val="32"/>
          <w:szCs w:val="32"/>
          <w:lang w:eastAsia="zh-CN"/>
          <w14:textFill>
            <w14:solidFill>
              <w14:schemeClr w14:val="tx1"/>
            </w14:solidFill>
          </w14:textFill>
        </w:rPr>
        <w:t>中的各项数据取数之间存在</w:t>
      </w:r>
      <w:r>
        <w:rPr>
          <w:rFonts w:hint="eastAsia" w:ascii="仿宋_GB2312" w:hAnsi="仿宋_GB2312" w:eastAsia="仿宋_GB2312" w:cs="仿宋_GB2312"/>
          <w:color w:val="000000" w:themeColor="text1"/>
          <w:sz w:val="32"/>
          <w:szCs w:val="32"/>
          <w14:textFill>
            <w14:solidFill>
              <w14:schemeClr w14:val="tx1"/>
            </w14:solidFill>
          </w14:textFill>
        </w:rPr>
        <w:t>0.01的尾数差异。</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2、以下文字说明中，部分科目由于预算数为0，无法计算完成年初预算的百分比，故未描述“</w:t>
      </w:r>
      <w:r>
        <w:rPr>
          <w:rFonts w:hint="eastAsia" w:ascii="仿宋_GB2312" w:hAnsi="仿宋_GB2312" w:eastAsia="仿宋_GB2312" w:cs="仿宋_GB2312"/>
          <w:color w:val="000000" w:themeColor="text1"/>
          <w:sz w:val="32"/>
          <w:szCs w:val="32"/>
          <w14:textFill>
            <w14:solidFill>
              <w14:schemeClr w14:val="tx1"/>
            </w14:solidFill>
          </w14:textFill>
        </w:rPr>
        <w:t>完成年初预算的XX%</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w:t>
      </w:r>
    </w:p>
    <w:p w14:paraId="2482E084">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一、收入支出决算总体情况说明</w:t>
      </w:r>
    </w:p>
    <w:p w14:paraId="54B137D4">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年度收、支总计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463.16</w:t>
      </w:r>
      <w:r>
        <w:rPr>
          <w:rFonts w:hint="eastAsia" w:ascii="仿宋_GB2312" w:hAnsi="仿宋_GB2312" w:eastAsia="仿宋_GB2312" w:cs="仿宋_GB2312"/>
          <w:color w:val="000000" w:themeColor="text1"/>
          <w:sz w:val="32"/>
          <w:szCs w:val="32"/>
          <w14:textFill>
            <w14:solidFill>
              <w14:schemeClr w14:val="tx1"/>
            </w14:solidFill>
          </w14:textFill>
        </w:rPr>
        <w:t>万元。与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2022年355.68万元</w:t>
      </w:r>
      <w:r>
        <w:rPr>
          <w:rFonts w:hint="eastAsia" w:ascii="仿宋_GB2312" w:hAnsi="仿宋_GB2312" w:eastAsia="仿宋_GB2312" w:cs="仿宋_GB2312"/>
          <w:color w:val="000000" w:themeColor="text1"/>
          <w:sz w:val="32"/>
          <w:szCs w:val="32"/>
          <w14:textFill>
            <w14:solidFill>
              <w14:schemeClr w14:val="tx1"/>
            </w14:solidFill>
          </w14:textFill>
        </w:rPr>
        <w:t>相比，增加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107.48</w:t>
      </w:r>
      <w:r>
        <w:rPr>
          <w:rFonts w:hint="eastAsia" w:ascii="仿宋_GB2312" w:hAnsi="仿宋_GB2312" w:eastAsia="仿宋_GB2312" w:cs="仿宋_GB2312"/>
          <w:color w:val="000000" w:themeColor="text1"/>
          <w:sz w:val="32"/>
          <w:szCs w:val="32"/>
          <w14:textFill>
            <w14:solidFill>
              <w14:schemeClr w14:val="tx1"/>
            </w14:solidFill>
          </w14:textFill>
        </w:rPr>
        <w:t>万元，增长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33.22</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主要是因为一是今年“四海揽才”新进</w:t>
      </w:r>
      <w:r>
        <w:rPr>
          <w:rFonts w:hint="eastAsia" w:ascii="Times New Roman" w:hAnsi="Times New Roman" w:eastAsia="仿宋_GB2312"/>
          <w:color w:val="000000" w:themeColor="text1"/>
          <w:sz w:val="32"/>
          <w:szCs w:val="32"/>
          <w:lang w:eastAsia="zh-CN"/>
          <w14:textFill>
            <w14:solidFill>
              <w14:schemeClr w14:val="tx1"/>
            </w14:solidFill>
          </w14:textFill>
        </w:rPr>
        <w:t>三</w:t>
      </w:r>
      <w:r>
        <w:rPr>
          <w:rFonts w:hint="eastAsia" w:ascii="Times New Roman" w:hAnsi="Times New Roman" w:eastAsia="仿宋_GB2312"/>
          <w:color w:val="000000" w:themeColor="text1"/>
          <w:sz w:val="32"/>
          <w:szCs w:val="32"/>
          <w14:textFill>
            <w14:solidFill>
              <w14:schemeClr w14:val="tx1"/>
            </w14:solidFill>
          </w14:textFill>
        </w:rPr>
        <w:t>名</w:t>
      </w:r>
      <w:r>
        <w:rPr>
          <w:rFonts w:hint="eastAsia" w:ascii="Times New Roman" w:hAnsi="Times New Roman" w:eastAsia="仿宋_GB2312"/>
          <w:color w:val="000000" w:themeColor="text1"/>
          <w:sz w:val="32"/>
          <w:szCs w:val="32"/>
          <w:lang w:eastAsia="zh-CN"/>
          <w14:textFill>
            <w14:solidFill>
              <w14:schemeClr w14:val="tx1"/>
            </w14:solidFill>
          </w14:textFill>
        </w:rPr>
        <w:t>工作</w:t>
      </w:r>
      <w:r>
        <w:rPr>
          <w:rFonts w:hint="eastAsia" w:ascii="Times New Roman" w:hAnsi="Times New Roman" w:eastAsia="仿宋_GB2312"/>
          <w:color w:val="000000" w:themeColor="text1"/>
          <w:sz w:val="32"/>
          <w:szCs w:val="32"/>
          <w14:textFill>
            <w14:solidFill>
              <w14:schemeClr w14:val="tx1"/>
            </w14:solidFill>
          </w14:textFill>
        </w:rPr>
        <w:t>人员；二是新增一个实验室升级改造项目，在本年度发生了一部分支出</w:t>
      </w:r>
      <w:r>
        <w:rPr>
          <w:rFonts w:hint="eastAsia" w:ascii="Times New Roman" w:hAnsi="Times New Roman" w:eastAsia="仿宋_GB2312"/>
          <w:color w:val="000000" w:themeColor="text1"/>
          <w:sz w:val="32"/>
          <w:szCs w:val="32"/>
          <w:lang w:eastAsia="zh-CN"/>
          <w14:textFill>
            <w14:solidFill>
              <w14:schemeClr w14:val="tx1"/>
            </w14:solidFill>
          </w14:textFill>
        </w:rPr>
        <w:t>。</w:t>
      </w:r>
    </w:p>
    <w:p w14:paraId="1B2E2A8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二、收入决算情况说明</w:t>
      </w:r>
    </w:p>
    <w:p w14:paraId="309CBB9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年度收入合计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463.16</w:t>
      </w:r>
      <w:r>
        <w:rPr>
          <w:rFonts w:hint="eastAsia" w:ascii="仿宋_GB2312" w:hAnsi="仿宋_GB2312" w:eastAsia="仿宋_GB2312" w:cs="仿宋_GB2312"/>
          <w:color w:val="000000" w:themeColor="text1"/>
          <w:sz w:val="32"/>
          <w:szCs w:val="32"/>
          <w14:textFill>
            <w14:solidFill>
              <w14:schemeClr w14:val="tx1"/>
            </w14:solidFill>
          </w14:textFill>
        </w:rPr>
        <w:t>元，其中：财政拨款收入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463.16</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%；上级补助收入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%；事业收入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%；经营收入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%；附属单位上缴收入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%；其他收入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w:t>
      </w:r>
    </w:p>
    <w:p w14:paraId="4CA2A48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三、支出决算情况说明</w:t>
      </w:r>
    </w:p>
    <w:p w14:paraId="7D1AD71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年度支出合计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463.16</w:t>
      </w:r>
      <w:r>
        <w:rPr>
          <w:rFonts w:hint="eastAsia" w:ascii="仿宋_GB2312" w:hAnsi="仿宋_GB2312" w:eastAsia="仿宋_GB2312" w:cs="仿宋_GB2312"/>
          <w:color w:val="000000" w:themeColor="text1"/>
          <w:sz w:val="32"/>
          <w:szCs w:val="32"/>
          <w14:textFill>
            <w14:solidFill>
              <w14:schemeClr w14:val="tx1"/>
            </w14:solidFill>
          </w14:textFill>
        </w:rPr>
        <w:t>万元，其中：基本支出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221.32</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47.78</w:t>
      </w:r>
      <w:r>
        <w:rPr>
          <w:rFonts w:hint="eastAsia" w:ascii="仿宋_GB2312" w:hAnsi="仿宋_GB2312" w:eastAsia="仿宋_GB2312" w:cs="仿宋_GB2312"/>
          <w:color w:val="000000" w:themeColor="text1"/>
          <w:sz w:val="32"/>
          <w:szCs w:val="32"/>
          <w14:textFill>
            <w14:solidFill>
              <w14:schemeClr w14:val="tx1"/>
            </w14:solidFill>
          </w14:textFill>
        </w:rPr>
        <w:t>%；项目支出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241.84</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52.22</w:t>
      </w:r>
      <w:r>
        <w:rPr>
          <w:rFonts w:hint="eastAsia" w:ascii="仿宋_GB2312" w:hAnsi="仿宋_GB2312" w:eastAsia="仿宋_GB2312" w:cs="仿宋_GB2312"/>
          <w:color w:val="000000" w:themeColor="text1"/>
          <w:sz w:val="32"/>
          <w:szCs w:val="32"/>
          <w14:textFill>
            <w14:solidFill>
              <w14:schemeClr w14:val="tx1"/>
            </w14:solidFill>
          </w14:textFill>
        </w:rPr>
        <w:t>%；上缴上级支出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%；经营支出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%；对附属单位补助支出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w:t>
      </w:r>
    </w:p>
    <w:p w14:paraId="586880A8">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四、财政拨款收入支出决算总体情况说明</w:t>
      </w:r>
    </w:p>
    <w:p w14:paraId="6F8F5F0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年度财政拨款收、支总计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463.16</w:t>
      </w:r>
      <w:r>
        <w:rPr>
          <w:rFonts w:hint="eastAsia" w:ascii="仿宋_GB2312" w:hAnsi="仿宋_GB2312" w:eastAsia="仿宋_GB2312" w:cs="仿宋_GB2312"/>
          <w:color w:val="000000" w:themeColor="text1"/>
          <w:sz w:val="32"/>
          <w:szCs w:val="32"/>
          <w14:textFill>
            <w14:solidFill>
              <w14:schemeClr w14:val="tx1"/>
            </w14:solidFill>
          </w14:textFill>
        </w:rPr>
        <w:t>万元，与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2022年339.15万元</w:t>
      </w:r>
      <w:r>
        <w:rPr>
          <w:rFonts w:hint="eastAsia" w:ascii="仿宋_GB2312" w:hAnsi="仿宋_GB2312" w:eastAsia="仿宋_GB2312" w:cs="仿宋_GB2312"/>
          <w:color w:val="000000" w:themeColor="text1"/>
          <w:sz w:val="32"/>
          <w:szCs w:val="32"/>
          <w14:textFill>
            <w14:solidFill>
              <w14:schemeClr w14:val="tx1"/>
            </w14:solidFill>
          </w14:textFill>
        </w:rPr>
        <w:t>相比，增加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124.01</w:t>
      </w:r>
      <w:r>
        <w:rPr>
          <w:rFonts w:hint="eastAsia" w:ascii="仿宋_GB2312" w:hAnsi="仿宋_GB2312" w:eastAsia="仿宋_GB2312" w:cs="仿宋_GB2312"/>
          <w:color w:val="000000" w:themeColor="text1"/>
          <w:sz w:val="32"/>
          <w:szCs w:val="32"/>
          <w14:textFill>
            <w14:solidFill>
              <w14:schemeClr w14:val="tx1"/>
            </w14:solidFill>
          </w14:textFill>
        </w:rPr>
        <w:t>万元,增长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36.56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Times New Roman" w:hAnsi="Times New Roman" w:eastAsia="仿宋_GB2312"/>
          <w:color w:val="000000" w:themeColor="text1"/>
          <w:sz w:val="32"/>
          <w:szCs w:val="32"/>
          <w14:textFill>
            <w14:solidFill>
              <w14:schemeClr w14:val="tx1"/>
            </w14:solidFill>
          </w14:textFill>
        </w:rPr>
        <w:t>主要是因为一是今年“四海揽才”新进</w:t>
      </w:r>
      <w:r>
        <w:rPr>
          <w:rFonts w:hint="eastAsia" w:ascii="Times New Roman" w:hAnsi="Times New Roman" w:eastAsia="仿宋_GB2312"/>
          <w:color w:val="000000" w:themeColor="text1"/>
          <w:sz w:val="32"/>
          <w:szCs w:val="32"/>
          <w:lang w:eastAsia="zh-CN"/>
          <w14:textFill>
            <w14:solidFill>
              <w14:schemeClr w14:val="tx1"/>
            </w14:solidFill>
          </w14:textFill>
        </w:rPr>
        <w:t>三</w:t>
      </w:r>
      <w:r>
        <w:rPr>
          <w:rFonts w:hint="eastAsia" w:ascii="Times New Roman" w:hAnsi="Times New Roman" w:eastAsia="仿宋_GB2312"/>
          <w:color w:val="000000" w:themeColor="text1"/>
          <w:sz w:val="32"/>
          <w:szCs w:val="32"/>
          <w14:textFill>
            <w14:solidFill>
              <w14:schemeClr w14:val="tx1"/>
            </w14:solidFill>
          </w14:textFill>
        </w:rPr>
        <w:t>名</w:t>
      </w:r>
      <w:r>
        <w:rPr>
          <w:rFonts w:hint="eastAsia" w:ascii="Times New Roman" w:hAnsi="Times New Roman" w:eastAsia="仿宋_GB2312"/>
          <w:color w:val="000000" w:themeColor="text1"/>
          <w:sz w:val="32"/>
          <w:szCs w:val="32"/>
          <w:lang w:eastAsia="zh-CN"/>
          <w14:textFill>
            <w14:solidFill>
              <w14:schemeClr w14:val="tx1"/>
            </w14:solidFill>
          </w14:textFill>
        </w:rPr>
        <w:t>工作</w:t>
      </w:r>
      <w:r>
        <w:rPr>
          <w:rFonts w:hint="eastAsia" w:ascii="Times New Roman" w:hAnsi="Times New Roman" w:eastAsia="仿宋_GB2312"/>
          <w:color w:val="000000" w:themeColor="text1"/>
          <w:sz w:val="32"/>
          <w:szCs w:val="32"/>
          <w14:textFill>
            <w14:solidFill>
              <w14:schemeClr w14:val="tx1"/>
            </w14:solidFill>
          </w14:textFill>
        </w:rPr>
        <w:t>人员；二是新增一个实验室升级改造项目，在本年度发生了一部分支出</w:t>
      </w:r>
      <w:r>
        <w:rPr>
          <w:rFonts w:hint="eastAsia" w:ascii="Times New Roman" w:hAnsi="Times New Roman" w:eastAsia="仿宋_GB2312"/>
          <w:color w:val="000000" w:themeColor="text1"/>
          <w:sz w:val="32"/>
          <w:szCs w:val="32"/>
          <w:lang w:eastAsia="zh-CN"/>
          <w14:textFill>
            <w14:solidFill>
              <w14:schemeClr w14:val="tx1"/>
            </w14:solidFill>
          </w14:textFill>
        </w:rPr>
        <w:t>。</w:t>
      </w:r>
    </w:p>
    <w:p w14:paraId="5710EF7E">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五、一般公共预算财政拨款支出决算情况说明</w:t>
      </w:r>
    </w:p>
    <w:p w14:paraId="4A5427E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（一）一般公共预算财政拨款支出决算总体情况</w:t>
      </w:r>
    </w:p>
    <w:p w14:paraId="5C561D53">
      <w:pPr>
        <w:pStyle w:val="13"/>
        <w:keepNext w:val="0"/>
        <w:keepLines w:val="0"/>
        <w:pageBreakBefore w:val="0"/>
        <w:widowControl w:val="0"/>
        <w:kinsoku/>
        <w:wordWrap/>
        <w:overflowPunct/>
        <w:topLinePunct w:val="0"/>
        <w:bidi w:val="0"/>
        <w:snapToGrid/>
        <w:spacing w:line="600" w:lineRule="exact"/>
        <w:ind w:firstLine="64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年度</w:t>
      </w:r>
      <w:r>
        <w:rPr>
          <w:rFonts w:hint="eastAsia" w:ascii="仿宋_GB2312" w:hAnsi="仿宋_GB2312" w:eastAsia="仿宋_GB2312" w:cs="仿宋_GB2312"/>
          <w:color w:val="000000" w:themeColor="text1"/>
          <w:sz w:val="32"/>
          <w:szCs w:val="32"/>
          <w:lang w:eastAsia="zh-CN"/>
          <w14:textFill>
            <w14:solidFill>
              <w14:schemeClr w14:val="tx1"/>
            </w14:solidFill>
          </w14:textFill>
        </w:rPr>
        <w:t>一般公共预算</w:t>
      </w:r>
      <w:r>
        <w:rPr>
          <w:rFonts w:hint="eastAsia" w:ascii="仿宋_GB2312" w:hAnsi="仿宋_GB2312" w:eastAsia="仿宋_GB2312" w:cs="仿宋_GB2312"/>
          <w:color w:val="000000" w:themeColor="text1"/>
          <w:sz w:val="32"/>
          <w:szCs w:val="32"/>
          <w14:textFill>
            <w14:solidFill>
              <w14:schemeClr w14:val="tx1"/>
            </w14:solidFill>
          </w14:textFill>
        </w:rPr>
        <w:t>财政拨款支出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463.16</w:t>
      </w:r>
      <w:r>
        <w:rPr>
          <w:rFonts w:hint="eastAsia" w:ascii="仿宋_GB2312" w:hAnsi="仿宋_GB2312" w:eastAsia="仿宋_GB2312" w:cs="仿宋_GB2312"/>
          <w:color w:val="000000" w:themeColor="text1"/>
          <w:sz w:val="32"/>
          <w:szCs w:val="32"/>
          <w14:textFill>
            <w14:solidFill>
              <w14:schemeClr w14:val="tx1"/>
            </w14:solidFill>
          </w14:textFill>
        </w:rPr>
        <w:t>万元，占本年支出合计的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2022年339.15万元</w:t>
      </w:r>
      <w:r>
        <w:rPr>
          <w:rFonts w:hint="eastAsia" w:ascii="仿宋_GB2312" w:hAnsi="仿宋_GB2312" w:eastAsia="仿宋_GB2312" w:cs="仿宋_GB2312"/>
          <w:color w:val="000000" w:themeColor="text1"/>
          <w:sz w:val="32"/>
          <w:szCs w:val="32"/>
          <w14:textFill>
            <w14:solidFill>
              <w14:schemeClr w14:val="tx1"/>
            </w14:solidFill>
          </w14:textFill>
        </w:rPr>
        <w:t>相比，</w:t>
      </w:r>
      <w:r>
        <w:rPr>
          <w:rFonts w:hint="eastAsia" w:ascii="仿宋_GB2312" w:hAnsi="仿宋_GB2312" w:eastAsia="仿宋_GB2312" w:cs="仿宋_GB2312"/>
          <w:color w:val="000000" w:themeColor="text1"/>
          <w:sz w:val="32"/>
          <w:szCs w:val="32"/>
          <w:lang w:eastAsia="zh-CN"/>
          <w14:textFill>
            <w14:solidFill>
              <w14:schemeClr w14:val="tx1"/>
            </w14:solidFill>
          </w14:textFill>
        </w:rPr>
        <w:t>一般公共预算</w:t>
      </w:r>
      <w:r>
        <w:rPr>
          <w:rFonts w:hint="eastAsia" w:ascii="仿宋_GB2312" w:hAnsi="仿宋_GB2312" w:eastAsia="仿宋_GB2312" w:cs="仿宋_GB2312"/>
          <w:color w:val="000000" w:themeColor="text1"/>
          <w:sz w:val="32"/>
          <w:szCs w:val="32"/>
          <w14:textFill>
            <w14:solidFill>
              <w14:schemeClr w14:val="tx1"/>
            </w14:solidFill>
          </w14:textFill>
        </w:rPr>
        <w:t>财政拨款支出增加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124.01</w:t>
      </w:r>
      <w:r>
        <w:rPr>
          <w:rFonts w:hint="eastAsia" w:ascii="仿宋_GB2312" w:hAnsi="仿宋_GB2312" w:eastAsia="仿宋_GB2312" w:cs="仿宋_GB2312"/>
          <w:color w:val="000000" w:themeColor="text1"/>
          <w:sz w:val="32"/>
          <w:szCs w:val="32"/>
          <w14:textFill>
            <w14:solidFill>
              <w14:schemeClr w14:val="tx1"/>
            </w14:solidFill>
          </w14:textFill>
        </w:rPr>
        <w:t>万元，增长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36.56</w:t>
      </w:r>
      <w:r>
        <w:rPr>
          <w:rFonts w:hint="eastAsia" w:ascii="仿宋_GB2312" w:hAnsi="仿宋_GB2312" w:eastAsia="仿宋_GB2312" w:cs="仿宋_GB2312"/>
          <w:color w:val="000000" w:themeColor="text1"/>
          <w:sz w:val="32"/>
          <w:szCs w:val="32"/>
          <w14:textFill>
            <w14:solidFill>
              <w14:schemeClr w14:val="tx1"/>
            </w14:solidFill>
          </w14:textFill>
        </w:rPr>
        <w:t>%，主要是因为</w:t>
      </w:r>
      <w:r>
        <w:rPr>
          <w:rFonts w:hint="eastAsia" w:ascii="Times New Roman" w:hAnsi="Times New Roman" w:eastAsia="仿宋_GB2312"/>
          <w:color w:val="000000" w:themeColor="text1"/>
          <w:sz w:val="32"/>
          <w:szCs w:val="32"/>
          <w14:textFill>
            <w14:solidFill>
              <w14:schemeClr w14:val="tx1"/>
            </w14:solidFill>
          </w14:textFill>
        </w:rPr>
        <w:t>一是今年“四海揽才”新进人员</w:t>
      </w:r>
      <w:r>
        <w:rPr>
          <w:rFonts w:hint="eastAsia" w:ascii="Times New Roman" w:hAnsi="Times New Roman" w:eastAsia="仿宋_GB2312"/>
          <w:color w:val="000000" w:themeColor="text1"/>
          <w:sz w:val="32"/>
          <w:szCs w:val="32"/>
          <w:lang w:eastAsia="zh-CN"/>
          <w14:textFill>
            <w14:solidFill>
              <w14:schemeClr w14:val="tx1"/>
            </w14:solidFill>
          </w14:textFill>
        </w:rPr>
        <w:t>三</w:t>
      </w:r>
      <w:r>
        <w:rPr>
          <w:rFonts w:hint="eastAsia" w:ascii="Times New Roman" w:hAnsi="Times New Roman" w:eastAsia="仿宋_GB2312"/>
          <w:color w:val="000000" w:themeColor="text1"/>
          <w:sz w:val="32"/>
          <w:szCs w:val="32"/>
          <w14:textFill>
            <w14:solidFill>
              <w14:schemeClr w14:val="tx1"/>
            </w14:solidFill>
          </w14:textFill>
        </w:rPr>
        <w:t>名；二是新增实验室升级改造项目一个，在本年度发生了一部分支出</w:t>
      </w:r>
      <w:r>
        <w:rPr>
          <w:rFonts w:hint="eastAsia" w:ascii="Times New Roman" w:hAnsi="Times New Roman" w:eastAsia="仿宋_GB2312"/>
          <w:color w:val="000000" w:themeColor="text1"/>
          <w:sz w:val="32"/>
          <w:szCs w:val="32"/>
          <w:lang w:eastAsia="zh-CN"/>
          <w14:textFill>
            <w14:solidFill>
              <w14:schemeClr w14:val="tx1"/>
            </w14:solidFill>
          </w14:textFill>
        </w:rPr>
        <w:t>。</w:t>
      </w:r>
    </w:p>
    <w:p w14:paraId="757525B1">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（二）一般公共预算财政拨款支出决算结构情况</w:t>
      </w:r>
    </w:p>
    <w:p w14:paraId="21C8C5DD">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lang w:val="en-US"/>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年度</w:t>
      </w:r>
      <w:r>
        <w:rPr>
          <w:rFonts w:hint="eastAsia" w:ascii="仿宋_GB2312" w:hAnsi="仿宋_GB2312" w:eastAsia="仿宋_GB2312" w:cs="仿宋_GB2312"/>
          <w:color w:val="000000" w:themeColor="text1"/>
          <w:sz w:val="32"/>
          <w:szCs w:val="32"/>
          <w:lang w:eastAsia="zh-CN"/>
          <w14:textFill>
            <w14:solidFill>
              <w14:schemeClr w14:val="tx1"/>
            </w14:solidFill>
          </w14:textFill>
        </w:rPr>
        <w:t>一般公共预算</w:t>
      </w:r>
      <w:r>
        <w:rPr>
          <w:rFonts w:hint="eastAsia" w:ascii="仿宋_GB2312" w:hAnsi="仿宋_GB2312" w:eastAsia="仿宋_GB2312" w:cs="仿宋_GB2312"/>
          <w:color w:val="000000" w:themeColor="text1"/>
          <w:sz w:val="32"/>
          <w:szCs w:val="32"/>
          <w14:textFill>
            <w14:solidFill>
              <w14:schemeClr w14:val="tx1"/>
            </w14:solidFill>
          </w14:textFill>
        </w:rPr>
        <w:t>财政拨款支出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463.16</w:t>
      </w:r>
      <w:r>
        <w:rPr>
          <w:rFonts w:hint="eastAsia" w:ascii="仿宋_GB2312" w:hAnsi="仿宋_GB2312" w:eastAsia="仿宋_GB2312" w:cs="仿宋_GB2312"/>
          <w:color w:val="000000" w:themeColor="text1"/>
          <w:sz w:val="32"/>
          <w:szCs w:val="32"/>
          <w14:textFill>
            <w14:solidFill>
              <w14:schemeClr w14:val="tx1"/>
            </w14:solidFill>
          </w14:textFill>
        </w:rPr>
        <w:t>万元，主要用于以下方面：</w:t>
      </w:r>
      <w:r>
        <w:rPr>
          <w:rFonts w:hint="eastAsia" w:ascii="仿宋_GB2312" w:hAnsi="仿宋_GB2312" w:eastAsia="仿宋_GB2312" w:cs="仿宋_GB2312"/>
          <w:color w:val="000000" w:themeColor="text1"/>
          <w:sz w:val="32"/>
          <w:szCs w:val="32"/>
          <w:lang w:val="en-US"/>
          <w14:textFill>
            <w14:solidFill>
              <w14:schemeClr w14:val="tx1"/>
            </w14:solidFill>
          </w14:textFill>
        </w:rPr>
        <w:t>社会保障和就业（类）支出23.58元，占5.09%；卫生健康（类）支出6.58元，占1.42%；农林水（类）支出419.94元，占90.67%；住房保障（类）支出13.06元，占2.82%；</w:t>
      </w:r>
    </w:p>
    <w:p w14:paraId="1A523FA8">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（三）一般公共预算财政拨款支出决算具体情况</w:t>
      </w:r>
    </w:p>
    <w:p w14:paraId="3CC5230B">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年度</w:t>
      </w:r>
      <w:r>
        <w:rPr>
          <w:rFonts w:hint="eastAsia" w:ascii="仿宋_GB2312" w:hAnsi="仿宋_GB2312" w:eastAsia="仿宋_GB2312" w:cs="仿宋_GB2312"/>
          <w:color w:val="000000" w:themeColor="text1"/>
          <w:sz w:val="32"/>
          <w:szCs w:val="32"/>
          <w:lang w:eastAsia="zh-CN"/>
          <w14:textFill>
            <w14:solidFill>
              <w14:schemeClr w14:val="tx1"/>
            </w14:solidFill>
          </w14:textFill>
        </w:rPr>
        <w:t>一般公共预算</w:t>
      </w:r>
      <w:r>
        <w:rPr>
          <w:rFonts w:hint="eastAsia" w:ascii="仿宋_GB2312" w:hAnsi="仿宋_GB2312" w:eastAsia="仿宋_GB2312" w:cs="仿宋_GB2312"/>
          <w:color w:val="000000" w:themeColor="text1"/>
          <w:sz w:val="32"/>
          <w:szCs w:val="32"/>
          <w14:textFill>
            <w14:solidFill>
              <w14:schemeClr w14:val="tx1"/>
            </w14:solidFill>
          </w14:textFill>
        </w:rPr>
        <w:t>财政拨款支出年初预算数为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203.77</w:t>
      </w:r>
      <w:r>
        <w:rPr>
          <w:rFonts w:hint="eastAsia" w:ascii="仿宋_GB2312" w:hAnsi="仿宋_GB2312" w:eastAsia="仿宋_GB2312" w:cs="仿宋_GB2312"/>
          <w:color w:val="000000" w:themeColor="text1"/>
          <w:sz w:val="32"/>
          <w:szCs w:val="32"/>
          <w14:textFill>
            <w14:solidFill>
              <w14:schemeClr w14:val="tx1"/>
            </w14:solidFill>
          </w14:textFill>
        </w:rPr>
        <w:t>万元，支出决算数为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463.16</w:t>
      </w:r>
      <w:r>
        <w:rPr>
          <w:rFonts w:hint="eastAsia" w:ascii="仿宋_GB2312" w:hAnsi="仿宋_GB2312" w:eastAsia="仿宋_GB2312" w:cs="仿宋_GB2312"/>
          <w:color w:val="000000" w:themeColor="text1"/>
          <w:sz w:val="32"/>
          <w:szCs w:val="32"/>
          <w14:textFill>
            <w14:solidFill>
              <w14:schemeClr w14:val="tx1"/>
            </w14:solidFill>
          </w14:textFill>
        </w:rPr>
        <w:t>万元，完成年初预算的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227.30</w:t>
      </w:r>
      <w:r>
        <w:rPr>
          <w:rFonts w:hint="eastAsia" w:ascii="仿宋_GB2312" w:hAnsi="仿宋_GB2312" w:eastAsia="仿宋_GB2312" w:cs="仿宋_GB2312"/>
          <w:color w:val="000000" w:themeColor="text1"/>
          <w:sz w:val="32"/>
          <w:szCs w:val="32"/>
          <w14:textFill>
            <w14:solidFill>
              <w14:schemeClr w14:val="tx1"/>
            </w14:solidFill>
          </w14:textFill>
        </w:rPr>
        <w:t>%，其中：</w:t>
      </w:r>
    </w:p>
    <w:p w14:paraId="39F31D1E">
      <w:pPr>
        <w:pStyle w:val="13"/>
        <w:keepNext w:val="0"/>
        <w:keepLines w:val="0"/>
        <w:pageBreakBefore w:val="0"/>
        <w:widowControl w:val="0"/>
        <w:numPr>
          <w:ilvl w:val="0"/>
          <w:numId w:val="1"/>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社会保障和就业支出（类）行政事业单位养老支出（款）事业单位离退休（项）。</w:t>
      </w:r>
    </w:p>
    <w:p w14:paraId="16968FB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olor w:val="000000" w:themeColor="text1"/>
          <w:sz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年初预算为6.12万元，支出决算为6.12万元，</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完成年初预算的100%，</w:t>
      </w:r>
      <w:r>
        <w:rPr>
          <w:rFonts w:hint="eastAsia" w:ascii="仿宋_GB2312" w:hAnsi="仿宋_GB2312" w:eastAsia="仿宋_GB2312"/>
          <w:color w:val="000000" w:themeColor="text1"/>
          <w:sz w:val="32"/>
          <w:lang w:val="en-US" w:eastAsia="zh-CN" w:bidi="ar-SA"/>
          <w14:textFill>
            <w14:solidFill>
              <w14:schemeClr w14:val="tx1"/>
            </w14:solidFill>
          </w14:textFill>
        </w:rPr>
        <w:t>决算数等于年初预算数的主要原因是：</w:t>
      </w:r>
      <w:r>
        <w:rPr>
          <w:rFonts w:hint="eastAsia" w:ascii="仿宋_GB2312" w:hAnsi="仿宋_GB2312" w:eastAsia="仿宋_GB2312" w:cs="Times New Roman"/>
          <w:color w:val="000000" w:themeColor="text1"/>
          <w:kern w:val="2"/>
          <w:sz w:val="32"/>
          <w:szCs w:val="20"/>
          <w:lang w:val="en-US" w:eastAsia="zh-CN" w:bidi="ar-SA"/>
          <w14:textFill>
            <w14:solidFill>
              <w14:schemeClr w14:val="tx1"/>
            </w14:solidFill>
          </w14:textFill>
        </w:rPr>
        <w:t>我单位严格按预算执行决算</w:t>
      </w:r>
      <w:r>
        <w:rPr>
          <w:rFonts w:hint="eastAsia" w:ascii="仿宋_GB2312" w:hAnsi="仿宋_GB2312" w:eastAsia="仿宋_GB2312"/>
          <w:color w:val="000000" w:themeColor="text1"/>
          <w:sz w:val="32"/>
          <w:lang w:val="en-US" w:eastAsia="zh-CN" w:bidi="ar-SA"/>
          <w14:textFill>
            <w14:solidFill>
              <w14:schemeClr w14:val="tx1"/>
            </w14:solidFill>
          </w14:textFill>
        </w:rPr>
        <w:t>。</w:t>
      </w:r>
    </w:p>
    <w:p w14:paraId="3400DF5F">
      <w:pPr>
        <w:pStyle w:val="13"/>
        <w:keepNext w:val="0"/>
        <w:keepLines w:val="0"/>
        <w:pageBreakBefore w:val="0"/>
        <w:widowControl w:val="0"/>
        <w:numPr>
          <w:ilvl w:val="0"/>
          <w:numId w:val="1"/>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社会保障和就业支出（类）行政事业单位养老支出（款）机关事业单位基本养老保险缴费支出（项）。</w:t>
      </w:r>
    </w:p>
    <w:p w14:paraId="158B6F79">
      <w:pPr>
        <w:widowControl w:val="0"/>
        <w:numPr>
          <w:ilvl w:val="0"/>
          <w:numId w:val="0"/>
        </w:numPr>
        <w:spacing w:line="600" w:lineRule="exact"/>
        <w:ind w:firstLine="640" w:firstLineChars="200"/>
        <w:jc w:val="left"/>
        <w:rPr>
          <w:rFonts w:hint="eastAsia" w:ascii="仿宋_GB2312" w:hAnsi="仿宋_GB2312" w:eastAsia="仿宋_GB2312"/>
          <w:color w:val="000000" w:themeColor="text1"/>
          <w:sz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年初预算为13.20万元，支出决算为13.55万元，</w:t>
      </w:r>
      <w:r>
        <w:rPr>
          <w:rFonts w:hint="eastAsia" w:ascii="仿宋_GB2312" w:hAnsi="仿宋_GB2312" w:eastAsia="仿宋_GB2312" w:cs="仿宋_GB2312"/>
          <w:color w:val="000000" w:themeColor="text1"/>
          <w:sz w:val="32"/>
          <w:szCs w:val="32"/>
          <w14:textFill>
            <w14:solidFill>
              <w14:schemeClr w14:val="tx1"/>
            </w14:solidFill>
          </w14:textFill>
        </w:rPr>
        <w:t>完成年初预算的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102.65</w:t>
      </w:r>
      <w:r>
        <w:rPr>
          <w:rFonts w:hint="eastAsia" w:ascii="仿宋_GB2312" w:hAnsi="仿宋_GB2312" w:eastAsia="仿宋_GB2312" w:cs="仿宋_GB2312"/>
          <w:color w:val="000000" w:themeColor="text1"/>
          <w:sz w:val="32"/>
          <w:szCs w:val="32"/>
          <w14:textFill>
            <w14:solidFill>
              <w14:schemeClr w14:val="tx1"/>
            </w14:solidFill>
          </w14:textFill>
        </w:rPr>
        <w:t>%，决算数大于年初预算数的主要原因是：</w:t>
      </w:r>
      <w:r>
        <w:rPr>
          <w:rFonts w:hint="eastAsia" w:ascii="仿宋_GB2312" w:hAnsi="仿宋_GB2312" w:eastAsia="仿宋_GB2312"/>
          <w:color w:val="000000" w:themeColor="text1"/>
          <w:sz w:val="32"/>
          <w:lang w:val="en-US" w:eastAsia="zh-CN" w:bidi="ar-SA"/>
          <w14:textFill>
            <w14:solidFill>
              <w14:schemeClr w14:val="tx1"/>
            </w14:solidFill>
          </w14:textFill>
        </w:rPr>
        <w:t xml:space="preserve">人员异动，养老保险缴费支出略微增加。  </w:t>
      </w:r>
    </w:p>
    <w:p w14:paraId="1CAC3287">
      <w:pPr>
        <w:pStyle w:val="13"/>
        <w:keepNext w:val="0"/>
        <w:keepLines w:val="0"/>
        <w:pageBreakBefore w:val="0"/>
        <w:widowControl w:val="0"/>
        <w:numPr>
          <w:ilvl w:val="0"/>
          <w:numId w:val="1"/>
        </w:numPr>
        <w:kinsoku/>
        <w:wordWrap/>
        <w:overflowPunct/>
        <w:topLinePunct w:val="0"/>
        <w:bidi w:val="0"/>
        <w:snapToGrid/>
        <w:spacing w:line="600" w:lineRule="exact"/>
        <w:ind w:left="0" w:leftChars="0" w:firstLine="800" w:firstLineChars="25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社会保障和就业支出（类）其他社会保障和就业支出（款）其他社会保障和就业支出（项）。</w:t>
      </w:r>
    </w:p>
    <w:p w14:paraId="31577E2D">
      <w:pPr>
        <w:widowControl w:val="0"/>
        <w:numPr>
          <w:ilvl w:val="0"/>
          <w:numId w:val="0"/>
        </w:numPr>
        <w:spacing w:line="600" w:lineRule="exact"/>
        <w:ind w:firstLine="640" w:firstLineChars="200"/>
        <w:jc w:val="left"/>
        <w:rPr>
          <w:rFonts w:hint="eastAsia" w:ascii="仿宋_GB2312" w:hAnsi="仿宋_GB2312" w:eastAsia="仿宋_GB2312"/>
          <w:color w:val="000000" w:themeColor="text1"/>
          <w:sz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年初预算为3.44万元，支出决算为3.91万元，</w:t>
      </w:r>
      <w:r>
        <w:rPr>
          <w:rFonts w:hint="eastAsia" w:ascii="仿宋_GB2312" w:hAnsi="仿宋_GB2312" w:eastAsia="仿宋_GB2312" w:cs="仿宋_GB2312"/>
          <w:color w:val="000000" w:themeColor="text1"/>
          <w:sz w:val="32"/>
          <w:szCs w:val="32"/>
          <w14:textFill>
            <w14:solidFill>
              <w14:schemeClr w14:val="tx1"/>
            </w14:solidFill>
          </w14:textFill>
        </w:rPr>
        <w:t>完成年初预算的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113.66</w:t>
      </w:r>
      <w:r>
        <w:rPr>
          <w:rFonts w:hint="eastAsia" w:ascii="仿宋_GB2312" w:hAnsi="仿宋_GB2312" w:eastAsia="仿宋_GB2312" w:cs="仿宋_GB2312"/>
          <w:color w:val="000000" w:themeColor="text1"/>
          <w:sz w:val="32"/>
          <w:szCs w:val="32"/>
          <w14:textFill>
            <w14:solidFill>
              <w14:schemeClr w14:val="tx1"/>
            </w14:solidFill>
          </w14:textFill>
        </w:rPr>
        <w:t>%，决算数大于年初预算数的主要原因是：</w:t>
      </w:r>
      <w:r>
        <w:rPr>
          <w:rFonts w:hint="eastAsia" w:ascii="仿宋_GB2312" w:hAnsi="仿宋_GB2312" w:eastAsia="仿宋_GB2312"/>
          <w:color w:val="000000" w:themeColor="text1"/>
          <w:sz w:val="32"/>
          <w:lang w:val="en-US" w:eastAsia="zh-CN" w:bidi="ar-SA"/>
          <w14:textFill>
            <w14:solidFill>
              <w14:schemeClr w14:val="tx1"/>
            </w14:solidFill>
          </w14:textFill>
        </w:rPr>
        <w:t xml:space="preserve">人员异动，其他社会保障和就业支出略微增加。  </w:t>
      </w:r>
    </w:p>
    <w:p w14:paraId="3DE4E66A">
      <w:pPr>
        <w:pStyle w:val="13"/>
        <w:keepNext w:val="0"/>
        <w:keepLines w:val="0"/>
        <w:pageBreakBefore w:val="0"/>
        <w:widowControl w:val="0"/>
        <w:numPr>
          <w:ilvl w:val="0"/>
          <w:numId w:val="1"/>
        </w:numPr>
        <w:kinsoku/>
        <w:wordWrap/>
        <w:overflowPunct/>
        <w:topLinePunct w:val="0"/>
        <w:bidi w:val="0"/>
        <w:snapToGrid/>
        <w:spacing w:line="600" w:lineRule="exact"/>
        <w:ind w:left="0" w:leftChars="0" w:firstLine="800" w:firstLineChars="25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卫生健康支出（类）行政事业单位医疗（款）事业单位医疗（项）。  </w:t>
      </w:r>
    </w:p>
    <w:p w14:paraId="5303E20D">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年初预算为6.92万元，支出决算为6.58万元，</w:t>
      </w:r>
      <w:r>
        <w:rPr>
          <w:rFonts w:hint="eastAsia" w:ascii="仿宋_GB2312" w:hAnsi="仿宋_GB2312" w:eastAsia="仿宋_GB2312" w:cs="仿宋_GB2312"/>
          <w:color w:val="000000" w:themeColor="text1"/>
          <w:sz w:val="32"/>
          <w:szCs w:val="32"/>
          <w14:textFill>
            <w14:solidFill>
              <w14:schemeClr w14:val="tx1"/>
            </w14:solidFill>
          </w14:textFill>
        </w:rPr>
        <w:t>完成年初预算的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95.09</w:t>
      </w:r>
      <w:r>
        <w:rPr>
          <w:rFonts w:hint="eastAsia" w:ascii="仿宋_GB2312" w:hAnsi="仿宋_GB2312" w:eastAsia="仿宋_GB2312" w:cs="仿宋_GB2312"/>
          <w:color w:val="000000" w:themeColor="text1"/>
          <w:sz w:val="32"/>
          <w:szCs w:val="32"/>
          <w14:textFill>
            <w14:solidFill>
              <w14:schemeClr w14:val="tx1"/>
            </w14:solidFill>
          </w14:textFill>
        </w:rPr>
        <w:t>%，决算数小于年初预算数的主要原因是：</w:t>
      </w:r>
      <w:r>
        <w:rPr>
          <w:rFonts w:hint="eastAsia" w:ascii="仿宋_GB2312" w:hAnsi="仿宋_GB2312" w:eastAsia="仿宋_GB2312"/>
          <w:color w:val="000000" w:themeColor="text1"/>
          <w:sz w:val="32"/>
          <w:lang w:val="en-US" w:eastAsia="zh-CN" w:bidi="ar-SA"/>
          <w14:textFill>
            <w14:solidFill>
              <w14:schemeClr w14:val="tx1"/>
            </w14:solidFill>
          </w14:textFill>
        </w:rPr>
        <w:t>人员异动，事业单位医疗支出略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减。  </w:t>
      </w:r>
    </w:p>
    <w:p w14:paraId="190FE87F">
      <w:pPr>
        <w:keepNext/>
        <w:keepLines/>
        <w:numPr>
          <w:ilvl w:val="0"/>
          <w:numId w:val="1"/>
        </w:numPr>
        <w:spacing w:beforeLines="0" w:afterLines="0"/>
        <w:ind w:left="0" w:leftChars="0" w:firstLine="800" w:firstLineChars="250"/>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农林水支出（类）农业农村（款）事业运行（项）。</w:t>
      </w:r>
    </w:p>
    <w:p w14:paraId="798D3402">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年初预算为135.81万元，支出决算为134.74万元，</w:t>
      </w:r>
      <w:r>
        <w:rPr>
          <w:rFonts w:hint="eastAsia" w:ascii="仿宋_GB2312" w:hAnsi="仿宋_GB2312" w:eastAsia="仿宋_GB2312" w:cs="仿宋_GB2312"/>
          <w:color w:val="000000" w:themeColor="text1"/>
          <w:sz w:val="32"/>
          <w:szCs w:val="32"/>
          <w14:textFill>
            <w14:solidFill>
              <w14:schemeClr w14:val="tx1"/>
            </w14:solidFill>
          </w14:textFill>
        </w:rPr>
        <w:t>完成年初预算的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99.21</w:t>
      </w:r>
      <w:r>
        <w:rPr>
          <w:rFonts w:hint="eastAsia" w:ascii="仿宋_GB2312" w:hAnsi="仿宋_GB2312" w:eastAsia="仿宋_GB2312" w:cs="仿宋_GB2312"/>
          <w:color w:val="000000" w:themeColor="text1"/>
          <w:sz w:val="32"/>
          <w:szCs w:val="32"/>
          <w14:textFill>
            <w14:solidFill>
              <w14:schemeClr w14:val="tx1"/>
            </w14:solidFill>
          </w14:textFill>
        </w:rPr>
        <w:t>%，决算数小于年初预算数的主要原因是：</w:t>
      </w:r>
      <w:r>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t>本单位厉行节约。</w:t>
      </w:r>
    </w:p>
    <w:p w14:paraId="46203BC1">
      <w:pPr>
        <w:keepNext/>
        <w:keepLines/>
        <w:numPr>
          <w:ilvl w:val="0"/>
          <w:numId w:val="1"/>
        </w:numPr>
        <w:spacing w:beforeLines="0" w:afterLines="0"/>
        <w:ind w:left="0" w:leftChars="0" w:firstLine="800" w:firstLineChars="250"/>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农林水支出（类）农业农村（款）病虫害控制（项）。</w:t>
      </w:r>
    </w:p>
    <w:p w14:paraId="1B490748">
      <w:pPr>
        <w:widowControl w:val="0"/>
        <w:numPr>
          <w:ilvl w:val="0"/>
          <w:numId w:val="0"/>
        </w:numPr>
        <w:spacing w:line="600" w:lineRule="exact"/>
        <w:ind w:firstLine="640" w:firstLineChars="200"/>
        <w:jc w:val="left"/>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年初预算为0万元，支出决算为66.54万元，因预算数为0，无法计算百分比，主要原因是：</w:t>
      </w:r>
      <w:r>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t>该支出使用的是年中追加预算资金和上级转移支付资金。</w:t>
      </w:r>
    </w:p>
    <w:p w14:paraId="68DB219B">
      <w:pPr>
        <w:widowControl w:val="0"/>
        <w:numPr>
          <w:ilvl w:val="0"/>
          <w:numId w:val="1"/>
        </w:numPr>
        <w:spacing w:line="600" w:lineRule="exact"/>
        <w:ind w:left="0" w:leftChars="0" w:firstLine="800" w:firstLineChars="250"/>
        <w:jc w:val="left"/>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农林水支出（类）农业农村（款）农产品质量安全（项）。</w:t>
      </w:r>
    </w:p>
    <w:p w14:paraId="7656C97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年初预算为24.30万元，支出决算为21.96万元，</w:t>
      </w:r>
      <w:r>
        <w:rPr>
          <w:rFonts w:hint="eastAsia" w:ascii="仿宋_GB2312" w:hAnsi="仿宋_GB2312" w:eastAsia="仿宋_GB2312" w:cs="仿宋_GB2312"/>
          <w:color w:val="000000" w:themeColor="text1"/>
          <w:sz w:val="32"/>
          <w:szCs w:val="32"/>
          <w14:textFill>
            <w14:solidFill>
              <w14:schemeClr w14:val="tx1"/>
            </w14:solidFill>
          </w14:textFill>
        </w:rPr>
        <w:t>完成年初预算的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90.37</w:t>
      </w:r>
      <w:r>
        <w:rPr>
          <w:rFonts w:hint="eastAsia" w:ascii="仿宋_GB2312" w:hAnsi="仿宋_GB2312" w:eastAsia="仿宋_GB2312" w:cs="仿宋_GB2312"/>
          <w:color w:val="000000" w:themeColor="text1"/>
          <w:sz w:val="32"/>
          <w:szCs w:val="32"/>
          <w14:textFill>
            <w14:solidFill>
              <w14:schemeClr w14:val="tx1"/>
            </w14:solidFill>
          </w14:textFill>
        </w:rPr>
        <w:t>%，决算数小于年初预算数的主要原因是：</w:t>
      </w:r>
      <w:r>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t>本单位厉行节约。</w:t>
      </w:r>
    </w:p>
    <w:p w14:paraId="584BD9AB">
      <w:pPr>
        <w:pStyle w:val="13"/>
        <w:keepNext w:val="0"/>
        <w:keepLines w:val="0"/>
        <w:pageBreakBefore w:val="0"/>
        <w:widowControl w:val="0"/>
        <w:numPr>
          <w:ilvl w:val="0"/>
          <w:numId w:val="1"/>
        </w:numPr>
        <w:kinsoku/>
        <w:wordWrap/>
        <w:overflowPunct/>
        <w:topLinePunct w:val="0"/>
        <w:bidi w:val="0"/>
        <w:snapToGrid/>
        <w:spacing w:line="600" w:lineRule="exact"/>
        <w:ind w:left="0" w:leftChars="0" w:firstLine="800" w:firstLineChars="250"/>
        <w:textAlignment w:val="auto"/>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农林水支出（类）农业农村（款）其他农业农村支出（项）。</w:t>
      </w:r>
    </w:p>
    <w:p w14:paraId="47023C88">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年初预算为0.50万元，支出决算为41.99万元，</w:t>
      </w:r>
      <w:r>
        <w:rPr>
          <w:rFonts w:hint="eastAsia" w:ascii="仿宋_GB2312" w:hAnsi="仿宋_GB2312" w:eastAsia="仿宋_GB2312" w:cs="仿宋_GB2312"/>
          <w:color w:val="000000" w:themeColor="text1"/>
          <w:sz w:val="32"/>
          <w:szCs w:val="32"/>
          <w14:textFill>
            <w14:solidFill>
              <w14:schemeClr w14:val="tx1"/>
            </w14:solidFill>
          </w14:textFill>
        </w:rPr>
        <w:t>完成年初预算的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8398</w:t>
      </w:r>
      <w:r>
        <w:rPr>
          <w:rFonts w:hint="eastAsia" w:ascii="仿宋_GB2312" w:hAnsi="仿宋_GB2312" w:eastAsia="仿宋_GB2312" w:cs="仿宋_GB2312"/>
          <w:color w:val="000000" w:themeColor="text1"/>
          <w:sz w:val="32"/>
          <w:szCs w:val="32"/>
          <w14:textFill>
            <w14:solidFill>
              <w14:schemeClr w14:val="tx1"/>
            </w14:solidFill>
          </w14:textFill>
        </w:rPr>
        <w:t>%，决算数小于年初预算数的主要原因是：</w:t>
      </w:r>
      <w:r>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t>本单位厉行节约。</w:t>
      </w:r>
    </w:p>
    <w:p w14:paraId="70D1A278">
      <w:pPr>
        <w:widowControl w:val="0"/>
        <w:numPr>
          <w:ilvl w:val="0"/>
          <w:numId w:val="1"/>
        </w:numPr>
        <w:spacing w:line="600" w:lineRule="exact"/>
        <w:ind w:left="0" w:leftChars="0" w:firstLine="800" w:firstLineChars="250"/>
        <w:jc w:val="left"/>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 xml:space="preserve">农林水支出（类）林业和草原（款）其他林业和草原支出（项）。  </w:t>
      </w:r>
    </w:p>
    <w:p w14:paraId="5CD43B61">
      <w:pPr>
        <w:widowControl w:val="0"/>
        <w:numPr>
          <w:ilvl w:val="0"/>
          <w:numId w:val="0"/>
        </w:numPr>
        <w:spacing w:line="600" w:lineRule="exact"/>
        <w:ind w:firstLine="640" w:firstLineChars="200"/>
        <w:jc w:val="left"/>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年初预算为0万元，支出决算为154.71万元，因预算数为0，无法计算百分比，主要原因是：此项支出为实验室升级改造项目支出，使用的是中央转移支付资金。</w:t>
      </w:r>
    </w:p>
    <w:p w14:paraId="534B142F">
      <w:pPr>
        <w:widowControl w:val="0"/>
        <w:numPr>
          <w:ilvl w:val="0"/>
          <w:numId w:val="1"/>
        </w:numPr>
        <w:spacing w:line="600" w:lineRule="exact"/>
        <w:ind w:left="0" w:leftChars="0" w:firstLine="800" w:firstLineChars="250"/>
        <w:jc w:val="left"/>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住房保障支出（类）住房改革支出（款）住房公积金（项）。</w:t>
      </w:r>
    </w:p>
    <w:p w14:paraId="2B2F9FB9">
      <w:pPr>
        <w:widowControl w:val="0"/>
        <w:numPr>
          <w:ilvl w:val="0"/>
          <w:numId w:val="0"/>
        </w:numPr>
        <w:spacing w:line="600" w:lineRule="exact"/>
        <w:ind w:firstLine="640" w:firstLineChars="200"/>
        <w:jc w:val="left"/>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年初预算为13.06万元，支出决算为13.06万元，</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完成年初预算的100%，</w:t>
      </w:r>
      <w:r>
        <w:rPr>
          <w:rFonts w:hint="eastAsia" w:ascii="仿宋_GB2312" w:hAnsi="仿宋_GB2312" w:eastAsia="仿宋_GB2312"/>
          <w:color w:val="000000" w:themeColor="text1"/>
          <w:sz w:val="32"/>
          <w:lang w:val="en-US" w:eastAsia="zh-CN" w:bidi="ar-SA"/>
          <w14:textFill>
            <w14:solidFill>
              <w14:schemeClr w14:val="tx1"/>
            </w14:solidFill>
          </w14:textFill>
        </w:rPr>
        <w:t>决算数等于年初预算数的主要原因是：</w:t>
      </w:r>
      <w:r>
        <w:rPr>
          <w:rFonts w:hint="eastAsia" w:ascii="仿宋_GB2312" w:hAnsi="仿宋_GB2312" w:eastAsia="仿宋_GB2312" w:cs="Times New Roman"/>
          <w:color w:val="000000" w:themeColor="text1"/>
          <w:kern w:val="2"/>
          <w:sz w:val="32"/>
          <w:szCs w:val="20"/>
          <w:lang w:val="en-US" w:eastAsia="zh-CN" w:bidi="ar-SA"/>
          <w14:textFill>
            <w14:solidFill>
              <w14:schemeClr w14:val="tx1"/>
            </w14:solidFill>
          </w14:textFill>
        </w:rPr>
        <w:t>我单位严格按预算执行决算</w:t>
      </w:r>
      <w:r>
        <w:rPr>
          <w:rFonts w:hint="eastAsia" w:ascii="仿宋_GB2312" w:hAnsi="仿宋_GB2312" w:eastAsia="仿宋_GB2312"/>
          <w:color w:val="000000" w:themeColor="text1"/>
          <w:sz w:val="32"/>
          <w:lang w:val="en-US" w:eastAsia="zh-CN" w:bidi="ar-SA"/>
          <w14:textFill>
            <w14:solidFill>
              <w14:schemeClr w14:val="tx1"/>
            </w14:solidFill>
          </w14:textFill>
        </w:rPr>
        <w:t>。</w:t>
      </w:r>
    </w:p>
    <w:p w14:paraId="7B6D72D1">
      <w:pPr>
        <w:pStyle w:val="13"/>
        <w:keepNext w:val="0"/>
        <w:keepLines w:val="0"/>
        <w:pageBreakBefore w:val="0"/>
        <w:widowControl w:val="0"/>
        <w:numPr>
          <w:ilvl w:val="0"/>
          <w:numId w:val="0"/>
        </w:numPr>
        <w:kinsoku/>
        <w:wordWrap/>
        <w:overflowPunct/>
        <w:topLinePunct w:val="0"/>
        <w:bidi w:val="0"/>
        <w:snapToGrid/>
        <w:spacing w:line="600" w:lineRule="exact"/>
        <w:textAlignment w:val="auto"/>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pPr>
    </w:p>
    <w:p w14:paraId="40B6985C">
      <w:pPr>
        <w:widowControl w:val="0"/>
        <w:numPr>
          <w:ilvl w:val="0"/>
          <w:numId w:val="0"/>
        </w:numPr>
        <w:spacing w:line="600" w:lineRule="exact"/>
        <w:ind w:firstLine="640" w:firstLineChars="200"/>
        <w:jc w:val="left"/>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p>
    <w:p w14:paraId="6F9EB41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六、一般公共预算财政拨款基本支出决算情况说明</w:t>
      </w:r>
    </w:p>
    <w:p w14:paraId="564E6EC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年度财政拨款基本支出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221.32</w:t>
      </w:r>
      <w:r>
        <w:rPr>
          <w:rFonts w:hint="eastAsia" w:ascii="仿宋_GB2312" w:hAnsi="仿宋_GB2312" w:eastAsia="仿宋_GB2312" w:cs="仿宋_GB2312"/>
          <w:color w:val="000000" w:themeColor="text1"/>
          <w:sz w:val="32"/>
          <w:szCs w:val="32"/>
          <w14:textFill>
            <w14:solidFill>
              <w14:schemeClr w14:val="tx1"/>
            </w14:solidFill>
          </w14:textFill>
        </w:rPr>
        <w:t>万元，其中：</w:t>
      </w:r>
    </w:p>
    <w:p w14:paraId="2386C29A">
      <w:pPr>
        <w:widowControl w:val="0"/>
        <w:spacing w:line="600" w:lineRule="exact"/>
        <w:ind w:firstLine="800" w:firstLineChars="250"/>
        <w:jc w:val="left"/>
        <w:rPr>
          <w:rFonts w:hint="eastAsia" w:ascii="仿宋_GB2312" w:hAnsi="仿宋_GB2312" w:eastAsia="仿宋_GB2312" w:cs="Times New Roman"/>
          <w:color w:val="000000" w:themeColor="text1"/>
          <w:sz w:val="32"/>
          <w:szCs w:val="20"/>
          <w:lang w:val="zh-CN" w:eastAsia="zh-CN" w:bidi="ar-SA"/>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人员经费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203.89</w:t>
      </w:r>
      <w:r>
        <w:rPr>
          <w:rFonts w:hint="eastAsia" w:ascii="仿宋_GB2312" w:hAnsi="仿宋_GB2312" w:eastAsia="仿宋_GB2312" w:cs="仿宋_GB2312"/>
          <w:color w:val="000000" w:themeColor="text1"/>
          <w:sz w:val="32"/>
          <w:szCs w:val="32"/>
          <w14:textFill>
            <w14:solidFill>
              <w14:schemeClr w14:val="tx1"/>
            </w14:solidFill>
          </w14:textFill>
        </w:rPr>
        <w:t>万元，占基本支出的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92.12</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Times New Roman"/>
          <w:color w:val="000000" w:themeColor="text1"/>
          <w:sz w:val="32"/>
          <w:szCs w:val="20"/>
          <w:lang w:val="en-US" w:eastAsia="zh-CN" w:bidi="ar-SA"/>
          <w14:textFill>
            <w14:solidFill>
              <w14:schemeClr w14:val="tx1"/>
            </w14:solidFill>
          </w14:textFill>
        </w:rPr>
        <w:t>主要包括基本工资、津贴补贴、</w:t>
      </w:r>
      <w:r>
        <w:rPr>
          <w:rFonts w:hint="eastAsia" w:ascii="仿宋_GB2312" w:hAnsi="仿宋_GB2312" w:eastAsia="仿宋_GB2312" w:cs="Times New Roman"/>
          <w:color w:val="000000" w:themeColor="text1"/>
          <w:sz w:val="32"/>
          <w:szCs w:val="20"/>
          <w:lang w:val="zh-CN" w:eastAsia="zh-CN" w:bidi="ar-SA"/>
          <w14:textFill>
            <w14:solidFill>
              <w14:schemeClr w14:val="tx1"/>
            </w14:solidFill>
          </w14:textFill>
        </w:rPr>
        <w:t>奖金、伙食补助费、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14:paraId="6395E3E5">
      <w:pPr>
        <w:widowControl w:val="0"/>
        <w:spacing w:line="600" w:lineRule="exact"/>
        <w:ind w:firstLine="640" w:firstLineChars="200"/>
        <w:jc w:val="left"/>
        <w:rPr>
          <w:rFonts w:hint="eastAsia"/>
          <w:color w:val="000000" w:themeColor="text1"/>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公用经费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17.43</w:t>
      </w:r>
      <w:r>
        <w:rPr>
          <w:rFonts w:hint="eastAsia" w:ascii="仿宋_GB2312" w:hAnsi="仿宋_GB2312" w:eastAsia="仿宋_GB2312" w:cs="仿宋_GB2312"/>
          <w:color w:val="000000" w:themeColor="text1"/>
          <w:sz w:val="32"/>
          <w:szCs w:val="32"/>
          <w14:textFill>
            <w14:solidFill>
              <w14:schemeClr w14:val="tx1"/>
            </w14:solidFill>
          </w14:textFill>
        </w:rPr>
        <w:t>万元，占基本支出的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7.88</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t>主要包括</w:t>
      </w:r>
      <w:r>
        <w:rPr>
          <w:rFonts w:hint="eastAsia" w:ascii="仿宋_GB2312" w:hAnsi="仿宋_GB2312" w:eastAsia="仿宋_GB2312" w:cs="Times New Roman"/>
          <w:color w:val="000000" w:themeColor="text1"/>
          <w:sz w:val="32"/>
          <w:szCs w:val="20"/>
          <w:lang w:val="en-US" w:eastAsia="zh-CN" w:bidi="ar-SA"/>
          <w14:textFill>
            <w14:solidFill>
              <w14:schemeClr w14:val="tx1"/>
            </w14:solidFill>
          </w14:textFill>
        </w:rPr>
        <w:t>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14:paraId="5DB4BB7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七、政府性基金预算收入支出决算情况</w:t>
      </w:r>
    </w:p>
    <w:p w14:paraId="043AE6F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themeColor="text1"/>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年度政府性基金预算财政拨款收入</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万元；年初结转和结余</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万元，其中基本支出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万元，项目支出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万元；年末结转和结余</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w:t>
      </w:r>
    </w:p>
    <w:p w14:paraId="303BD1B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themeColor="text1"/>
          <w:kern w:val="0"/>
          <w:sz w:val="32"/>
          <w:szCs w:val="32"/>
          <w:lang w:val="en-US" w:eastAsia="zh-CN" w:bidi="ar-SA"/>
          <w14:textFill>
            <w14:solidFill>
              <w14:schemeClr w14:val="tx1"/>
            </w14:solidFill>
          </w14:textFill>
        </w:rPr>
      </w:pPr>
      <w:r>
        <w:rPr>
          <w:rFonts w:hint="eastAsia" w:ascii="黑体" w:hAnsi="黑体" w:eastAsia="黑体" w:cs="黑体"/>
          <w:b w:val="0"/>
          <w:bCs/>
          <w:color w:val="000000" w:themeColor="text1"/>
          <w:kern w:val="0"/>
          <w:sz w:val="32"/>
          <w:szCs w:val="32"/>
          <w:lang w:val="en-US" w:eastAsia="zh-CN" w:bidi="ar-SA"/>
          <w14:textFill>
            <w14:solidFill>
              <w14:schemeClr w14:val="tx1"/>
            </w14:solidFill>
          </w14:textFill>
        </w:rPr>
        <w:t>八、国有资本经营预算财政拨款支出决算情况</w:t>
      </w:r>
    </w:p>
    <w:p w14:paraId="7E70BAE6">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2023年度国有资本经营预算财政拨款收入0万元；年初结转和结余0万；支出0万元；年末结转和结余0万元。</w:t>
      </w:r>
    </w:p>
    <w:p w14:paraId="45263D71">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000000" w:themeColor="text1"/>
          <w:sz w:val="32"/>
          <w:szCs w:val="32"/>
          <w14:textFill>
            <w14:solidFill>
              <w14:schemeClr w14:val="tx1"/>
            </w14:solidFill>
          </w14:textFill>
        </w:rPr>
      </w:pPr>
      <w:r>
        <w:rPr>
          <w:rFonts w:hint="eastAsia" w:hAnsi="黑体" w:cs="黑体"/>
          <w:b w:val="0"/>
          <w:bCs/>
          <w:color w:val="000000" w:themeColor="text1"/>
          <w:sz w:val="32"/>
          <w:szCs w:val="32"/>
          <w:lang w:eastAsia="zh-CN"/>
          <w14:textFill>
            <w14:solidFill>
              <w14:schemeClr w14:val="tx1"/>
            </w14:solidFill>
          </w14:textFill>
        </w:rPr>
        <w:t>九、</w:t>
      </w:r>
      <w:r>
        <w:rPr>
          <w:rFonts w:hint="eastAsia" w:ascii="黑体" w:hAnsi="黑体" w:eastAsia="黑体" w:cs="黑体"/>
          <w:b w:val="0"/>
          <w:bCs/>
          <w:color w:val="000000" w:themeColor="text1"/>
          <w:sz w:val="32"/>
          <w:szCs w:val="32"/>
          <w14:textFill>
            <w14:solidFill>
              <w14:schemeClr w14:val="tx1"/>
            </w14:solidFill>
          </w14:textFill>
        </w:rPr>
        <w:t>财政拨款三公经费支出决算情况说明</w:t>
      </w:r>
    </w:p>
    <w:p w14:paraId="1AE4457B">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color w:val="000000" w:themeColor="text1"/>
          <w:sz w:val="32"/>
          <w:szCs w:val="32"/>
          <w14:textFill>
            <w14:solidFill>
              <w14:schemeClr w14:val="tx1"/>
            </w14:solidFill>
          </w14:textFill>
        </w:rPr>
      </w:pPr>
      <w:r>
        <w:rPr>
          <w:rFonts w:hint="eastAsia" w:ascii="楷体" w:hAnsi="楷体" w:eastAsia="楷体" w:cs="楷体"/>
          <w:b/>
          <w:bCs w:val="0"/>
          <w:color w:val="000000" w:themeColor="text1"/>
          <w:sz w:val="32"/>
          <w:szCs w:val="32"/>
          <w14:textFill>
            <w14:solidFill>
              <w14:schemeClr w14:val="tx1"/>
            </w14:solidFill>
          </w14:textFill>
        </w:rPr>
        <w:t>（一）“三公”经费财政拨款支出决算总体情况说明</w:t>
      </w:r>
    </w:p>
    <w:p w14:paraId="68CBF020">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“三公”经费财政拨款支出预算为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4.8</w:t>
      </w:r>
      <w:r>
        <w:rPr>
          <w:rFonts w:hint="eastAsia" w:ascii="仿宋_GB2312" w:hAnsi="仿宋_GB2312" w:eastAsia="仿宋_GB2312" w:cs="仿宋_GB2312"/>
          <w:color w:val="000000" w:themeColor="text1"/>
          <w:sz w:val="32"/>
          <w:szCs w:val="32"/>
          <w14:textFill>
            <w14:solidFill>
              <w14:schemeClr w14:val="tx1"/>
            </w14:solidFill>
          </w14:textFill>
        </w:rPr>
        <w:t>万元，支出决算为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4.80</w:t>
      </w:r>
      <w:r>
        <w:rPr>
          <w:rFonts w:hint="eastAsia" w:ascii="仿宋_GB2312" w:hAnsi="仿宋_GB2312" w:eastAsia="仿宋_GB2312" w:cs="仿宋_GB2312"/>
          <w:color w:val="000000" w:themeColor="text1"/>
          <w:sz w:val="32"/>
          <w:szCs w:val="32"/>
          <w14:textFill>
            <w14:solidFill>
              <w14:schemeClr w14:val="tx1"/>
            </w14:solidFill>
          </w14:textFill>
        </w:rPr>
        <w:t>万元，完成预算的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与上年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26.02万元</w:t>
      </w:r>
      <w:r>
        <w:rPr>
          <w:rFonts w:hint="eastAsia" w:ascii="仿宋_GB2312" w:hAnsi="仿宋_GB2312" w:eastAsia="仿宋_GB2312" w:cs="仿宋_GB2312"/>
          <w:color w:val="000000" w:themeColor="text1"/>
          <w:sz w:val="32"/>
          <w:szCs w:val="32"/>
          <w14:textFill>
            <w14:solidFill>
              <w14:schemeClr w14:val="tx1"/>
            </w14:solidFill>
          </w14:textFill>
        </w:rPr>
        <w:t>相比减少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21.22</w:t>
      </w:r>
      <w:r>
        <w:rPr>
          <w:rFonts w:hint="eastAsia" w:ascii="仿宋_GB2312" w:hAnsi="仿宋_GB2312" w:eastAsia="仿宋_GB2312" w:cs="仿宋_GB2312"/>
          <w:color w:val="000000" w:themeColor="text1"/>
          <w:sz w:val="32"/>
          <w:szCs w:val="32"/>
          <w14:textFill>
            <w14:solidFill>
              <w14:schemeClr w14:val="tx1"/>
            </w14:solidFill>
          </w14:textFill>
        </w:rPr>
        <w:t>万元，减少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81.55</w:t>
      </w:r>
      <w:r>
        <w:rPr>
          <w:rFonts w:hint="eastAsia" w:ascii="仿宋_GB2312" w:hAnsi="仿宋_GB2312" w:eastAsia="仿宋_GB2312" w:cs="仿宋_GB2312"/>
          <w:color w:val="000000" w:themeColor="text1"/>
          <w:sz w:val="32"/>
          <w:szCs w:val="32"/>
          <w14:textFill>
            <w14:solidFill>
              <w14:schemeClr w14:val="tx1"/>
            </w14:solidFill>
          </w14:textFill>
        </w:rPr>
        <w:t>%,减少的主要原因是</w:t>
      </w:r>
      <w:r>
        <w:rPr>
          <w:rFonts w:hint="eastAsia" w:ascii="仿宋_GB2312" w:hAnsi="仿宋_GB2312" w:eastAsia="仿宋_GB2312"/>
          <w:color w:val="000000" w:themeColor="text1"/>
          <w:sz w:val="32"/>
          <w:szCs w:val="20"/>
          <w:lang w:val="zh-CN" w:eastAsia="zh-CN" w:bidi="ar-SA"/>
          <w14:textFill>
            <w14:solidFill>
              <w14:schemeClr w14:val="tx1"/>
            </w14:solidFill>
          </w14:textFill>
        </w:rPr>
        <w:t>本单位严格落实“过紧日子”要求，厉行节约</w:t>
      </w:r>
      <w:r>
        <w:rPr>
          <w:rFonts w:hint="eastAsia" w:ascii="仿宋_GB2312" w:hAnsi="仿宋_GB2312" w:eastAsia="仿宋_GB2312" w:cs="仿宋_GB2312"/>
          <w:color w:val="000000" w:themeColor="text1"/>
          <w:sz w:val="32"/>
          <w:szCs w:val="32"/>
          <w14:textFill>
            <w14:solidFill>
              <w14:schemeClr w14:val="tx1"/>
            </w14:solidFill>
          </w14:textFill>
        </w:rPr>
        <w:t>。其中：</w:t>
      </w:r>
    </w:p>
    <w:p w14:paraId="17DA39AE">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因公出国（境）费支出预算为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万元，支出决算为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t>由于年初预算</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数为0万元，无法计算百分比，决算数等于预算数的主要原因是本单位严格按预算执行决算；与上年一致，无增减变动，主要原因是未安排因公出国（境）活动。</w:t>
      </w:r>
    </w:p>
    <w:p w14:paraId="1C1A5AA4">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公务接待费支出预算为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2.12</w:t>
      </w:r>
      <w:r>
        <w:rPr>
          <w:rFonts w:hint="eastAsia" w:ascii="仿宋_GB2312" w:hAnsi="仿宋_GB2312" w:eastAsia="仿宋_GB2312" w:cs="仿宋_GB2312"/>
          <w:color w:val="000000" w:themeColor="text1"/>
          <w:sz w:val="32"/>
          <w:szCs w:val="32"/>
          <w14:textFill>
            <w14:solidFill>
              <w14:schemeClr w14:val="tx1"/>
            </w14:solidFill>
          </w14:textFill>
        </w:rPr>
        <w:t>万元，支出决算为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2.12</w:t>
      </w:r>
      <w:r>
        <w:rPr>
          <w:rFonts w:hint="eastAsia" w:ascii="仿宋_GB2312" w:hAnsi="仿宋_GB2312" w:eastAsia="仿宋_GB2312" w:cs="仿宋_GB2312"/>
          <w:color w:val="000000" w:themeColor="text1"/>
          <w:sz w:val="32"/>
          <w:szCs w:val="32"/>
          <w14:textFill>
            <w14:solidFill>
              <w14:schemeClr w14:val="tx1"/>
            </w14:solidFill>
          </w14:textFill>
        </w:rPr>
        <w:t>万元，完成预算的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与上年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1.80万元</w:t>
      </w:r>
      <w:r>
        <w:rPr>
          <w:rFonts w:hint="eastAsia" w:ascii="仿宋_GB2312" w:hAnsi="仿宋_GB2312" w:eastAsia="仿宋_GB2312" w:cs="仿宋_GB2312"/>
          <w:color w:val="000000" w:themeColor="text1"/>
          <w:sz w:val="32"/>
          <w:szCs w:val="32"/>
          <w14:textFill>
            <w14:solidFill>
              <w14:schemeClr w14:val="tx1"/>
            </w14:solidFill>
          </w14:textFill>
        </w:rPr>
        <w:t>相比增加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0.32</w:t>
      </w:r>
      <w:r>
        <w:rPr>
          <w:rFonts w:hint="eastAsia" w:ascii="仿宋_GB2312" w:hAnsi="仿宋_GB2312" w:eastAsia="仿宋_GB2312" w:cs="仿宋_GB2312"/>
          <w:color w:val="000000" w:themeColor="text1"/>
          <w:sz w:val="32"/>
          <w:szCs w:val="32"/>
          <w14:textFill>
            <w14:solidFill>
              <w14:schemeClr w14:val="tx1"/>
            </w14:solidFill>
          </w14:textFill>
        </w:rPr>
        <w:t>万元，增长</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17.78</w:t>
      </w:r>
      <w:r>
        <w:rPr>
          <w:rFonts w:hint="eastAsia" w:ascii="仿宋_GB2312" w:hAnsi="仿宋_GB2312" w:eastAsia="仿宋_GB2312" w:cs="仿宋_GB2312"/>
          <w:color w:val="000000" w:themeColor="text1"/>
          <w:sz w:val="32"/>
          <w:szCs w:val="32"/>
          <w14:textFill>
            <w14:solidFill>
              <w14:schemeClr w14:val="tx1"/>
            </w14:solidFill>
          </w14:textFill>
        </w:rPr>
        <w:t>%,增长的主要原因是</w:t>
      </w:r>
      <w:r>
        <w:rPr>
          <w:rFonts w:hint="eastAsia" w:ascii="仿宋_GB2312" w:hAnsi="仿宋_GB2312" w:eastAsia="仿宋_GB2312" w:cs="仿宋_GB2312"/>
          <w:color w:val="000000" w:themeColor="text1"/>
          <w:sz w:val="32"/>
          <w:szCs w:val="32"/>
          <w:lang w:eastAsia="zh-CN"/>
          <w14:textFill>
            <w14:solidFill>
              <w14:schemeClr w14:val="tx1"/>
            </w14:solidFill>
          </w14:textFill>
        </w:rPr>
        <w:t>新冠疫情防控转段后，公务活动逐渐恢复，支出略微增加</w:t>
      </w:r>
      <w:r>
        <w:rPr>
          <w:rFonts w:hint="eastAsia" w:ascii="仿宋_GB2312" w:hAnsi="仿宋_GB2312" w:eastAsia="仿宋_GB2312" w:cs="仿宋_GB2312"/>
          <w:color w:val="000000" w:themeColor="text1"/>
          <w:sz w:val="32"/>
          <w:szCs w:val="32"/>
          <w14:textFill>
            <w14:solidFill>
              <w14:schemeClr w14:val="tx1"/>
            </w14:solidFill>
          </w14:textFill>
        </w:rPr>
        <w:t>。</w:t>
      </w:r>
    </w:p>
    <w:p w14:paraId="61B6ACCF">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公务用车购置费支出预算为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万元，支出决算为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黑体"/>
          <w:color w:val="000000" w:themeColor="text1"/>
          <w:kern w:val="0"/>
          <w:sz w:val="32"/>
          <w:szCs w:val="24"/>
          <w:lang w:val="en-US" w:eastAsia="zh-CN" w:bidi="ar-SA"/>
          <w14:textFill>
            <w14:solidFill>
              <w14:schemeClr w14:val="tx1"/>
            </w14:solidFill>
          </w14:textFill>
        </w:rPr>
        <w:t>由于年初预算</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数为0万元，无法计算百分比，决算数等于预算数，主要原因是我单位严格按预算执行决算；</w:t>
      </w:r>
      <w:r>
        <w:rPr>
          <w:rFonts w:hint="eastAsia" w:ascii="仿宋_GB2312" w:hAnsi="仿宋_GB2312" w:eastAsia="仿宋_GB2312" w:cs="仿宋_GB2312"/>
          <w:color w:val="000000" w:themeColor="text1"/>
          <w:sz w:val="32"/>
          <w:szCs w:val="32"/>
          <w14:textFill>
            <w14:solidFill>
              <w14:schemeClr w14:val="tx1"/>
            </w14:solidFill>
          </w14:textFill>
        </w:rPr>
        <w:t>与上年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19.57万元</w:t>
      </w:r>
      <w:r>
        <w:rPr>
          <w:rFonts w:hint="eastAsia" w:ascii="仿宋_GB2312" w:hAnsi="仿宋_GB2312" w:eastAsia="仿宋_GB2312" w:cs="仿宋_GB2312"/>
          <w:color w:val="000000" w:themeColor="text1"/>
          <w:sz w:val="32"/>
          <w:szCs w:val="32"/>
          <w14:textFill>
            <w14:solidFill>
              <w14:schemeClr w14:val="tx1"/>
            </w14:solidFill>
          </w14:textFill>
        </w:rPr>
        <w:t>相比减少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19.57</w:t>
      </w:r>
      <w:r>
        <w:rPr>
          <w:rFonts w:hint="eastAsia" w:ascii="仿宋_GB2312" w:hAnsi="仿宋_GB2312" w:eastAsia="仿宋_GB2312" w:cs="仿宋_GB2312"/>
          <w:color w:val="000000" w:themeColor="text1"/>
          <w:sz w:val="32"/>
          <w:szCs w:val="32"/>
          <w14:textFill>
            <w14:solidFill>
              <w14:schemeClr w14:val="tx1"/>
            </w14:solidFill>
          </w14:textFill>
        </w:rPr>
        <w:t>万元，减少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%,减少的主要原因是</w:t>
      </w:r>
      <w:r>
        <w:rPr>
          <w:rFonts w:hint="eastAsia" w:ascii="仿宋_GB2312" w:hAnsi="仿宋_GB2312" w:eastAsia="仿宋_GB2312" w:cs="仿宋_GB2312"/>
          <w:color w:val="000000" w:themeColor="text1"/>
          <w:sz w:val="32"/>
          <w:szCs w:val="32"/>
          <w:lang w:eastAsia="zh-CN"/>
          <w14:textFill>
            <w14:solidFill>
              <w14:schemeClr w14:val="tx1"/>
            </w14:solidFill>
          </w14:textFill>
        </w:rPr>
        <w:t>无公务用车购置需求</w:t>
      </w:r>
      <w:r>
        <w:rPr>
          <w:rFonts w:hint="eastAsia" w:ascii="仿宋_GB2312" w:hAnsi="仿宋_GB2312" w:eastAsia="仿宋_GB2312" w:cs="仿宋_GB2312"/>
          <w:color w:val="000000" w:themeColor="text1"/>
          <w:sz w:val="32"/>
          <w:szCs w:val="32"/>
          <w14:textFill>
            <w14:solidFill>
              <w14:schemeClr w14:val="tx1"/>
            </w14:solidFill>
          </w14:textFill>
        </w:rPr>
        <w:t>。</w:t>
      </w:r>
    </w:p>
    <w:p w14:paraId="21DF3DDC">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公务用车运行维护费支出预算为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2.68</w:t>
      </w:r>
      <w:r>
        <w:rPr>
          <w:rFonts w:hint="eastAsia" w:ascii="仿宋_GB2312" w:hAnsi="仿宋_GB2312" w:eastAsia="仿宋_GB2312" w:cs="仿宋_GB2312"/>
          <w:color w:val="000000" w:themeColor="text1"/>
          <w:sz w:val="32"/>
          <w:szCs w:val="32"/>
          <w14:textFill>
            <w14:solidFill>
              <w14:schemeClr w14:val="tx1"/>
            </w14:solidFill>
          </w14:textFill>
        </w:rPr>
        <w:t>万元，支出决算为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2.68</w:t>
      </w:r>
      <w:r>
        <w:rPr>
          <w:rFonts w:hint="eastAsia" w:ascii="仿宋_GB2312" w:hAnsi="仿宋_GB2312" w:eastAsia="仿宋_GB2312" w:cs="仿宋_GB2312"/>
          <w:color w:val="000000" w:themeColor="text1"/>
          <w:sz w:val="32"/>
          <w:szCs w:val="32"/>
          <w14:textFill>
            <w14:solidFill>
              <w14:schemeClr w14:val="tx1"/>
            </w14:solidFill>
          </w14:textFill>
        </w:rPr>
        <w:t>万元，完成预算的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与上年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4.65万元</w:t>
      </w:r>
      <w:r>
        <w:rPr>
          <w:rFonts w:hint="eastAsia" w:ascii="仿宋_GB2312" w:hAnsi="仿宋_GB2312" w:eastAsia="仿宋_GB2312" w:cs="仿宋_GB2312"/>
          <w:color w:val="000000" w:themeColor="text1"/>
          <w:sz w:val="32"/>
          <w:szCs w:val="32"/>
          <w14:textFill>
            <w14:solidFill>
              <w14:schemeClr w14:val="tx1"/>
            </w14:solidFill>
          </w14:textFill>
        </w:rPr>
        <w:t>相比减少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1.97</w:t>
      </w:r>
      <w:r>
        <w:rPr>
          <w:rFonts w:hint="eastAsia" w:ascii="仿宋_GB2312" w:hAnsi="仿宋_GB2312" w:eastAsia="仿宋_GB2312" w:cs="仿宋_GB2312"/>
          <w:color w:val="000000" w:themeColor="text1"/>
          <w:sz w:val="32"/>
          <w:szCs w:val="32"/>
          <w14:textFill>
            <w14:solidFill>
              <w14:schemeClr w14:val="tx1"/>
            </w14:solidFill>
          </w14:textFill>
        </w:rPr>
        <w:t>万元，减少</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42.37</w:t>
      </w:r>
      <w:r>
        <w:rPr>
          <w:rFonts w:hint="eastAsia" w:ascii="仿宋_GB2312" w:hAnsi="仿宋_GB2312" w:eastAsia="仿宋_GB2312" w:cs="仿宋_GB2312"/>
          <w:color w:val="000000" w:themeColor="text1"/>
          <w:sz w:val="32"/>
          <w:szCs w:val="32"/>
          <w14:textFill>
            <w14:solidFill>
              <w14:schemeClr w14:val="tx1"/>
            </w14:solidFill>
          </w14:textFill>
        </w:rPr>
        <w:t>%,减少的主要原因是</w:t>
      </w:r>
      <w:r>
        <w:rPr>
          <w:rFonts w:hint="eastAsia" w:ascii="仿宋_GB2312" w:hAnsi="仿宋_GB2312" w:eastAsia="仿宋_GB2312"/>
          <w:color w:val="000000" w:themeColor="text1"/>
          <w:sz w:val="32"/>
          <w:szCs w:val="20"/>
          <w:lang w:val="zh-CN" w:eastAsia="zh-CN" w:bidi="ar-SA"/>
          <w14:textFill>
            <w14:solidFill>
              <w14:schemeClr w14:val="tx1"/>
            </w14:solidFill>
          </w14:textFill>
        </w:rPr>
        <w:t>本单位严格落实“过紧日子”要求，厉行节约</w:t>
      </w:r>
      <w:r>
        <w:rPr>
          <w:rFonts w:hint="eastAsia" w:ascii="仿宋_GB2312" w:hAnsi="仿宋_GB2312" w:eastAsia="仿宋_GB2312" w:cs="仿宋_GB2312"/>
          <w:color w:val="000000" w:themeColor="text1"/>
          <w:sz w:val="32"/>
          <w:szCs w:val="32"/>
          <w14:textFill>
            <w14:solidFill>
              <w14:schemeClr w14:val="tx1"/>
            </w14:solidFill>
          </w14:textFill>
        </w:rPr>
        <w:t>。</w:t>
      </w:r>
    </w:p>
    <w:p w14:paraId="68623879">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color w:val="000000" w:themeColor="text1"/>
          <w:sz w:val="32"/>
          <w:szCs w:val="32"/>
          <w14:textFill>
            <w14:solidFill>
              <w14:schemeClr w14:val="tx1"/>
            </w14:solidFill>
          </w14:textFill>
        </w:rPr>
      </w:pPr>
      <w:r>
        <w:rPr>
          <w:rFonts w:hint="eastAsia" w:ascii="楷体" w:hAnsi="楷体" w:eastAsia="楷体" w:cs="楷体"/>
          <w:b/>
          <w:bCs w:val="0"/>
          <w:color w:val="000000" w:themeColor="text1"/>
          <w:sz w:val="32"/>
          <w:szCs w:val="32"/>
          <w14:textFill>
            <w14:solidFill>
              <w14:schemeClr w14:val="tx1"/>
            </w14:solidFill>
          </w14:textFill>
        </w:rPr>
        <w:t>（二）“三公”经费财政拨款支出决算具体情况说明</w:t>
      </w:r>
    </w:p>
    <w:p w14:paraId="1A4EDC77">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Times New Roman" w:hAnsi="Times New Roman" w:eastAsia="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年度“三公”经费财政拨款支出决算中，公务接待费支出决算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2.12</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44.17</w:t>
      </w:r>
      <w:r>
        <w:rPr>
          <w:rFonts w:hint="eastAsia" w:ascii="仿宋_GB2312" w:hAnsi="仿宋_GB2312" w:eastAsia="仿宋_GB2312" w:cs="仿宋_GB2312"/>
          <w:color w:val="000000" w:themeColor="text1"/>
          <w:sz w:val="32"/>
          <w:szCs w:val="32"/>
          <w14:textFill>
            <w14:solidFill>
              <w14:schemeClr w14:val="tx1"/>
            </w14:solidFill>
          </w14:textFill>
        </w:rPr>
        <w:t>%,因公出国（境）费支出决算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%,公务用车购置费及运行维护费支出决算</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2.68</w:t>
      </w:r>
      <w:r>
        <w:rPr>
          <w:rFonts w:hint="eastAsia" w:ascii="仿宋_GB2312" w:hAnsi="仿宋_GB2312" w:eastAsia="仿宋_GB2312" w:cs="仿宋_GB2312"/>
          <w:color w:val="000000" w:themeColor="text1"/>
          <w:sz w:val="32"/>
          <w:szCs w:val="32"/>
          <w14:textFill>
            <w14:solidFill>
              <w14:schemeClr w14:val="tx1"/>
            </w14:solidFill>
          </w14:textFill>
        </w:rPr>
        <w:t>万元，占</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55.83</w:t>
      </w:r>
      <w:r>
        <w:rPr>
          <w:rFonts w:hint="eastAsia" w:ascii="仿宋_GB2312" w:hAnsi="仿宋_GB2312" w:eastAsia="仿宋_GB2312" w:cs="仿宋_GB2312"/>
          <w:color w:val="000000" w:themeColor="text1"/>
          <w:sz w:val="32"/>
          <w:szCs w:val="32"/>
          <w14:textFill>
            <w14:solidFill>
              <w14:schemeClr w14:val="tx1"/>
            </w14:solidFill>
          </w14:textFill>
        </w:rPr>
        <w:t>%。其中：</w:t>
      </w:r>
    </w:p>
    <w:p w14:paraId="70982DEB">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因公出国（境）费支出决算为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万元，全年安排因公出国（境）团组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个，累计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人次</w:t>
      </w:r>
      <w:r>
        <w:rPr>
          <w:rFonts w:hint="eastAsia" w:ascii="仿宋_GB2312" w:hAnsi="仿宋_GB2312" w:eastAsia="仿宋_GB2312" w:cs="仿宋_GB2312"/>
          <w:b/>
          <w:bCs/>
          <w:i/>
          <w:color w:val="000000" w:themeColor="text1"/>
          <w:sz w:val="32"/>
          <w:szCs w:val="32"/>
          <w:lang w:eastAsia="zh-CN"/>
          <w14:textFill>
            <w14:solidFill>
              <w14:schemeClr w14:val="tx1"/>
            </w14:solidFill>
          </w14:textFill>
        </w:rPr>
        <w:t>。</w:t>
      </w:r>
    </w:p>
    <w:p w14:paraId="1CFF8A9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2、公务接待费支出决算为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2.12</w:t>
      </w:r>
      <w:r>
        <w:rPr>
          <w:rFonts w:hint="eastAsia" w:ascii="仿宋_GB2312" w:hAnsi="仿宋_GB2312" w:eastAsia="仿宋_GB2312" w:cs="仿宋_GB2312"/>
          <w:color w:val="000000" w:themeColor="text1"/>
          <w:sz w:val="32"/>
          <w:szCs w:val="32"/>
          <w14:textFill>
            <w14:solidFill>
              <w14:schemeClr w14:val="tx1"/>
            </w14:solidFill>
          </w14:textFill>
        </w:rPr>
        <w:t>万元，全年共接待来访团组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25余</w:t>
      </w:r>
      <w:r>
        <w:rPr>
          <w:rFonts w:hint="eastAsia" w:ascii="仿宋_GB2312" w:hAnsi="仿宋_GB2312" w:eastAsia="仿宋_GB2312" w:cs="仿宋_GB2312"/>
          <w:color w:val="000000" w:themeColor="text1"/>
          <w:sz w:val="32"/>
          <w:szCs w:val="32"/>
          <w14:textFill>
            <w14:solidFill>
              <w14:schemeClr w14:val="tx1"/>
            </w14:solidFill>
          </w14:textFill>
        </w:rPr>
        <w:t>个、来宾</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152余</w:t>
      </w:r>
      <w:r>
        <w:rPr>
          <w:rFonts w:hint="eastAsia" w:ascii="仿宋_GB2312" w:hAnsi="仿宋_GB2312" w:eastAsia="仿宋_GB2312" w:cs="仿宋_GB2312"/>
          <w:color w:val="000000" w:themeColor="text1"/>
          <w:sz w:val="32"/>
          <w:szCs w:val="32"/>
          <w14:textFill>
            <w14:solidFill>
              <w14:schemeClr w14:val="tx1"/>
            </w14:solidFill>
          </w14:textFill>
        </w:rPr>
        <w:t>人次，</w:t>
      </w:r>
      <w:r>
        <w:rPr>
          <w:rFonts w:hint="eastAsia" w:ascii="Times New Roman" w:hAnsi="Times New Roman" w:eastAsia="仿宋_GB2312"/>
          <w:color w:val="000000" w:themeColor="text1"/>
          <w:sz w:val="32"/>
          <w:szCs w:val="32"/>
          <w14:textFill>
            <w14:solidFill>
              <w14:schemeClr w14:val="tx1"/>
            </w14:solidFill>
          </w14:textFill>
        </w:rPr>
        <w:t>主要是各县市区有关单位送样检测和交流工作情况及接受相关部门检查指导工作发生的接待支出</w:t>
      </w:r>
      <w:r>
        <w:rPr>
          <w:rFonts w:hint="eastAsia" w:ascii="仿宋_GB2312" w:hAnsi="仿宋_GB2312" w:eastAsia="仿宋_GB2312" w:cs="仿宋_GB2312"/>
          <w:color w:val="000000" w:themeColor="text1"/>
          <w:sz w:val="32"/>
          <w:szCs w:val="32"/>
          <w14:textFill>
            <w14:solidFill>
              <w14:schemeClr w14:val="tx1"/>
            </w14:solidFill>
          </w14:textFill>
        </w:rPr>
        <w:t>。</w:t>
      </w:r>
    </w:p>
    <w:p w14:paraId="41DCA185">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3、公务用车购置费及运行维护费支出决算为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2.68</w:t>
      </w:r>
      <w:r>
        <w:rPr>
          <w:rFonts w:hint="eastAsia" w:ascii="仿宋_GB2312" w:hAnsi="仿宋_GB2312" w:eastAsia="仿宋_GB2312" w:cs="仿宋_GB2312"/>
          <w:color w:val="000000" w:themeColor="text1"/>
          <w:sz w:val="32"/>
          <w:szCs w:val="32"/>
          <w14:textFill>
            <w14:solidFill>
              <w14:schemeClr w14:val="tx1"/>
            </w14:solidFill>
          </w14:textFill>
        </w:rPr>
        <w:t>万元，其中：公务用车购置费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万元，更新公务用车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公务用车运行维护费</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2.68</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Times New Roman" w:hAnsi="Times New Roman" w:eastAsia="仿宋_GB2312"/>
          <w:color w:val="000000" w:themeColor="text1"/>
          <w:sz w:val="32"/>
          <w:szCs w:val="32"/>
          <w14:textFill>
            <w14:solidFill>
              <w14:schemeClr w14:val="tx1"/>
            </w14:solidFill>
          </w14:textFill>
        </w:rPr>
        <w:t>主要是按规定保留的公务用车的燃料费、维修费、过桥过路费、保险费、安全奖励费用等支出，</w:t>
      </w:r>
      <w:r>
        <w:rPr>
          <w:rFonts w:hint="eastAsia" w:ascii="仿宋_GB2312" w:hAnsi="仿宋_GB2312" w:eastAsia="仿宋_GB2312" w:cs="仿宋_GB2312"/>
          <w:color w:val="000000" w:themeColor="text1"/>
          <w:sz w:val="32"/>
          <w:szCs w:val="32"/>
          <w14:textFill>
            <w14:solidFill>
              <w14:schemeClr w14:val="tx1"/>
            </w14:solidFill>
          </w14:textFill>
        </w:rPr>
        <w:t>截止202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年12月31日，我单位开支财政拨款的公务用车保有量为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辆。</w:t>
      </w:r>
    </w:p>
    <w:p w14:paraId="34A449C6">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十</w:t>
      </w:r>
      <w:r>
        <w:rPr>
          <w:rFonts w:hint="eastAsia" w:hAnsi="黑体" w:cs="黑体"/>
          <w:b w:val="0"/>
          <w:bCs/>
          <w:color w:val="000000" w:themeColor="text1"/>
          <w:sz w:val="32"/>
          <w:szCs w:val="32"/>
          <w:lang w:eastAsia="zh-CN"/>
          <w14:textFill>
            <w14:solidFill>
              <w14:schemeClr w14:val="tx1"/>
            </w14:solidFill>
          </w14:textFill>
        </w:rPr>
        <w:t>一</w:t>
      </w:r>
      <w:r>
        <w:rPr>
          <w:rFonts w:hint="eastAsia" w:ascii="黑体" w:hAnsi="黑体" w:eastAsia="黑体" w:cs="黑体"/>
          <w:b w:val="0"/>
          <w:bCs/>
          <w:color w:val="000000" w:themeColor="text1"/>
          <w:sz w:val="32"/>
          <w:szCs w:val="32"/>
          <w14:textFill>
            <w14:solidFill>
              <w14:schemeClr w14:val="tx1"/>
            </w14:solidFill>
          </w14:textFill>
        </w:rPr>
        <w:t>、一般性支出情况说明</w:t>
      </w:r>
    </w:p>
    <w:p w14:paraId="1DFAAC76">
      <w:pPr>
        <w:pStyle w:val="13"/>
        <w:ind w:firstLine="640" w:firstLineChars="200"/>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年度，会</w:t>
      </w:r>
      <w:r>
        <w:rPr>
          <w:rFonts w:hint="eastAsia" w:ascii="仿宋_GB2312" w:hAnsi="仿宋_GB2312" w:eastAsia="仿宋_GB2312" w:cs="Times New Roman"/>
          <w:color w:val="000000" w:themeColor="text1"/>
          <w:kern w:val="2"/>
          <w:sz w:val="32"/>
          <w:szCs w:val="20"/>
          <w:lang w:val="en-US" w:eastAsia="zh-CN" w:bidi="ar-SA"/>
          <w14:textFill>
            <w14:solidFill>
              <w14:schemeClr w14:val="tx1"/>
            </w14:solidFill>
          </w14:textFill>
        </w:rPr>
        <w:t>议费年初预算0.19万元（其中：一般公共预算基本支出会议费预算0万元、项目支出会议费预算0.19万元）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，支出决算为0.19万元，完成年初预算的100%。用于召开动物疫病预防控制方面的会议，</w:t>
      </w:r>
      <w:r>
        <w:rPr>
          <w:rFonts w:hint="eastAsia" w:ascii="仿宋_GB2312" w:hAnsi="仿宋_GB2312" w:eastAsia="仿宋_GB2312" w:cs="仿宋_GB2312"/>
          <w:color w:val="000000" w:themeColor="text1"/>
          <w:sz w:val="32"/>
          <w:szCs w:val="32"/>
          <w14:textFill>
            <w14:solidFill>
              <w14:schemeClr w14:val="tx1"/>
            </w14:solidFill>
          </w14:textFill>
        </w:rPr>
        <w:t>人数</w:t>
      </w:r>
      <w:r>
        <w:rPr>
          <w:rFonts w:hint="eastAsia" w:ascii="仿宋_GB2312" w:hAnsi="仿宋_GB2312" w:eastAsia="仿宋_GB2312" w:cs="仿宋_GB2312"/>
          <w:color w:val="000000" w:themeColor="text1"/>
          <w:sz w:val="32"/>
          <w:szCs w:val="32"/>
          <w:lang w:eastAsia="zh-CN"/>
          <w14:textFill>
            <w14:solidFill>
              <w14:schemeClr w14:val="tx1"/>
            </w14:solidFill>
          </w14:textFill>
        </w:rPr>
        <w:t>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50</w:t>
      </w:r>
      <w:r>
        <w:rPr>
          <w:rFonts w:hint="eastAsia" w:ascii="仿宋_GB2312" w:hAnsi="仿宋_GB2312" w:eastAsia="仿宋_GB2312" w:cs="仿宋_GB2312"/>
          <w:color w:val="000000" w:themeColor="text1"/>
          <w:sz w:val="32"/>
          <w:szCs w:val="32"/>
          <w14:textFill>
            <w14:solidFill>
              <w14:schemeClr w14:val="tx1"/>
            </w14:solidFill>
          </w14:textFill>
        </w:rPr>
        <w:t>人，内容为</w:t>
      </w:r>
      <w:r>
        <w:rPr>
          <w:rFonts w:hint="eastAsia" w:ascii="仿宋_GB2312" w:hAnsi="仿宋_GB2312" w:eastAsia="仿宋_GB2312" w:cs="仿宋_GB2312"/>
          <w:color w:val="000000" w:themeColor="text1"/>
          <w:sz w:val="32"/>
          <w:szCs w:val="32"/>
          <w:lang w:eastAsia="zh-CN"/>
          <w14:textFill>
            <w14:solidFill>
              <w14:schemeClr w14:val="tx1"/>
            </w14:solidFill>
          </w14:textFill>
        </w:rPr>
        <w:t>推进部署动物疫病监测工作。</w:t>
      </w:r>
    </w:p>
    <w:p w14:paraId="02E0A1B1">
      <w:pPr>
        <w:widowControl w:val="0"/>
        <w:autoSpaceDE w:val="0"/>
        <w:autoSpaceDN w:val="0"/>
        <w:adjustRightInd w:val="0"/>
        <w:ind w:firstLine="640" w:firstLineChars="200"/>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Times New Roman"/>
          <w:color w:val="000000" w:themeColor="text1"/>
          <w:kern w:val="2"/>
          <w:sz w:val="32"/>
          <w:szCs w:val="20"/>
          <w:lang w:val="en-US" w:eastAsia="zh-CN" w:bidi="ar-SA"/>
          <w14:textFill>
            <w14:solidFill>
              <w14:schemeClr w14:val="tx1"/>
            </w14:solidFill>
          </w14:textFill>
        </w:rPr>
        <w:t>培训费年初预算5.44万元（其中：一般公共预算基本支出培训费预算0万元、项目支出培训费预算5.44万元）</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支出决算为5.44万元，完成年初预算的100%。用于开展动物疫病预防控制培训，人数约150余人，内容为动物疫病监测流调及动物疫病净化场创建培训和血防化验员技能大练兵比赛培训。</w:t>
      </w:r>
    </w:p>
    <w:p w14:paraId="2F3F4775">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举办节庆、晚会、论坛、赛事活动</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年初预算0万元，支出决算为0万元，决算数等于年初预算数，主要原因是本单位无举办节庆、晚会、论坛、赛事等活动的预算和支出决算数。</w:t>
      </w:r>
    </w:p>
    <w:p w14:paraId="71F08D72">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十</w:t>
      </w:r>
      <w:r>
        <w:rPr>
          <w:rFonts w:hint="eastAsia" w:hAnsi="黑体" w:cs="黑体"/>
          <w:b w:val="0"/>
          <w:bCs/>
          <w:color w:val="000000" w:themeColor="text1"/>
          <w:sz w:val="32"/>
          <w:szCs w:val="32"/>
          <w:lang w:eastAsia="zh-CN"/>
          <w14:textFill>
            <w14:solidFill>
              <w14:schemeClr w14:val="tx1"/>
            </w14:solidFill>
          </w14:textFill>
        </w:rPr>
        <w:t>二</w:t>
      </w:r>
      <w:r>
        <w:rPr>
          <w:rFonts w:hint="eastAsia" w:ascii="黑体" w:hAnsi="黑体" w:eastAsia="黑体" w:cs="黑体"/>
          <w:b w:val="0"/>
          <w:bCs/>
          <w:color w:val="000000" w:themeColor="text1"/>
          <w:sz w:val="32"/>
          <w:szCs w:val="32"/>
          <w14:textFill>
            <w14:solidFill>
              <w14:schemeClr w14:val="tx1"/>
            </w14:solidFill>
          </w14:textFill>
        </w:rPr>
        <w:t>、关于政府采购支出说明</w:t>
      </w:r>
    </w:p>
    <w:p w14:paraId="52FB9DC5">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本部门202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年度政府采购支出总额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189.62</w:t>
      </w:r>
      <w:r>
        <w:rPr>
          <w:rFonts w:hint="eastAsia" w:ascii="仿宋_GB2312" w:hAnsi="仿宋_GB2312" w:eastAsia="仿宋_GB2312" w:cs="仿宋_GB2312"/>
          <w:color w:val="000000" w:themeColor="text1"/>
          <w:sz w:val="32"/>
          <w:szCs w:val="32"/>
          <w14:textFill>
            <w14:solidFill>
              <w14:schemeClr w14:val="tx1"/>
            </w14:solidFill>
          </w14:textFill>
        </w:rPr>
        <w:t>万元，其中：政府采购货物支出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76.82</w:t>
      </w:r>
      <w:r>
        <w:rPr>
          <w:rFonts w:hint="eastAsia" w:ascii="仿宋_GB2312" w:hAnsi="仿宋_GB2312" w:eastAsia="仿宋_GB2312" w:cs="仿宋_GB2312"/>
          <w:color w:val="000000" w:themeColor="text1"/>
          <w:sz w:val="32"/>
          <w:szCs w:val="32"/>
          <w14:textFill>
            <w14:solidFill>
              <w14:schemeClr w14:val="tx1"/>
            </w14:solidFill>
          </w14:textFill>
        </w:rPr>
        <w:t>万元、政府采购工程支出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112.80</w:t>
      </w:r>
      <w:r>
        <w:rPr>
          <w:rFonts w:hint="eastAsia" w:ascii="仿宋_GB2312" w:hAnsi="仿宋_GB2312" w:eastAsia="仿宋_GB2312" w:cs="仿宋_GB2312"/>
          <w:color w:val="000000" w:themeColor="text1"/>
          <w:sz w:val="32"/>
          <w:szCs w:val="32"/>
          <w14:textFill>
            <w14:solidFill>
              <w14:schemeClr w14:val="tx1"/>
            </w14:solidFill>
          </w14:textFill>
        </w:rPr>
        <w:t>万元、政府采购服务支出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万元。授予中小企业合同金额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189.62</w:t>
      </w:r>
      <w:r>
        <w:rPr>
          <w:rFonts w:hint="eastAsia" w:ascii="仿宋_GB2312" w:hAnsi="仿宋_GB2312" w:eastAsia="仿宋_GB2312" w:cs="仿宋_GB2312"/>
          <w:color w:val="000000" w:themeColor="text1"/>
          <w:sz w:val="32"/>
          <w:szCs w:val="32"/>
          <w14:textFill>
            <w14:solidFill>
              <w14:schemeClr w14:val="tx1"/>
            </w14:solidFill>
          </w14:textFill>
        </w:rPr>
        <w:t>万元，占政府采购支出总额的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%，其中：授予小微企业合同金额</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189.62</w:t>
      </w:r>
      <w:r>
        <w:rPr>
          <w:rFonts w:hint="eastAsia" w:ascii="仿宋_GB2312" w:hAnsi="仿宋_GB2312" w:eastAsia="仿宋_GB2312" w:cs="仿宋_GB2312"/>
          <w:color w:val="000000" w:themeColor="text1"/>
          <w:sz w:val="32"/>
          <w:szCs w:val="32"/>
          <w14:textFill>
            <w14:solidFill>
              <w14:schemeClr w14:val="tx1"/>
            </w14:solidFill>
          </w14:textFill>
        </w:rPr>
        <w:t>万元，</w:t>
      </w:r>
      <w:r>
        <w:rPr>
          <w:rFonts w:hint="eastAsia" w:ascii="仿宋_GB2312" w:hAnsi="仿宋_GB2312" w:eastAsia="仿宋_GB2312" w:cs="仿宋_GB2312"/>
          <w:color w:val="000000" w:themeColor="text1"/>
          <w:sz w:val="32"/>
          <w:szCs w:val="32"/>
          <w14:textFill>
            <w14:solidFill>
              <w14:schemeClr w14:val="tx1"/>
            </w14:solidFill>
          </w14:textFill>
        </w:rPr>
        <w:t>占</w:t>
      </w:r>
      <w:r>
        <w:rPr>
          <w:rFonts w:hint="eastAsia" w:ascii="仿宋_GB2312" w:hAnsi="仿宋_GB2312" w:eastAsia="仿宋_GB2312" w:cs="仿宋_GB2312"/>
          <w:color w:val="000000" w:themeColor="text1"/>
          <w:sz w:val="32"/>
          <w:szCs w:val="32"/>
          <w:lang w:eastAsia="zh-CN"/>
          <w14:textFill>
            <w14:solidFill>
              <w14:schemeClr w14:val="tx1"/>
            </w14:solidFill>
          </w14:textFill>
        </w:rPr>
        <w:t>授予中小企业合同金额</w:t>
      </w:r>
      <w:r>
        <w:rPr>
          <w:rFonts w:hint="eastAsia" w:ascii="仿宋_GB2312" w:hAnsi="仿宋_GB2312" w:eastAsia="仿宋_GB2312" w:cs="仿宋_GB2312"/>
          <w:color w:val="000000" w:themeColor="text1"/>
          <w:sz w:val="32"/>
          <w:szCs w:val="32"/>
          <w14:textFill>
            <w14:solidFill>
              <w14:schemeClr w14:val="tx1"/>
            </w14:solidFill>
          </w14:textFill>
        </w:rPr>
        <w:t>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%。货物采购授予中小</w:t>
      </w:r>
      <w:r>
        <w:rPr>
          <w:rFonts w:hint="eastAsia" w:ascii="Times New Roman" w:hAnsi="Times New Roman" w:eastAsia="仿宋_GB2312"/>
          <w:color w:val="000000" w:themeColor="text1"/>
          <w:sz w:val="32"/>
          <w:szCs w:val="32"/>
          <w14:textFill>
            <w14:solidFill>
              <w14:schemeClr w14:val="tx1"/>
            </w14:solidFill>
          </w14:textFill>
        </w:rPr>
        <w:t>企业合同金</w:t>
      </w:r>
      <w:r>
        <w:rPr>
          <w:rFonts w:hint="eastAsia" w:ascii="仿宋_GB2312" w:hAnsi="仿宋_GB2312" w:eastAsia="仿宋_GB2312" w:cs="仿宋_GB2312"/>
          <w:color w:val="000000" w:themeColor="text1"/>
          <w:sz w:val="32"/>
          <w:szCs w:val="32"/>
          <w14:textFill>
            <w14:solidFill>
              <w14:schemeClr w14:val="tx1"/>
            </w14:solidFill>
          </w14:textFill>
        </w:rPr>
        <w:t>额占货物支出金额的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%，工程采购授予中小企业合同金额占工程支出金额的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由于服务采购授予中小企业合同金额和服务支出金额均为0万元，故无法计算百分比。</w:t>
      </w:r>
    </w:p>
    <w:p w14:paraId="32F0BB65">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十</w:t>
      </w:r>
      <w:r>
        <w:rPr>
          <w:rFonts w:hint="eastAsia" w:hAnsi="黑体" w:cs="黑体"/>
          <w:b w:val="0"/>
          <w:bCs/>
          <w:color w:val="000000" w:themeColor="text1"/>
          <w:sz w:val="32"/>
          <w:szCs w:val="32"/>
          <w:lang w:eastAsia="zh-CN"/>
          <w14:textFill>
            <w14:solidFill>
              <w14:schemeClr w14:val="tx1"/>
            </w14:solidFill>
          </w14:textFill>
        </w:rPr>
        <w:t>三</w:t>
      </w:r>
      <w:r>
        <w:rPr>
          <w:rFonts w:hint="eastAsia" w:ascii="黑体" w:hAnsi="黑体" w:eastAsia="黑体" w:cs="黑体"/>
          <w:b w:val="0"/>
          <w:bCs/>
          <w:color w:val="000000" w:themeColor="text1"/>
          <w:sz w:val="32"/>
          <w:szCs w:val="32"/>
          <w14:textFill>
            <w14:solidFill>
              <w14:schemeClr w14:val="tx1"/>
            </w14:solidFill>
          </w14:textFill>
        </w:rPr>
        <w:t>、关于国有资产占用情况说明</w:t>
      </w:r>
    </w:p>
    <w:p w14:paraId="6EDD7556">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截至202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年12月31日，</w:t>
      </w:r>
      <w:r>
        <w:rPr>
          <w:rFonts w:hint="eastAsia" w:ascii="仿宋_GB2312" w:hAnsi="仿宋_GB2312" w:eastAsia="仿宋_GB2312" w:cs="仿宋_GB2312"/>
          <w:color w:val="000000" w:themeColor="text1"/>
          <w:sz w:val="32"/>
          <w:szCs w:val="32"/>
          <w:lang w:eastAsia="zh-CN"/>
          <w14:textFill>
            <w14:solidFill>
              <w14:schemeClr w14:val="tx1"/>
            </w14:solidFill>
          </w14:textFill>
        </w:rPr>
        <w:t>本单位</w:t>
      </w:r>
      <w:r>
        <w:rPr>
          <w:rFonts w:hint="eastAsia" w:ascii="仿宋_GB2312" w:hAnsi="仿宋_GB2312" w:eastAsia="仿宋_GB2312" w:cs="仿宋_GB2312"/>
          <w:color w:val="000000" w:themeColor="text1"/>
          <w:sz w:val="32"/>
          <w:szCs w:val="32"/>
          <w14:textFill>
            <w14:solidFill>
              <w14:schemeClr w14:val="tx1"/>
            </w14:solidFill>
          </w14:textFill>
        </w:rPr>
        <w:t>共有车辆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辆，其中</w:t>
      </w:r>
      <w:r>
        <w:rPr>
          <w:rFonts w:hint="eastAsia" w:ascii="仿宋_GB2312" w:hAnsi="仿宋_GB2312" w:eastAsia="仿宋_GB2312" w:cs="仿宋_GB2312"/>
          <w:color w:val="000000" w:themeColor="text1"/>
          <w:sz w:val="32"/>
          <w:szCs w:val="32"/>
          <w:lang w:eastAsia="zh-CN"/>
          <w14:textFill>
            <w14:solidFill>
              <w14:schemeClr w14:val="tx1"/>
            </w14:solidFill>
          </w14:textFill>
        </w:rPr>
        <w:t>，副部（省）级及以上领导用车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主要</w:t>
      </w:r>
      <w:r>
        <w:rPr>
          <w:rFonts w:hint="eastAsia" w:ascii="仿宋_GB2312" w:hAnsi="仿宋_GB2312" w:eastAsia="仿宋_GB2312" w:cs="仿宋_GB2312"/>
          <w:color w:val="000000" w:themeColor="text1"/>
          <w:sz w:val="32"/>
          <w:szCs w:val="32"/>
          <w:lang w:eastAsia="zh-CN"/>
          <w14:textFill>
            <w14:solidFill>
              <w14:schemeClr w14:val="tx1"/>
            </w14:solidFill>
          </w14:textFill>
        </w:rPr>
        <w:t>负责人</w:t>
      </w:r>
      <w:r>
        <w:rPr>
          <w:rFonts w:hint="eastAsia" w:ascii="仿宋_GB2312" w:hAnsi="仿宋_GB2312" w:eastAsia="仿宋_GB2312" w:cs="仿宋_GB2312"/>
          <w:color w:val="000000" w:themeColor="text1"/>
          <w:sz w:val="32"/>
          <w:szCs w:val="32"/>
          <w14:textFill>
            <w14:solidFill>
              <w14:schemeClr w14:val="tx1"/>
            </w14:solidFill>
          </w14:textFill>
        </w:rPr>
        <w:t>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机要通信用车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辆、应急保障用车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辆、执法执勤用车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辆、特种专业技术用车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lang w:eastAsia="zh-CN"/>
          <w14:textFill>
            <w14:solidFill>
              <w14:schemeClr w14:val="tx1"/>
            </w14:solidFill>
          </w14:textFill>
        </w:rPr>
        <w:t>离退休干部服务用车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辆、其他用车</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辆，</w:t>
      </w:r>
      <w:r>
        <w:rPr>
          <w:rFonts w:hint="eastAsia" w:ascii="仿宋_GB2312" w:hAnsi="仿宋_GB2312" w:eastAsia="仿宋_GB2312" w:cs="仿宋_GB2312"/>
          <w:color w:val="000000" w:themeColor="text1"/>
          <w:sz w:val="32"/>
          <w:szCs w:val="32"/>
          <w:lang w:val="en-US"/>
          <w14:textFill>
            <w14:solidFill>
              <w14:schemeClr w14:val="tx1"/>
            </w14:solidFill>
          </w14:textFill>
        </w:rPr>
        <w:t>其他用车主要是用于机要通信和应急保障之外公务用途的车辆</w:t>
      </w:r>
      <w:r>
        <w:rPr>
          <w:rFonts w:hint="eastAsia" w:ascii="仿宋_GB2312" w:hAnsi="仿宋_GB2312" w:eastAsia="仿宋_GB2312" w:cs="仿宋_GB2312"/>
          <w:color w:val="000000" w:themeColor="text1"/>
          <w:sz w:val="32"/>
          <w:szCs w:val="32"/>
          <w14:textFill>
            <w14:solidFill>
              <w14:schemeClr w14:val="tx1"/>
            </w14:solidFill>
          </w14:textFill>
        </w:rPr>
        <w:t>；单位价值100万元以上设备</w:t>
      </w:r>
      <w:r>
        <w:rPr>
          <w:rFonts w:hint="eastAsia" w:ascii="仿宋_GB2312" w:hAnsi="仿宋_GB2312" w:eastAsia="仿宋_GB2312" w:cs="仿宋_GB2312"/>
          <w:color w:val="000000" w:themeColor="text1"/>
          <w:sz w:val="32"/>
          <w:szCs w:val="32"/>
          <w:lang w:eastAsia="zh-CN"/>
          <w14:textFill>
            <w14:solidFill>
              <w14:schemeClr w14:val="tx1"/>
            </w14:solidFill>
          </w14:textFill>
        </w:rPr>
        <w:t>（不含车辆）</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0</w:t>
      </w:r>
      <w:r>
        <w:rPr>
          <w:rFonts w:hint="eastAsia" w:ascii="仿宋_GB2312" w:hAnsi="仿宋_GB2312" w:eastAsia="仿宋_GB2312" w:cs="仿宋_GB2312"/>
          <w:color w:val="000000" w:themeColor="text1"/>
          <w:sz w:val="32"/>
          <w:szCs w:val="32"/>
          <w14:textFill>
            <w14:solidFill>
              <w14:schemeClr w14:val="tx1"/>
            </w14:solidFill>
          </w14:textFill>
        </w:rPr>
        <w:t>台（套）。</w:t>
      </w:r>
    </w:p>
    <w:p w14:paraId="0DDBBB71">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十</w:t>
      </w:r>
      <w:r>
        <w:rPr>
          <w:rFonts w:hint="eastAsia" w:hAnsi="黑体" w:cs="黑体"/>
          <w:b w:val="0"/>
          <w:bCs/>
          <w:color w:val="000000" w:themeColor="text1"/>
          <w:sz w:val="32"/>
          <w:szCs w:val="32"/>
          <w:lang w:eastAsia="zh-CN"/>
          <w14:textFill>
            <w14:solidFill>
              <w14:schemeClr w14:val="tx1"/>
            </w14:solidFill>
          </w14:textFill>
        </w:rPr>
        <w:t>四</w:t>
      </w:r>
      <w:r>
        <w:rPr>
          <w:rFonts w:hint="eastAsia" w:ascii="黑体" w:hAnsi="黑体" w:eastAsia="黑体" w:cs="黑体"/>
          <w:b w:val="0"/>
          <w:bCs/>
          <w:color w:val="000000" w:themeColor="text1"/>
          <w:sz w:val="32"/>
          <w:szCs w:val="32"/>
          <w14:textFill>
            <w14:solidFill>
              <w14:schemeClr w14:val="tx1"/>
            </w14:solidFill>
          </w14:textFill>
        </w:rPr>
        <w:t>、关于</w:t>
      </w:r>
      <w:r>
        <w:rPr>
          <w:rFonts w:hint="eastAsia" w:ascii="Times New Roman" w:hAnsi="Times New Roman" w:eastAsia="仿宋_GB2312"/>
          <w:color w:val="000000" w:themeColor="text1"/>
          <w:sz w:val="32"/>
          <w:szCs w:val="32"/>
          <w14:textFill>
            <w14:solidFill>
              <w14:schemeClr w14:val="tx1"/>
            </w14:solidFill>
          </w14:textFill>
        </w:rPr>
        <w:t>202</w:t>
      </w:r>
      <w:r>
        <w:rPr>
          <w:rFonts w:hint="eastAsia" w:ascii="Times New Roman" w:hAnsi="Times New Roman" w:eastAsia="仿宋_GB2312"/>
          <w:color w:val="000000" w:themeColor="text1"/>
          <w:sz w:val="32"/>
          <w:szCs w:val="32"/>
          <w:lang w:val="en-US" w:eastAsia="zh-CN"/>
          <w14:textFill>
            <w14:solidFill>
              <w14:schemeClr w14:val="tx1"/>
            </w14:solidFill>
          </w14:textFill>
        </w:rPr>
        <w:t>3</w:t>
      </w:r>
      <w:r>
        <w:rPr>
          <w:rFonts w:hint="eastAsia" w:ascii="黑体" w:hAnsi="黑体" w:eastAsia="黑体" w:cs="黑体"/>
          <w:b w:val="0"/>
          <w:bCs/>
          <w:color w:val="000000" w:themeColor="text1"/>
          <w:sz w:val="32"/>
          <w:szCs w:val="32"/>
          <w14:textFill>
            <w14:solidFill>
              <w14:schemeClr w14:val="tx1"/>
            </w14:solidFill>
          </w14:textFill>
        </w:rPr>
        <w:t>年度</w:t>
      </w:r>
      <w:r>
        <w:rPr>
          <w:rFonts w:hint="eastAsia" w:hAnsi="黑体" w:cs="黑体"/>
          <w:b w:val="0"/>
          <w:bCs/>
          <w:color w:val="000000" w:themeColor="text1"/>
          <w:sz w:val="32"/>
          <w:szCs w:val="32"/>
          <w:lang w:eastAsia="zh-CN"/>
          <w14:textFill>
            <w14:solidFill>
              <w14:schemeClr w14:val="tx1"/>
            </w14:solidFill>
          </w14:textFill>
        </w:rPr>
        <w:t>预算</w:t>
      </w:r>
      <w:r>
        <w:rPr>
          <w:rFonts w:hint="eastAsia" w:ascii="黑体" w:hAnsi="黑体" w:eastAsia="黑体" w:cs="黑体"/>
          <w:b w:val="0"/>
          <w:bCs/>
          <w:color w:val="000000" w:themeColor="text1"/>
          <w:sz w:val="32"/>
          <w:szCs w:val="32"/>
          <w14:textFill>
            <w14:solidFill>
              <w14:schemeClr w14:val="tx1"/>
            </w14:solidFill>
          </w14:textFill>
        </w:rPr>
        <w:t>绩效情况的说明</w:t>
      </w:r>
    </w:p>
    <w:p w14:paraId="5E03213D">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pPr>
      <w:r>
        <w:rPr>
          <w:rFonts w:hint="eastAsia" w:ascii="楷体" w:hAnsi="楷体" w:eastAsia="楷体" w:cs="楷体"/>
          <w:b/>
          <w:bCs/>
          <w:color w:val="000000" w:themeColor="text1"/>
          <w:sz w:val="32"/>
          <w:szCs w:val="32"/>
          <w:lang w:eastAsia="zh-CN"/>
          <w14:textFill>
            <w14:solidFill>
              <w14:schemeClr w14:val="tx1"/>
            </w14:solidFill>
          </w14:textFill>
        </w:rPr>
        <w:t>（一）绩效管理工作开展情况</w:t>
      </w:r>
    </w:p>
    <w:p w14:paraId="7817A99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根据预算绩效管理要求，我们组织对2023年度整体支出和项目资金实施了全覆盖性的绩效评价，撰写了绩效自评报告。</w:t>
      </w:r>
    </w:p>
    <w:p w14:paraId="42E4738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组织开展整体支出绩效评价，涉及一般公共预算支出463.16万元，政府性基金预算支出0万元，国有资本经营预算支出0万元。从评价情况来看，整体支出绩效评价中，2023年整体支出463.16万元，其中：基本支出221.32万元，项目支出241.84万元，本单位整体支出绩效自评综合评分9.9分，评价结果等次为优。</w:t>
      </w:r>
    </w:p>
    <w:p w14:paraId="684D2B2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color w:val="000000" w:themeColor="text1"/>
          <w:lang w:eastAsia="zh-CN"/>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组织对一般公共预算项目支出全面开展绩效自评，项目2个，共涉及资金241.84万元，占一般公共预算项目支出总额的100%。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10分，评价结果等次为优。</w:t>
      </w:r>
    </w:p>
    <w:p w14:paraId="06817C46">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lang w:eastAsia="zh-CN"/>
          <w14:textFill>
            <w14:solidFill>
              <w14:schemeClr w14:val="tx1"/>
            </w14:solidFill>
          </w14:textFill>
        </w:rPr>
        <w:t>（二）单位</w:t>
      </w:r>
      <w:r>
        <w:rPr>
          <w:rFonts w:hint="eastAsia" w:ascii="楷体" w:hAnsi="楷体" w:eastAsia="楷体" w:cs="楷体"/>
          <w:b/>
          <w:bCs/>
          <w:color w:val="000000" w:themeColor="text1"/>
          <w:sz w:val="32"/>
          <w:szCs w:val="32"/>
          <w14:textFill>
            <w14:solidFill>
              <w14:schemeClr w14:val="tx1"/>
            </w14:solidFill>
          </w14:textFill>
        </w:rPr>
        <w:t>整体支出绩效情况</w:t>
      </w:r>
    </w:p>
    <w:p w14:paraId="6018CB5F">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color w:val="000000" w:themeColor="text1"/>
          <w:sz w:val="32"/>
          <w:szCs w:val="32"/>
          <w14:textFill>
            <w14:solidFill>
              <w14:schemeClr w14:val="tx1"/>
            </w14:solidFill>
          </w14:textFill>
        </w:rPr>
      </w:pP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根据年初设定的绩效目标，绩效自评得分为9.9分。全年预算数为203.77万元，执行数为463.16万元，完成预算的227.30%。绩效目标完成情况：一是</w:t>
      </w:r>
      <w:r>
        <w:rPr>
          <w:rFonts w:hint="default"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 xml:space="preserve">狠抓关键措施落实，提升动物疫病防控水平 </w:t>
      </w: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；二是抓好人畜共患病防控，维护公共卫生安全；三是</w:t>
      </w:r>
      <w:r>
        <w:rPr>
          <w:rFonts w:hint="default"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强化防疫体系建设，提升防控能力</w:t>
      </w:r>
      <w:r>
        <w:rPr>
          <w:rFonts w:hint="eastAsia" w:ascii="仿宋_GB2312" w:hAnsi="仿宋_GB2312" w:eastAsia="仿宋_GB2312" w:cs="仿宋_GB2312"/>
          <w:b w:val="0"/>
          <w:bCs w:val="0"/>
          <w:color w:val="000000" w:themeColor="text1"/>
          <w:kern w:val="0"/>
          <w:sz w:val="32"/>
          <w:szCs w:val="32"/>
          <w:lang w:val="en-US" w:eastAsia="zh-CN" w:bidi="ar-SA"/>
          <w14:textFill>
            <w14:solidFill>
              <w14:schemeClr w14:val="tx1"/>
            </w14:solidFill>
          </w14:textFill>
        </w:rPr>
        <w:t>。</w:t>
      </w:r>
    </w:p>
    <w:p w14:paraId="4FF61698">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color w:val="000000" w:themeColor="text1"/>
          <w:sz w:val="32"/>
          <w:szCs w:val="32"/>
          <w14:textFill>
            <w14:solidFill>
              <w14:schemeClr w14:val="tx1"/>
            </w14:solidFill>
          </w14:textFill>
        </w:rPr>
      </w:pPr>
      <w:r>
        <w:rPr>
          <w:rFonts w:hint="eastAsia" w:ascii="楷体" w:hAnsi="楷体" w:eastAsia="楷体" w:cs="楷体"/>
          <w:b/>
          <w:bCs/>
          <w:color w:val="000000" w:themeColor="text1"/>
          <w:sz w:val="32"/>
          <w:szCs w:val="32"/>
          <w:lang w:eastAsia="zh-CN"/>
          <w14:textFill>
            <w14:solidFill>
              <w14:schemeClr w14:val="tx1"/>
            </w14:solidFill>
          </w14:textFill>
        </w:rPr>
        <w:t>（三）</w:t>
      </w:r>
      <w:r>
        <w:rPr>
          <w:rFonts w:hint="eastAsia" w:ascii="楷体" w:hAnsi="楷体" w:eastAsia="楷体" w:cs="楷体"/>
          <w:b/>
          <w:bCs/>
          <w:color w:val="000000" w:themeColor="text1"/>
          <w:sz w:val="32"/>
          <w:szCs w:val="32"/>
          <w14:textFill>
            <w14:solidFill>
              <w14:schemeClr w14:val="tx1"/>
            </w14:solidFill>
          </w14:textFill>
        </w:rPr>
        <w:t>存在的问题及原因分析</w:t>
      </w:r>
    </w:p>
    <w:p w14:paraId="16A79F27">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cs="Times New Roman"/>
          <w:b w:val="0"/>
          <w:bCs w:val="0"/>
          <w:color w:val="000000" w:themeColor="text1"/>
          <w:sz w:val="32"/>
          <w:szCs w:val="32"/>
          <w:highlight w:val="yellow"/>
          <w:lang w:val="en-US" w:eastAsia="zh-CN"/>
          <w14:textFill>
            <w14:solidFill>
              <w14:schemeClr w14:val="tx1"/>
            </w14:solidFill>
          </w14:textFill>
        </w:rPr>
      </w:pP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发现的主要问题及原因：一是预算编制有待更严格执行；二是专项支出有待进一步加强。下一步改进措施：一是按照预算规定的项目和用途严格财务审计，经费支出严格按预算规定项目的财务支出内容进行财务预算，在预算金额内严格控制费用的支出</w:t>
      </w:r>
      <w:r>
        <w:rPr>
          <w:rFonts w:hint="eastAsia"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二是进一步细化“三公”经费管理，杜绝挪用和挤占其他预算资金</w:t>
      </w:r>
      <w:r>
        <w:rPr>
          <w:rFonts w:hint="eastAsia"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三是预算财务分析常态化，定期做好预算支出财务分析，做好单位整体支出预算评价工作。</w:t>
      </w:r>
    </w:p>
    <w:p w14:paraId="3FDC53E4">
      <w:pPr>
        <w:autoSpaceDE w:val="0"/>
        <w:autoSpaceDN w:val="0"/>
        <w:adjustRightInd w:val="0"/>
        <w:ind w:firstLine="640" w:firstLineChars="200"/>
        <w:jc w:val="left"/>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预算绩效管理开展情况、绩效目标和绩效评价报告等，已在市政府部门财政预决算公开平台上向社会公开，详见附件。</w:t>
      </w:r>
    </w:p>
    <w:p w14:paraId="4BD13585">
      <w:pPr>
        <w:pStyle w:val="13"/>
        <w:jc w:val="both"/>
        <w:rPr>
          <w:color w:val="000000" w:themeColor="text1"/>
          <w:sz w:val="72"/>
          <w:szCs w:val="72"/>
          <w14:textFill>
            <w14:solidFill>
              <w14:schemeClr w14:val="tx1"/>
            </w14:solidFill>
          </w14:textFill>
        </w:rPr>
      </w:pPr>
    </w:p>
    <w:p w14:paraId="489DB556">
      <w:pPr>
        <w:pStyle w:val="13"/>
        <w:jc w:val="center"/>
        <w:rPr>
          <w:color w:val="000000" w:themeColor="text1"/>
          <w:sz w:val="72"/>
          <w:szCs w:val="72"/>
          <w14:textFill>
            <w14:solidFill>
              <w14:schemeClr w14:val="tx1"/>
            </w14:solidFill>
          </w14:textFill>
        </w:rPr>
      </w:pPr>
    </w:p>
    <w:p w14:paraId="29AFAE88">
      <w:pPr>
        <w:pStyle w:val="13"/>
        <w:jc w:val="center"/>
        <w:rPr>
          <w:rFonts w:hint="eastAsia" w:ascii="方正小标宋_GBK" w:hAnsi="方正小标宋_GBK" w:eastAsia="方正小标宋_GBK" w:cs="方正小标宋_GBK"/>
          <w:color w:val="000000" w:themeColor="text1"/>
          <w:sz w:val="70"/>
          <w:szCs w:val="70"/>
          <w:lang w:eastAsia="zh-CN"/>
          <w14:textFill>
            <w14:solidFill>
              <w14:schemeClr w14:val="tx1"/>
            </w14:solidFill>
          </w14:textFill>
        </w:rPr>
      </w:pPr>
    </w:p>
    <w:p w14:paraId="54426CB4">
      <w:pPr>
        <w:pStyle w:val="13"/>
        <w:jc w:val="center"/>
        <w:rPr>
          <w:rFonts w:hint="eastAsia" w:ascii="方正小标宋_GBK" w:hAnsi="方正小标宋_GBK" w:eastAsia="方正小标宋_GBK" w:cs="方正小标宋_GBK"/>
          <w:color w:val="000000" w:themeColor="text1"/>
          <w:sz w:val="70"/>
          <w:szCs w:val="70"/>
          <w:lang w:eastAsia="zh-CN"/>
          <w14:textFill>
            <w14:solidFill>
              <w14:schemeClr w14:val="tx1"/>
            </w14:solidFill>
          </w14:textFill>
        </w:rPr>
      </w:pPr>
    </w:p>
    <w:p w14:paraId="2FFDC052">
      <w:pPr>
        <w:pStyle w:val="13"/>
        <w:jc w:val="center"/>
        <w:rPr>
          <w:rFonts w:hint="eastAsia" w:ascii="方正小标宋_GBK" w:hAnsi="方正小标宋_GBK" w:eastAsia="方正小标宋_GBK" w:cs="方正小标宋_GBK"/>
          <w:color w:val="000000" w:themeColor="text1"/>
          <w:sz w:val="70"/>
          <w:szCs w:val="70"/>
          <w:lang w:eastAsia="zh-CN"/>
          <w14:textFill>
            <w14:solidFill>
              <w14:schemeClr w14:val="tx1"/>
            </w14:solidFill>
          </w14:textFill>
        </w:rPr>
      </w:pPr>
    </w:p>
    <w:p w14:paraId="6D87986F">
      <w:pPr>
        <w:pStyle w:val="13"/>
        <w:jc w:val="center"/>
        <w:rPr>
          <w:rFonts w:hint="eastAsia" w:ascii="方正小标宋_GBK" w:hAnsi="方正小标宋_GBK" w:eastAsia="方正小标宋_GBK" w:cs="方正小标宋_GBK"/>
          <w:color w:val="000000" w:themeColor="text1"/>
          <w:sz w:val="70"/>
          <w:szCs w:val="70"/>
          <w:lang w:eastAsia="zh-CN"/>
          <w14:textFill>
            <w14:solidFill>
              <w14:schemeClr w14:val="tx1"/>
            </w14:solidFill>
          </w14:textFill>
        </w:rPr>
      </w:pPr>
    </w:p>
    <w:p w14:paraId="18775EE2">
      <w:pPr>
        <w:pStyle w:val="13"/>
        <w:jc w:val="center"/>
        <w:rPr>
          <w:rFonts w:hint="eastAsia" w:ascii="方正小标宋_GBK" w:hAnsi="方正小标宋_GBK" w:eastAsia="方正小标宋_GBK" w:cs="方正小标宋_GBK"/>
          <w:color w:val="000000" w:themeColor="text1"/>
          <w:sz w:val="70"/>
          <w:szCs w:val="70"/>
          <w:lang w:eastAsia="zh-CN"/>
          <w14:textFill>
            <w14:solidFill>
              <w14:schemeClr w14:val="tx1"/>
            </w14:solidFill>
          </w14:textFill>
        </w:rPr>
      </w:pPr>
    </w:p>
    <w:p w14:paraId="5C2C73D1">
      <w:pPr>
        <w:pStyle w:val="13"/>
        <w:jc w:val="center"/>
        <w:rPr>
          <w:rFonts w:hint="eastAsia" w:ascii="方正小标宋_GBK" w:hAnsi="方正小标宋_GBK" w:eastAsia="方正小标宋_GBK" w:cs="方正小标宋_GBK"/>
          <w:color w:val="000000" w:themeColor="text1"/>
          <w:sz w:val="70"/>
          <w:szCs w:val="70"/>
          <w:lang w:eastAsia="zh-CN"/>
          <w14:textFill>
            <w14:solidFill>
              <w14:schemeClr w14:val="tx1"/>
            </w14:solidFill>
          </w14:textFill>
        </w:rPr>
      </w:pPr>
    </w:p>
    <w:p w14:paraId="65D76806">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p>
    <w:p w14:paraId="69A54043">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p>
    <w:p w14:paraId="35A98147">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第四部分</w:t>
      </w:r>
    </w:p>
    <w:p w14:paraId="2D8210F0">
      <w:pPr>
        <w:pStyle w:val="13"/>
        <w:jc w:val="center"/>
        <w:rPr>
          <w:rFonts w:hint="eastAsia" w:ascii="方正小标宋_GBK" w:hAnsi="方正小标宋_GBK" w:eastAsia="方正小标宋_GBK" w:cs="方正小标宋_GBK"/>
          <w:color w:val="000000" w:themeColor="text1"/>
          <w:sz w:val="72"/>
          <w:szCs w:val="72"/>
          <w:lang w:eastAsia="zh-CN"/>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名词解释</w:t>
      </w:r>
    </w:p>
    <w:p w14:paraId="78AFBF30">
      <w:pPr>
        <w:pStyle w:val="8"/>
        <w:rPr>
          <w:color w:val="000000" w:themeColor="text1"/>
          <w14:textFill>
            <w14:solidFill>
              <w14:schemeClr w14:val="tx1"/>
            </w14:solidFill>
          </w14:textFill>
        </w:rPr>
      </w:pPr>
    </w:p>
    <w:p w14:paraId="2943A024">
      <w:pPr>
        <w:pStyle w:val="4"/>
        <w:rPr>
          <w:color w:val="000000" w:themeColor="text1"/>
          <w14:textFill>
            <w14:solidFill>
              <w14:schemeClr w14:val="tx1"/>
            </w14:solidFill>
          </w14:textFill>
        </w:rPr>
      </w:pPr>
    </w:p>
    <w:p w14:paraId="3CFB3B61">
      <w:pPr>
        <w:rPr>
          <w:color w:val="000000" w:themeColor="text1"/>
          <w14:textFill>
            <w14:solidFill>
              <w14:schemeClr w14:val="tx1"/>
            </w14:solidFill>
          </w14:textFill>
        </w:rPr>
      </w:pPr>
    </w:p>
    <w:p w14:paraId="599589C3">
      <w:pPr>
        <w:pStyle w:val="8"/>
        <w:rPr>
          <w:color w:val="000000" w:themeColor="text1"/>
          <w14:textFill>
            <w14:solidFill>
              <w14:schemeClr w14:val="tx1"/>
            </w14:solidFill>
          </w14:textFill>
        </w:rPr>
      </w:pPr>
    </w:p>
    <w:p w14:paraId="405E725F">
      <w:pPr>
        <w:pStyle w:val="4"/>
        <w:rPr>
          <w:color w:val="000000" w:themeColor="text1"/>
          <w14:textFill>
            <w14:solidFill>
              <w14:schemeClr w14:val="tx1"/>
            </w14:solidFill>
          </w14:textFill>
        </w:rPr>
      </w:pPr>
    </w:p>
    <w:p w14:paraId="3107014C">
      <w:pPr>
        <w:rPr>
          <w:color w:val="000000" w:themeColor="text1"/>
          <w14:textFill>
            <w14:solidFill>
              <w14:schemeClr w14:val="tx1"/>
            </w14:solidFill>
          </w14:textFill>
        </w:rPr>
      </w:pPr>
    </w:p>
    <w:p w14:paraId="550B4C3A">
      <w:pPr>
        <w:pStyle w:val="8"/>
        <w:rPr>
          <w:color w:val="000000" w:themeColor="text1"/>
          <w14:textFill>
            <w14:solidFill>
              <w14:schemeClr w14:val="tx1"/>
            </w14:solidFill>
          </w14:textFill>
        </w:rPr>
      </w:pPr>
    </w:p>
    <w:p w14:paraId="60D708E6">
      <w:pPr>
        <w:pStyle w:val="4"/>
        <w:rPr>
          <w:color w:val="000000" w:themeColor="text1"/>
          <w14:textFill>
            <w14:solidFill>
              <w14:schemeClr w14:val="tx1"/>
            </w14:solidFill>
          </w14:textFill>
        </w:rPr>
      </w:pPr>
    </w:p>
    <w:p w14:paraId="31E815A4">
      <w:pPr>
        <w:rPr>
          <w:color w:val="000000" w:themeColor="text1"/>
          <w14:textFill>
            <w14:solidFill>
              <w14:schemeClr w14:val="tx1"/>
            </w14:solidFill>
          </w14:textFill>
        </w:rPr>
      </w:pPr>
    </w:p>
    <w:p w14:paraId="34FF1784">
      <w:pPr>
        <w:pStyle w:val="8"/>
        <w:rPr>
          <w:color w:val="000000" w:themeColor="text1"/>
          <w14:textFill>
            <w14:solidFill>
              <w14:schemeClr w14:val="tx1"/>
            </w14:solidFill>
          </w14:textFill>
        </w:rPr>
      </w:pPr>
    </w:p>
    <w:p w14:paraId="7F4444EA">
      <w:pPr>
        <w:pStyle w:val="4"/>
        <w:rPr>
          <w:color w:val="000000" w:themeColor="text1"/>
          <w14:textFill>
            <w14:solidFill>
              <w14:schemeClr w14:val="tx1"/>
            </w14:solidFill>
          </w14:textFill>
        </w:rPr>
      </w:pPr>
    </w:p>
    <w:p w14:paraId="0353FAD0">
      <w:pPr>
        <w:rPr>
          <w:color w:val="000000" w:themeColor="text1"/>
          <w14:textFill>
            <w14:solidFill>
              <w14:schemeClr w14:val="tx1"/>
            </w14:solidFill>
          </w14:textFill>
        </w:rPr>
      </w:pPr>
    </w:p>
    <w:p w14:paraId="22784AA7">
      <w:pPr>
        <w:pStyle w:val="8"/>
        <w:rPr>
          <w:color w:val="000000" w:themeColor="text1"/>
          <w14:textFill>
            <w14:solidFill>
              <w14:schemeClr w14:val="tx1"/>
            </w14:solidFill>
          </w14:textFill>
        </w:rPr>
      </w:pPr>
    </w:p>
    <w:p w14:paraId="4994FC90">
      <w:pPr>
        <w:pStyle w:val="4"/>
        <w:rPr>
          <w:color w:val="000000" w:themeColor="text1"/>
          <w14:textFill>
            <w14:solidFill>
              <w14:schemeClr w14:val="tx1"/>
            </w14:solidFill>
          </w14:textFill>
        </w:rPr>
      </w:pPr>
    </w:p>
    <w:p w14:paraId="05442758">
      <w:pPr>
        <w:rPr>
          <w:color w:val="000000" w:themeColor="text1"/>
          <w14:textFill>
            <w14:solidFill>
              <w14:schemeClr w14:val="tx1"/>
            </w14:solidFill>
          </w14:textFill>
        </w:rPr>
      </w:pPr>
    </w:p>
    <w:p w14:paraId="7584C12B">
      <w:pPr>
        <w:pStyle w:val="8"/>
        <w:rPr>
          <w:color w:val="000000" w:themeColor="text1"/>
          <w14:textFill>
            <w14:solidFill>
              <w14:schemeClr w14:val="tx1"/>
            </w14:solidFill>
          </w14:textFill>
        </w:rPr>
      </w:pPr>
    </w:p>
    <w:p w14:paraId="1718D50B">
      <w:pPr>
        <w:pStyle w:val="4"/>
        <w:rPr>
          <w:color w:val="000000" w:themeColor="text1"/>
          <w14:textFill>
            <w14:solidFill>
              <w14:schemeClr w14:val="tx1"/>
            </w14:solidFill>
          </w14:textFill>
        </w:rPr>
      </w:pPr>
    </w:p>
    <w:p w14:paraId="03710613">
      <w:pPr>
        <w:rPr>
          <w:color w:val="000000" w:themeColor="text1"/>
          <w14:textFill>
            <w14:solidFill>
              <w14:schemeClr w14:val="tx1"/>
            </w14:solidFill>
          </w14:textFill>
        </w:rPr>
      </w:pPr>
    </w:p>
    <w:p w14:paraId="173E943E">
      <w:pPr>
        <w:pStyle w:val="8"/>
        <w:rPr>
          <w:color w:val="000000" w:themeColor="text1"/>
          <w14:textFill>
            <w14:solidFill>
              <w14:schemeClr w14:val="tx1"/>
            </w14:solidFill>
          </w14:textFill>
        </w:rPr>
      </w:pPr>
    </w:p>
    <w:p w14:paraId="735A0AEE">
      <w:pPr>
        <w:rPr>
          <w:color w:val="000000" w:themeColor="text1"/>
          <w14:textFill>
            <w14:solidFill>
              <w14:schemeClr w14:val="tx1"/>
            </w14:solidFill>
          </w14:textFill>
        </w:rPr>
      </w:pPr>
    </w:p>
    <w:p w14:paraId="1105F5E5">
      <w:pPr>
        <w:pStyle w:val="8"/>
        <w:rPr>
          <w:color w:val="000000" w:themeColor="text1"/>
          <w14:textFill>
            <w14:solidFill>
              <w14:schemeClr w14:val="tx1"/>
            </w14:solidFill>
          </w14:textFill>
        </w:rPr>
      </w:pPr>
    </w:p>
    <w:p w14:paraId="3EF4ADD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财政拨款收入：指本级财政当年拨付的资金。</w:t>
      </w:r>
    </w:p>
    <w:p w14:paraId="53CB76C1">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其他收入：指除上述</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财政拨款收入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上级补助收入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事业收入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经营收入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附属单位上缴收入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等以外的收入。</w:t>
      </w:r>
    </w:p>
    <w:p w14:paraId="5FC26B37">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使用非财政拨款结余：指事业单位在当年的</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财政拨款收入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财政拨款结转和结余资金</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上级补助收入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事业收入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经营收入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附属单位上缴收入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其他收入</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不足以安排当年支出情况下，使用以前年度积累的使用非财政拨款结余弥补收支差额的资金（事业单位当年收支相抵后按国家规定提取、用于弥补以后年度收支差额的非财政拨款结余）。</w:t>
      </w:r>
    </w:p>
    <w:p w14:paraId="20D441F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年初结转和结余：指以前年度尚未完成、结转到本年按有关规定继续使用的资金。</w:t>
      </w:r>
    </w:p>
    <w:p w14:paraId="65006B9D">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年末结转和结余资金：指本年度或以前年度预算安排、因客观条件发生变化无法按原计划实施，需要延迟到以后年度按有关规定继续使用的资金。</w:t>
      </w:r>
    </w:p>
    <w:p w14:paraId="2AEF18E9">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科学技术支出（类）：是指用于科学技术方面的支出，包括保障机构正常运转、完成日常和特定的工作任务或事业发展目标的支出。</w:t>
      </w:r>
    </w:p>
    <w:p w14:paraId="2308AC1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69484DB3">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卫生健康支出（类）：是指用于医疗卫生与计划生育方面的支出，包括保障机构正常运转、完成日常和特定的工作任务或事业发展目标的支出。</w:t>
      </w:r>
    </w:p>
    <w:p w14:paraId="50142601">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节能环保支出（类）：是指用于节能环保支出，包括保障机构正常运转、完成日常和特定的工作任务或事业发展目标的支出。</w:t>
      </w:r>
    </w:p>
    <w:p w14:paraId="54DF9E4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农林水支出（类）：是指用于农林水事务支出，包括保障机构正常运转、完成日常和特定的工作任务或事业发展目标的支出。</w:t>
      </w:r>
    </w:p>
    <w:p w14:paraId="0E706219">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资源勘探工业信息等支出（类）：是指用于资源勘探、制造业、建筑业、工业信息等方面支出，包括保障机构正常运转、完成日常和特定的工作任务或事业发展目标的支出。</w:t>
      </w:r>
    </w:p>
    <w:p w14:paraId="7E4E52F9">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自然资源海洋气象等支出（类）：是指用于自然资源、海洋、测绘、气象等公益服务事业方面的支出，包括保障机构正常运转、完成日常和特定的工作任务或事业发展目标的支出。</w:t>
      </w:r>
    </w:p>
    <w:p w14:paraId="44478EA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住房保障支出（类）：是指用于住房方面的支出，包括保障机构正常运转、完成日常和特定的工作任务或事业发展目标的支出。</w:t>
      </w:r>
    </w:p>
    <w:p w14:paraId="4BF23C82">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其他支出（类）：是指用于反映除上述项目以外其他不能划分到具体功能科目中的支出项目，包括保障机构正常运转、完成日常和特定的工作任务或事业发展目标的支出。</w:t>
      </w:r>
    </w:p>
    <w:p w14:paraId="0832461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基本支出：指保障机构正常运转、完成支日常工作任务而发生的人员支出和公用支出。</w:t>
      </w:r>
    </w:p>
    <w:p w14:paraId="3FC55948">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项目支出：指在基本支出之外为完成特定行政任务和事业发展目标所发生的支出。</w:t>
      </w:r>
    </w:p>
    <w:p w14:paraId="06783D9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三公</w:t>
      </w:r>
      <w:r>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0613456">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14348DB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2473C8A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工资福利支出：反映单位开支的在职职工和编制外长期聘用人员的各类劳动报酬，以及为上述人员缴纳的各项社会保险费等。</w:t>
      </w:r>
    </w:p>
    <w:p w14:paraId="4D166C51">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706F3AF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津贴补贴：反映经国家批准建立的机关事业单位艰苦边远地区津贴、机关工作人员地区附加津贴、机关工作人员岗位津贴、事业单位工作人员特殊岗位津贴补贴等。</w:t>
      </w:r>
    </w:p>
    <w:p w14:paraId="2887E136">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奖金：反映机关工作人员年终一次性奖金。</w:t>
      </w:r>
    </w:p>
    <w:p w14:paraId="1A579BB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伙食补助费：反映单位发给职工的伙食补助费，如误餐补助等。</w:t>
      </w:r>
    </w:p>
    <w:p w14:paraId="02866245">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绩效工资：反映事业单位工作人员的绩效工资。</w:t>
      </w:r>
    </w:p>
    <w:p w14:paraId="4596236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机关事业单位基本养老保险缴费：反映机关事业单位缴纳的基本养老保险费。由单位代扣的工作人员基本养老保险缴费，不在此科目反映。</w:t>
      </w:r>
    </w:p>
    <w:p w14:paraId="18E1DD08">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职工基本医疗保险缴费：反映单位为职工缴纳的基本医疗保险费。</w:t>
      </w:r>
    </w:p>
    <w:p w14:paraId="142C9A1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其他社会保障缴费：反映单位为职工缴纳的基本医疗、失业、工伤、生育等社会保险费，残疾人就业保障金，军队（含武警）为军人缴纳的伤亡、退役医疗等社会保险费。</w:t>
      </w:r>
    </w:p>
    <w:p w14:paraId="5FC649EF">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住房公积金：反映行政事业单位按人力资源和社会保障部、财政部规定的基本工资和津贴补贴以及规定比例为职工缴纳的住房公积金。</w:t>
      </w:r>
    </w:p>
    <w:p w14:paraId="114D290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医疗费：反映未参加医疗保险单位的医疗经费和单位按规定为职工支出的其他医疗费用。</w:t>
      </w:r>
    </w:p>
    <w:p w14:paraId="5E8B50F7">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2FD0A2B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商品和服务支出：反映单位购买商品和服务的支出（不包括用于购置固定资产的支出、战略性和应急储备支出）。</w:t>
      </w:r>
    </w:p>
    <w:p w14:paraId="1F6BE817">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办公费：反映单位购买按财务会计制度规定不符合固定资产确认标准的日常办公用品、书报杂志等支出。</w:t>
      </w:r>
    </w:p>
    <w:p w14:paraId="02A70861">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印刷费：反映单位的印刷费支出。</w:t>
      </w:r>
    </w:p>
    <w:p w14:paraId="098E22F9">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水费：反映单位支付的水费、污水处理费等支出。</w:t>
      </w:r>
    </w:p>
    <w:p w14:paraId="03AB82D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电费：反映单位的电费支出。</w:t>
      </w:r>
    </w:p>
    <w:p w14:paraId="004E9B0D">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邮电费：反映单位开支的信函、包裹、货物等物品的邮寄费及电话费、电报费、传真费、网络通讯费等。</w:t>
      </w:r>
    </w:p>
    <w:p w14:paraId="119BBF30">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物业管理费：反映单位开支的办公用房以及未实行职工住宅物业服务改革的在职职工和离退休人员宿舍等的物业管理费，包括综合治理、绿化、卫生等方面的支出。</w:t>
      </w:r>
    </w:p>
    <w:p w14:paraId="5D15665E">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差旅费：反映单位工作人员出差发生的城市间交通费、住宿费、伙食补贴费和市内交通费。</w:t>
      </w:r>
    </w:p>
    <w:p w14:paraId="339549AE">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维修(护)费：反映单位日常开支的固定资产（不包括车船等交通工具）修理和维护费用，网络信息系统运行与维护费用，以及按规定提取的修购基金。</w:t>
      </w:r>
    </w:p>
    <w:p w14:paraId="287DA6DD">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租赁费：反映租赁办公用房、宿舍、专用通讯网以及其他设备等方面的费用。</w:t>
      </w:r>
    </w:p>
    <w:p w14:paraId="4A1CC059">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会议费：反映会议中按规定开支的住宿费、伙食费、会议室租金、交通费、文件印刷费、医药费等。</w:t>
      </w:r>
    </w:p>
    <w:p w14:paraId="0DAF5502">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培训费：反映除因公出国（境）培训费以外的各类培训支出。</w:t>
      </w:r>
    </w:p>
    <w:p w14:paraId="6FA092F5">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公务接待费：反映单位按规定开支的各类公务接待（含外宾接待）费用。</w:t>
      </w:r>
    </w:p>
    <w:p w14:paraId="37AB7E84">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14:paraId="7FB12C0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专用燃料费：反映用作业务工作设备的车、船设施等的油料支出。</w:t>
      </w:r>
    </w:p>
    <w:p w14:paraId="000220BB">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劳务费：反映支付给单位和个人的劳务费用，如临时聘用人员、钟点工工资，稿费、翻译费，评审费等。</w:t>
      </w:r>
    </w:p>
    <w:p w14:paraId="0AC70BFF">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委托业务费：反映因委托外单位办理业务而支付的委托业务费。</w:t>
      </w:r>
    </w:p>
    <w:p w14:paraId="44845C93">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工会经费：反映单位按规定提取的工会经费。</w:t>
      </w:r>
    </w:p>
    <w:p w14:paraId="18A1451B">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福利费：反映单位按规定提取的福利费。</w:t>
      </w:r>
    </w:p>
    <w:p w14:paraId="4CF222B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公务用车运行维护费：反映单位按规定保留的公务用车燃料费、维修费、过桥过路费、保险费、安全奖励费用等支出。</w:t>
      </w:r>
    </w:p>
    <w:p w14:paraId="3177825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其他交通费用：反映单位除公务用车运行维护费以外的其他交通费用。如公务交通补贴，租车费用、出租车费用，飞机、船舶等的燃料费、维修费、保险费等。</w:t>
      </w:r>
    </w:p>
    <w:p w14:paraId="1B2AE01B">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税金及附加费用：反映单位提供劳务或销售产品应负担的税金及附加费用，包括营业税、消费税、城市维护建设税、资源税和教育附加等。</w:t>
      </w:r>
    </w:p>
    <w:p w14:paraId="767103C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其他商品和服务支出：反映上述科目未包括的日常公用支出。如行政赔偿费和诉讼费、国内组织的会员费、来访费、广告宣传、其他劳务费及离休人员特需费、公用经费等。</w:t>
      </w:r>
    </w:p>
    <w:p w14:paraId="6E3C52A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对个人和家庭的补助：反映政府用于对个人和家庭的补助支出。</w:t>
      </w:r>
    </w:p>
    <w:p w14:paraId="126209F6">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离休费：反映行政事业单位和军队移交政府安置的离休人员的离休费、护理费和其他补贴。</w:t>
      </w:r>
    </w:p>
    <w:p w14:paraId="41532185">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退休费：反映行政事业单位和军队移交政府安置的退休人员的退休费和其他补贴。</w:t>
      </w:r>
    </w:p>
    <w:p w14:paraId="5810FB2A">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抚恤金：反映按规定开支的烈士遗属、牺牲病故人员遗属的一次性和定期抚恤金，伤残人员的抚恤金，离退休人员等其他人员的各项抚恤金。</w:t>
      </w:r>
    </w:p>
    <w:p w14:paraId="47884983">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52F5C90C">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14:paraId="6F3E6BB9">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奖励金：反映政府各部门的奖励支出，如对个体私营经济的奖励、计划生育目标责任奖励、独生子女父母奖励等。</w:t>
      </w:r>
    </w:p>
    <w:p w14:paraId="1A5B1A41">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其他对个人和家庭的补助支出：反映未包括在上述科目的对个人和家庭的补助支出，</w:t>
      </w:r>
    </w:p>
    <w:p w14:paraId="036A2DAD">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办公设备购置：反映用于购置并按财务会计制度规定纳入固定资产核算范围的办公家具和办公设备的支出，以及按规定提取的修购基金。</w:t>
      </w:r>
    </w:p>
    <w:p w14:paraId="67947E43">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公务用车购置：反映公务用车车辆购置支出（含车辆购置税）。</w:t>
      </w:r>
    </w:p>
    <w:p w14:paraId="3E36B903">
      <w:pPr>
        <w:pStyle w:val="13"/>
        <w:jc w:val="center"/>
        <w:rPr>
          <w:rFonts w:hint="eastAsia" w:ascii="方正小标宋_GBK" w:hAnsi="方正小标宋_GBK" w:eastAsia="方正小标宋_GBK" w:cs="方正小标宋_GBK"/>
          <w:color w:val="000000" w:themeColor="text1"/>
          <w:sz w:val="72"/>
          <w:szCs w:val="72"/>
          <w14:textFill>
            <w14:solidFill>
              <w14:schemeClr w14:val="tx1"/>
            </w14:solidFill>
          </w14:textFill>
        </w:rPr>
      </w:pPr>
    </w:p>
    <w:p w14:paraId="2E3F6335">
      <w:pPr>
        <w:pStyle w:val="13"/>
        <w:jc w:val="both"/>
        <w:rPr>
          <w:rFonts w:hint="eastAsia" w:ascii="方正小标宋_GBK" w:hAnsi="方正小标宋_GBK" w:eastAsia="方正小标宋_GBK" w:cs="方正小标宋_GBK"/>
          <w:color w:val="000000" w:themeColor="text1"/>
          <w:sz w:val="72"/>
          <w:szCs w:val="72"/>
          <w14:textFill>
            <w14:solidFill>
              <w14:schemeClr w14:val="tx1"/>
            </w14:solidFill>
          </w14:textFill>
        </w:rPr>
      </w:pPr>
    </w:p>
    <w:p w14:paraId="51C1C29A">
      <w:pPr>
        <w:pStyle w:val="13"/>
        <w:jc w:val="both"/>
        <w:rPr>
          <w:rFonts w:hint="eastAsia" w:ascii="方正小标宋_GBK" w:hAnsi="方正小标宋_GBK" w:eastAsia="方正小标宋_GBK" w:cs="方正小标宋_GBK"/>
          <w:color w:val="000000" w:themeColor="text1"/>
          <w:sz w:val="72"/>
          <w:szCs w:val="72"/>
          <w14:textFill>
            <w14:solidFill>
              <w14:schemeClr w14:val="tx1"/>
            </w14:solidFill>
          </w14:textFill>
        </w:rPr>
      </w:pPr>
    </w:p>
    <w:p w14:paraId="396BDE61">
      <w:pPr>
        <w:pStyle w:val="4"/>
        <w:ind w:left="0" w:leftChars="0" w:firstLine="0" w:firstLineChars="0"/>
        <w:rPr>
          <w:color w:val="000000" w:themeColor="text1"/>
          <w14:textFill>
            <w14:solidFill>
              <w14:schemeClr w14:val="tx1"/>
            </w14:solidFill>
          </w14:textFill>
        </w:rPr>
      </w:pPr>
    </w:p>
    <w:p w14:paraId="7F9139A8">
      <w:pPr>
        <w:rPr>
          <w:color w:val="000000" w:themeColor="text1"/>
          <w14:textFill>
            <w14:solidFill>
              <w14:schemeClr w14:val="tx1"/>
            </w14:solidFill>
          </w14:textFill>
        </w:rPr>
      </w:pPr>
    </w:p>
    <w:p w14:paraId="431D47D1">
      <w:pPr>
        <w:pStyle w:val="8"/>
        <w:rPr>
          <w:color w:val="000000" w:themeColor="text1"/>
          <w14:textFill>
            <w14:solidFill>
              <w14:schemeClr w14:val="tx1"/>
            </w14:solidFill>
          </w14:textFill>
        </w:rPr>
      </w:pPr>
    </w:p>
    <w:p w14:paraId="7098260F">
      <w:pPr>
        <w:pStyle w:val="13"/>
        <w:jc w:val="center"/>
        <w:rPr>
          <w:rFonts w:hint="eastAsia" w:ascii="方正小标宋_GBK" w:hAnsi="方正小标宋_GBK" w:eastAsia="方正小标宋_GBK" w:cs="方正小标宋_GBK"/>
          <w:color w:val="000000" w:themeColor="text1"/>
          <w:sz w:val="72"/>
          <w:szCs w:val="72"/>
          <w:lang w:eastAsia="zh-CN"/>
          <w14:textFill>
            <w14:solidFill>
              <w14:schemeClr w14:val="tx1"/>
            </w14:solidFill>
          </w14:textFill>
        </w:rPr>
      </w:pPr>
      <w:r>
        <w:rPr>
          <w:rFonts w:hint="eastAsia" w:ascii="方正小标宋_GBK" w:hAnsi="方正小标宋_GBK" w:eastAsia="方正小标宋_GBK" w:cs="方正小标宋_GBK"/>
          <w:color w:val="000000" w:themeColor="text1"/>
          <w:sz w:val="72"/>
          <w:szCs w:val="72"/>
          <w14:textFill>
            <w14:solidFill>
              <w14:schemeClr w14:val="tx1"/>
            </w14:solidFill>
          </w14:textFill>
        </w:rPr>
        <w:t>第</w:t>
      </w:r>
      <w:r>
        <w:rPr>
          <w:rFonts w:hint="eastAsia" w:ascii="方正小标宋_GBK" w:hAnsi="方正小标宋_GBK" w:eastAsia="方正小标宋_GBK" w:cs="方正小标宋_GBK"/>
          <w:color w:val="000000" w:themeColor="text1"/>
          <w:sz w:val="72"/>
          <w:szCs w:val="72"/>
          <w:lang w:eastAsia="zh-CN"/>
          <w14:textFill>
            <w14:solidFill>
              <w14:schemeClr w14:val="tx1"/>
            </w14:solidFill>
          </w14:textFill>
        </w:rPr>
        <w:t>五</w:t>
      </w:r>
      <w:r>
        <w:rPr>
          <w:rFonts w:hint="eastAsia" w:ascii="方正小标宋_GBK" w:hAnsi="方正小标宋_GBK" w:eastAsia="方正小标宋_GBK" w:cs="方正小标宋_GBK"/>
          <w:color w:val="000000" w:themeColor="text1"/>
          <w:sz w:val="72"/>
          <w:szCs w:val="72"/>
          <w14:textFill>
            <w14:solidFill>
              <w14:schemeClr w14:val="tx1"/>
            </w14:solidFill>
          </w14:textFill>
        </w:rPr>
        <w:t>部分</w:t>
      </w:r>
    </w:p>
    <w:p w14:paraId="25032879">
      <w:pPr>
        <w:pStyle w:val="13"/>
        <w:jc w:val="center"/>
        <w:rPr>
          <w:rFonts w:hint="eastAsia" w:ascii="方正小标宋_GBK" w:hAnsi="方正小标宋_GBK" w:eastAsia="方正小标宋_GBK" w:cs="方正小标宋_GBK"/>
          <w:color w:val="000000" w:themeColor="text1"/>
          <w:sz w:val="72"/>
          <w:szCs w:val="72"/>
          <w:lang w:eastAsia="zh-CN"/>
          <w14:textFill>
            <w14:solidFill>
              <w14:schemeClr w14:val="tx1"/>
            </w14:solidFill>
          </w14:textFill>
        </w:rPr>
      </w:pPr>
      <w:r>
        <w:rPr>
          <w:rFonts w:hint="eastAsia" w:ascii="方正小标宋_GBK" w:hAnsi="方正小标宋_GBK" w:eastAsia="方正小标宋_GBK" w:cs="方正小标宋_GBK"/>
          <w:color w:val="000000" w:themeColor="text1"/>
          <w:sz w:val="72"/>
          <w:szCs w:val="72"/>
          <w:lang w:eastAsia="zh-CN"/>
          <w14:textFill>
            <w14:solidFill>
              <w14:schemeClr w14:val="tx1"/>
            </w14:solidFill>
          </w14:textFill>
        </w:rPr>
        <w:t>附</w:t>
      </w:r>
      <w:r>
        <w:rPr>
          <w:rFonts w:hint="eastAsia" w:ascii="方正小标宋_GBK" w:hAnsi="方正小标宋_GBK" w:eastAsia="方正小标宋_GBK" w:cs="方正小标宋_GBK"/>
          <w:color w:val="000000" w:themeColor="text1"/>
          <w:sz w:val="72"/>
          <w:szCs w:val="72"/>
          <w:lang w:val="en-US" w:eastAsia="zh-CN"/>
          <w14:textFill>
            <w14:solidFill>
              <w14:schemeClr w14:val="tx1"/>
            </w14:solidFill>
          </w14:textFill>
        </w:rPr>
        <w:t xml:space="preserve"> </w:t>
      </w:r>
      <w:r>
        <w:rPr>
          <w:rFonts w:hint="eastAsia" w:ascii="方正小标宋_GBK" w:hAnsi="方正小标宋_GBK" w:eastAsia="方正小标宋_GBK" w:cs="方正小标宋_GBK"/>
          <w:color w:val="000000" w:themeColor="text1"/>
          <w:sz w:val="72"/>
          <w:szCs w:val="72"/>
          <w:lang w:eastAsia="zh-CN"/>
          <w14:textFill>
            <w14:solidFill>
              <w14:schemeClr w14:val="tx1"/>
            </w14:solidFill>
          </w14:textFill>
        </w:rPr>
        <w:t>件</w:t>
      </w:r>
    </w:p>
    <w:p w14:paraId="3280FAFC">
      <w:pPr>
        <w:ind w:firstLine="640" w:firstLineChars="200"/>
        <w:jc w:val="left"/>
        <w:rPr>
          <w:rFonts w:hint="eastAsia" w:ascii="宋体" w:hAnsi="宋体" w:eastAsia="宋体" w:cs="黑体"/>
          <w:b/>
          <w:color w:val="000000" w:themeColor="text1"/>
          <w:kern w:val="0"/>
          <w:sz w:val="32"/>
          <w:szCs w:val="32"/>
          <w:lang w:val="en-US" w:eastAsia="zh-CN"/>
          <w14:textFill>
            <w14:solidFill>
              <w14:schemeClr w14:val="tx1"/>
            </w14:solidFill>
          </w14:textFill>
        </w:rPr>
      </w:pPr>
    </w:p>
    <w:p w14:paraId="47C9B6A4">
      <w:pPr>
        <w:ind w:firstLine="640" w:firstLineChars="200"/>
        <w:jc w:val="left"/>
        <w:rPr>
          <w:rFonts w:hint="eastAsia" w:ascii="宋体" w:hAnsi="宋体" w:eastAsia="宋体" w:cs="黑体"/>
          <w:b/>
          <w:color w:val="000000" w:themeColor="text1"/>
          <w:kern w:val="0"/>
          <w:sz w:val="32"/>
          <w:szCs w:val="32"/>
          <w:lang w:val="en-US" w:eastAsia="zh-CN"/>
          <w14:textFill>
            <w14:solidFill>
              <w14:schemeClr w14:val="tx1"/>
            </w14:solidFill>
          </w14:textFill>
        </w:rPr>
      </w:pPr>
      <w:r>
        <w:rPr>
          <w:rFonts w:hint="eastAsia" w:ascii="宋体" w:hAnsi="宋体" w:eastAsia="宋体" w:cs="黑体"/>
          <w:b/>
          <w:color w:val="000000" w:themeColor="text1"/>
          <w:kern w:val="0"/>
          <w:sz w:val="32"/>
          <w:szCs w:val="32"/>
          <w:lang w:val="en-US" w:eastAsia="zh-CN"/>
          <w14:textFill>
            <w14:solidFill>
              <w14:schemeClr w14:val="tx1"/>
            </w14:solidFill>
          </w14:textFill>
        </w:rPr>
        <w:t>1、2023年部门决算公开表格</w:t>
      </w:r>
    </w:p>
    <w:p w14:paraId="7CC9D8DF">
      <w:pPr>
        <w:ind w:firstLine="640" w:firstLineChars="200"/>
        <w:jc w:val="left"/>
        <w:rPr>
          <w:rFonts w:ascii="宋体" w:hAnsi="宋体" w:eastAsia="宋体" w:cs="黑体"/>
          <w:color w:val="000000" w:themeColor="text1"/>
          <w:kern w:val="0"/>
          <w:sz w:val="32"/>
          <w:szCs w:val="32"/>
          <w14:textFill>
            <w14:solidFill>
              <w14:schemeClr w14:val="tx1"/>
            </w14:solidFill>
          </w14:textFill>
        </w:rPr>
      </w:pPr>
      <w:r>
        <w:rPr>
          <w:rFonts w:hint="eastAsia" w:ascii="宋体" w:hAnsi="宋体" w:eastAsia="宋体" w:cs="黑体"/>
          <w:b/>
          <w:color w:val="000000" w:themeColor="text1"/>
          <w:kern w:val="0"/>
          <w:sz w:val="32"/>
          <w:szCs w:val="32"/>
          <w:lang w:val="en-US" w:eastAsia="zh-CN"/>
          <w14:textFill>
            <w14:solidFill>
              <w14:schemeClr w14:val="tx1"/>
            </w14:solidFill>
          </w14:textFill>
        </w:rPr>
        <w:t>2、</w:t>
      </w:r>
      <w:r>
        <w:rPr>
          <w:rFonts w:hint="eastAsia" w:ascii="宋体" w:hAnsi="宋体" w:eastAsia="宋体" w:cs="黑体"/>
          <w:b/>
          <w:color w:val="000000" w:themeColor="text1"/>
          <w:kern w:val="0"/>
          <w:sz w:val="32"/>
          <w:szCs w:val="32"/>
          <w14:textFill>
            <w14:solidFill>
              <w14:schemeClr w14:val="tx1"/>
            </w14:solidFill>
          </w14:textFill>
        </w:rPr>
        <w:t>202</w:t>
      </w:r>
      <w:r>
        <w:rPr>
          <w:rFonts w:hint="eastAsia" w:ascii="宋体" w:hAnsi="宋体" w:eastAsia="宋体" w:cs="黑体"/>
          <w:b/>
          <w:color w:val="000000" w:themeColor="text1"/>
          <w:kern w:val="0"/>
          <w:sz w:val="32"/>
          <w:szCs w:val="32"/>
          <w:lang w:val="en-US" w:eastAsia="zh-CN"/>
          <w14:textFill>
            <w14:solidFill>
              <w14:schemeClr w14:val="tx1"/>
            </w14:solidFill>
          </w14:textFill>
        </w:rPr>
        <w:t>3</w:t>
      </w:r>
      <w:r>
        <w:rPr>
          <w:rFonts w:hint="eastAsia" w:ascii="宋体" w:hAnsi="宋体" w:eastAsia="宋体" w:cs="黑体"/>
          <w:b/>
          <w:color w:val="000000" w:themeColor="text1"/>
          <w:kern w:val="0"/>
          <w:sz w:val="32"/>
          <w:szCs w:val="32"/>
          <w14:textFill>
            <w14:solidFill>
              <w14:schemeClr w14:val="tx1"/>
            </w14:solidFill>
          </w14:textFill>
        </w:rPr>
        <w:t>年度部门整体支出绩效评价报告</w:t>
      </w:r>
    </w:p>
    <w:p w14:paraId="619D9267">
      <w:pPr>
        <w:rPr>
          <w:color w:val="000000" w:themeColor="text1"/>
          <w14:textFill>
            <w14:solidFill>
              <w14:schemeClr w14:val="tx1"/>
            </w14:solidFill>
          </w14:textFill>
        </w:rPr>
      </w:pPr>
    </w:p>
    <w:bookmarkEnd w:id="0"/>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8"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466D17"/>
    <w:multiLevelType w:val="singleLevel"/>
    <w:tmpl w:val="D4466D1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C06219C"/>
    <w:rsid w:val="101152BF"/>
    <w:rsid w:val="11EC4515"/>
    <w:rsid w:val="122A5DFA"/>
    <w:rsid w:val="12583BA5"/>
    <w:rsid w:val="13BA5B9C"/>
    <w:rsid w:val="179E60DD"/>
    <w:rsid w:val="1C0D6135"/>
    <w:rsid w:val="1D97DEFF"/>
    <w:rsid w:val="1DFF72E5"/>
    <w:rsid w:val="1EFC6F07"/>
    <w:rsid w:val="222D7BDC"/>
    <w:rsid w:val="22AC03C2"/>
    <w:rsid w:val="23CD22A5"/>
    <w:rsid w:val="2F5B80AD"/>
    <w:rsid w:val="2FBE93A3"/>
    <w:rsid w:val="2FDF85B8"/>
    <w:rsid w:val="2FFFEE04"/>
    <w:rsid w:val="31C95635"/>
    <w:rsid w:val="340E0699"/>
    <w:rsid w:val="344931ED"/>
    <w:rsid w:val="34DF85B0"/>
    <w:rsid w:val="351C7993"/>
    <w:rsid w:val="370D5175"/>
    <w:rsid w:val="3B8F36BC"/>
    <w:rsid w:val="3C802F63"/>
    <w:rsid w:val="3F9FAFA9"/>
    <w:rsid w:val="491FF225"/>
    <w:rsid w:val="4F602663"/>
    <w:rsid w:val="4FFD214C"/>
    <w:rsid w:val="51142703"/>
    <w:rsid w:val="51CD1757"/>
    <w:rsid w:val="5352765A"/>
    <w:rsid w:val="53C361C9"/>
    <w:rsid w:val="5777D4F5"/>
    <w:rsid w:val="59DD8326"/>
    <w:rsid w:val="5DEF592A"/>
    <w:rsid w:val="5FC6BB1E"/>
    <w:rsid w:val="5FF720F1"/>
    <w:rsid w:val="616721C9"/>
    <w:rsid w:val="67FF5C0B"/>
    <w:rsid w:val="691F6205"/>
    <w:rsid w:val="6BAA4A2F"/>
    <w:rsid w:val="6EFC0924"/>
    <w:rsid w:val="6FB74722"/>
    <w:rsid w:val="6FEF8B7E"/>
    <w:rsid w:val="71A6591B"/>
    <w:rsid w:val="724105A9"/>
    <w:rsid w:val="737D59BA"/>
    <w:rsid w:val="737F32B1"/>
    <w:rsid w:val="75A23479"/>
    <w:rsid w:val="77C37683"/>
    <w:rsid w:val="77EDA4D4"/>
    <w:rsid w:val="79FF515B"/>
    <w:rsid w:val="7E530626"/>
    <w:rsid w:val="7E9E1962"/>
    <w:rsid w:val="7E9F11B4"/>
    <w:rsid w:val="7EF7A036"/>
    <w:rsid w:val="7EF93583"/>
    <w:rsid w:val="7EFD801D"/>
    <w:rsid w:val="7F37EC1E"/>
    <w:rsid w:val="7F7DCD9D"/>
    <w:rsid w:val="7F970A6F"/>
    <w:rsid w:val="7FB500E3"/>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3D95914"/>
    <w:rsid w:val="EABB318B"/>
    <w:rsid w:val="EEABED75"/>
    <w:rsid w:val="EEEB46DC"/>
    <w:rsid w:val="F56FDF51"/>
    <w:rsid w:val="F612214C"/>
    <w:rsid w:val="F6B69F17"/>
    <w:rsid w:val="F77F1D61"/>
    <w:rsid w:val="F7FED3A9"/>
    <w:rsid w:val="F8C9DB26"/>
    <w:rsid w:val="F97E8EAE"/>
    <w:rsid w:val="FB36E1A6"/>
    <w:rsid w:val="FB3BE134"/>
    <w:rsid w:val="FC7A981E"/>
    <w:rsid w:val="FCFF4275"/>
    <w:rsid w:val="FD7FEEEA"/>
    <w:rsid w:val="FDFFB577"/>
    <w:rsid w:val="FEEA50FE"/>
    <w:rsid w:val="FEFB01AB"/>
    <w:rsid w:val="FF7D47A9"/>
    <w:rsid w:val="FF97956C"/>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jc w:val="center"/>
      <w:outlineLvl w:val="1"/>
    </w:pPr>
    <w:rPr>
      <w:rFonts w:eastAsia="楷体_GB2312"/>
      <w:bCs/>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4"/>
    <w:semiHidden/>
    <w:qFormat/>
    <w:uiPriority w:val="0"/>
    <w:pPr>
      <w:snapToGrid w:val="0"/>
      <w:jc w:val="left"/>
    </w:pPr>
    <w:rPr>
      <w:sz w:val="18"/>
      <w:szCs w:val="18"/>
    </w:rPr>
  </w:style>
  <w:style w:type="character" w:customStyle="1" w:styleId="11">
    <w:name w:val="页眉 Char"/>
    <w:basedOn w:val="10"/>
    <w:link w:val="7"/>
    <w:qFormat/>
    <w:uiPriority w:val="99"/>
    <w:rPr>
      <w:sz w:val="18"/>
      <w:szCs w:val="18"/>
    </w:rPr>
  </w:style>
  <w:style w:type="character" w:customStyle="1" w:styleId="12">
    <w:name w:val="页脚 Char"/>
    <w:basedOn w:val="10"/>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5"/>
    <w:semiHidden/>
    <w:qFormat/>
    <w:uiPriority w:val="99"/>
    <w:rPr>
      <w:sz w:val="18"/>
      <w:szCs w:val="18"/>
    </w:rPr>
  </w:style>
  <w:style w:type="character" w:customStyle="1" w:styleId="16">
    <w:name w:val="font01"/>
    <w:basedOn w:val="10"/>
    <w:qFormat/>
    <w:uiPriority w:val="0"/>
    <w:rPr>
      <w:rFonts w:hint="eastAsia" w:ascii="宋体" w:hAnsi="宋体" w:eastAsia="宋体" w:cs="宋体"/>
      <w:color w:val="000000"/>
      <w:sz w:val="22"/>
      <w:szCs w:val="22"/>
      <w:u w:val="none"/>
    </w:rPr>
  </w:style>
  <w:style w:type="character" w:customStyle="1" w:styleId="17">
    <w:name w:val="font21"/>
    <w:basedOn w:val="10"/>
    <w:qFormat/>
    <w:uiPriority w:val="0"/>
    <w:rPr>
      <w:rFonts w:hint="eastAsia" w:ascii="宋体" w:hAnsi="宋体" w:eastAsia="宋体" w:cs="宋体"/>
      <w:color w:val="000000"/>
      <w:sz w:val="24"/>
      <w:szCs w:val="24"/>
      <w:u w:val="none"/>
    </w:rPr>
  </w:style>
  <w:style w:type="character" w:customStyle="1" w:styleId="18">
    <w:name w:val="font11"/>
    <w:basedOn w:val="10"/>
    <w:qFormat/>
    <w:uiPriority w:val="0"/>
    <w:rPr>
      <w:rFonts w:hint="eastAsia" w:ascii="宋体" w:hAnsi="宋体" w:eastAsia="宋体" w:cs="宋体"/>
      <w:color w:val="000000"/>
      <w:sz w:val="24"/>
      <w:szCs w:val="24"/>
      <w:u w:val="none"/>
    </w:rPr>
  </w:style>
  <w:style w:type="paragraph" w:customStyle="1" w:styleId="19">
    <w:name w:val="List Paragraph_a0f507d5-6e28-4914-b37f-020b7d2b0f7c"/>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1347</Words>
  <Characters>7679</Characters>
  <Lines>63</Lines>
  <Paragraphs>18</Paragraphs>
  <TotalTime>12</TotalTime>
  <ScaleCrop>false</ScaleCrop>
  <LinksUpToDate>false</LinksUpToDate>
  <CharactersWithSpaces>9008</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2020-07-08T18:32:00Z</dcterms:created>
  <dc:creator>李航 null</dc:creator>
  <cp:lastModifiedBy>kylin</cp:lastModifiedBy>
  <cp:lastPrinted>2024-08-09T02:20:00Z</cp:lastPrinted>
  <dcterms:modified xsi:type="dcterms:W3CDTF">2025-08-25T14:38:44Z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28A516A6BC9E93E58736836881735D54_43</vt:lpwstr>
  </property>
</Properties>
</file>