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7B72F">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default" w:ascii="宋体" w:hAnsi="宋体" w:eastAsia="宋体" w:cs="Times New Roman"/>
          <w:b/>
          <w:bCs/>
          <w:kern w:val="2"/>
          <w:sz w:val="52"/>
          <w:szCs w:val="44"/>
          <w:lang w:val="zh-CN"/>
        </w:rPr>
        <w:t>202</w:t>
      </w:r>
      <w:r>
        <w:rPr>
          <w:rFonts w:hint="eastAsia" w:ascii="宋体" w:hAnsi="宋体" w:eastAsia="宋体" w:cs="Times New Roman"/>
          <w:b/>
          <w:bCs/>
          <w:kern w:val="2"/>
          <w:sz w:val="52"/>
          <w:szCs w:val="44"/>
          <w:lang w:val="en-US" w:eastAsia="zh-CN"/>
        </w:rPr>
        <w:t>3</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整体支出绩效自评报告</w:t>
      </w:r>
    </w:p>
    <w:p w14:paraId="48338852">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根据要求，我</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专门成立财政支出绩效评价工作小组，组织对202</w:t>
      </w:r>
      <w:r>
        <w:rPr>
          <w:rFonts w:hint="eastAsia" w:ascii="宋体" w:hAnsi="宋体" w:eastAsia="宋体" w:cs="Times New Roman"/>
          <w:sz w:val="32"/>
          <w:szCs w:val="24"/>
          <w:lang w:val="en-US" w:eastAsia="zh-CN" w:bidi="ar"/>
        </w:rPr>
        <w:t>3</w:t>
      </w:r>
      <w:r>
        <w:rPr>
          <w:rFonts w:hint="default" w:ascii="宋体" w:hAnsi="宋体" w:eastAsia="宋体" w:cs="Times New Roman"/>
          <w:sz w:val="32"/>
          <w:szCs w:val="24"/>
          <w:lang w:val="zh-CN" w:eastAsia="zh-CN" w:bidi="ar"/>
        </w:rPr>
        <w:t>年度部门整体支出开展了绩效自评。现将有关情况报告如下：</w:t>
      </w:r>
    </w:p>
    <w:p w14:paraId="37E78E9B">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w:t>
      </w:r>
      <w:r>
        <w:rPr>
          <w:rFonts w:hint="eastAsia" w:ascii="宋体" w:hAnsi="宋体" w:eastAsia="宋体" w:cs="Times New Roman"/>
          <w:sz w:val="32"/>
          <w:szCs w:val="24"/>
          <w:lang w:val="zh-CN" w:eastAsia="zh-CN" w:bidi="ar"/>
        </w:rPr>
        <w:t>单位</w:t>
      </w:r>
      <w:r>
        <w:rPr>
          <w:rFonts w:hint="default" w:ascii="宋体" w:hAnsi="宋体" w:eastAsia="宋体" w:cs="Times New Roman"/>
          <w:sz w:val="32"/>
          <w:szCs w:val="24"/>
          <w:lang w:val="zh-CN" w:eastAsia="zh-CN" w:bidi="ar"/>
        </w:rPr>
        <w:t>概况</w:t>
      </w:r>
    </w:p>
    <w:p w14:paraId="688A6277">
      <w:pPr>
        <w:keepNext w:val="0"/>
        <w:keepLines w:val="0"/>
        <w:pageBreakBefore w:val="0"/>
        <w:widowControl/>
        <w:kinsoku/>
        <w:wordWrap/>
        <w:overflowPunct/>
        <w:topLinePunct w:val="0"/>
        <w:autoSpaceDE/>
        <w:autoSpaceDN/>
        <w:bidi w:val="0"/>
        <w:adjustRightInd/>
        <w:snapToGrid/>
        <w:spacing w:before="156" w:beforeLines="50" w:after="156" w:afterLines="50" w:line="560" w:lineRule="atLeast"/>
        <w:ind w:firstLine="640" w:firstLineChars="200"/>
        <w:textAlignment w:val="auto"/>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（一）基本情况</w:t>
      </w:r>
    </w:p>
    <w:p w14:paraId="6BFA3BA6">
      <w:pPr>
        <w:keepNext w:val="0"/>
        <w:keepLines w:val="0"/>
        <w:pageBreakBefore w:val="0"/>
        <w:widowControl/>
        <w:kinsoku/>
        <w:wordWrap/>
        <w:overflowPunct/>
        <w:topLinePunct w:val="0"/>
        <w:autoSpaceDE/>
        <w:autoSpaceDN/>
        <w:bidi w:val="0"/>
        <w:adjustRightInd/>
        <w:snapToGrid/>
        <w:spacing w:before="100" w:line="560" w:lineRule="atLeast"/>
        <w:ind w:left="545" w:right="16" w:firstLine="729"/>
        <w:textAlignment w:val="auto"/>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岳阳市农业农村事务中心（市农业广播电视学校）内设</w:t>
      </w:r>
      <w:r>
        <w:rPr>
          <w:rFonts w:hint="eastAsia" w:ascii="宋体" w:hAnsi="宋体" w:eastAsia="宋体" w:cs="Times New Roman"/>
          <w:sz w:val="32"/>
          <w:szCs w:val="24"/>
          <w:lang w:val="en-US" w:eastAsia="zh-CN" w:bidi="ar"/>
        </w:rPr>
        <w:t>5个内设</w:t>
      </w:r>
      <w:r>
        <w:rPr>
          <w:rFonts w:hint="eastAsia" w:ascii="宋体" w:hAnsi="宋体" w:eastAsia="宋体" w:cs="Times New Roman"/>
          <w:sz w:val="32"/>
          <w:szCs w:val="24"/>
          <w:lang w:val="zh-CN" w:eastAsia="zh-CN" w:bidi="ar"/>
        </w:rPr>
        <w:t>机构</w:t>
      </w:r>
      <w:r>
        <w:rPr>
          <w:rFonts w:hint="eastAsia" w:ascii="宋体" w:hAnsi="宋体" w:eastAsia="宋体" w:cs="Times New Roman"/>
          <w:sz w:val="32"/>
          <w:szCs w:val="24"/>
          <w:lang w:val="en-US" w:eastAsia="zh-CN" w:bidi="ar"/>
        </w:rPr>
        <w:t>1个分支机构</w:t>
      </w:r>
      <w:r>
        <w:rPr>
          <w:rFonts w:hint="eastAsia" w:ascii="宋体" w:hAnsi="宋体" w:eastAsia="宋体" w:cs="Times New Roman"/>
          <w:sz w:val="32"/>
          <w:szCs w:val="24"/>
          <w:lang w:val="zh-CN" w:eastAsia="zh-CN" w:bidi="ar"/>
        </w:rPr>
        <w:t>。五</w:t>
      </w:r>
      <w:r>
        <w:rPr>
          <w:rFonts w:hint="eastAsia" w:ascii="宋体" w:hAnsi="宋体" w:eastAsia="宋体" w:cs="Times New Roman"/>
          <w:sz w:val="32"/>
          <w:szCs w:val="24"/>
          <w:lang w:val="en-US" w:eastAsia="zh-CN" w:bidi="ar"/>
        </w:rPr>
        <w:t>个内设</w:t>
      </w:r>
      <w:r>
        <w:rPr>
          <w:rFonts w:hint="eastAsia" w:ascii="宋体" w:hAnsi="宋体" w:eastAsia="宋体" w:cs="Times New Roman"/>
          <w:sz w:val="32"/>
          <w:szCs w:val="24"/>
          <w:lang w:val="zh-CN" w:eastAsia="zh-CN" w:bidi="ar"/>
        </w:rPr>
        <w:t>机构(一)综合部。负责中心日常运转，承担文电、会务、 安全、保密、人事、宣传、信访、财务、档案、政务公开管 理等工作；承担农村集体产权交易、农村承包地经营权流转 等农村事务的行政辅助工作。(二)种植业事务部。承担种植业新技术、新品种和新 模式引进、试验与示范推广的事务性工作；承担种植业项目 组织实施的事务性工作；承担野生植物保护与外来物种(植 物)监测、专业性病虫测报体系建设、农作物病虫草鼠害防 治、农药包装废弃物回收处置、耕地质量监测网络建设、退 化耕地治理的技术支撑工作；承担绿色食品、有机农产品和 地理标志农产品认证、品牌推广的事务性工作；承担农产品 质量安全追溯平台和湖南省农产品“身份证”管理平台的日 常管理工作。(三)畜牧水产事务部。承担畜禽、水产新品种、新技 术和新模式的引进、试验与示范推广工作，承担养殖业产业 发展项目组织实施的事务性工作；承担养殖业结构调整、产 业规划与布局、标准化生产、规模化养殖、畜禽粪污资源化 利用的事务性工作；协助开展养殖业生产监测、种畜禽生产 性能测定的事务性工作。(四)农机事务部。承担农机新机具、新技术和新模式 的引进、试验与示范推广等相关事务性工作；承担农机化发 展项目组织实施的事务性工作；承担农机社会化服务、农机 产品质量调查等事务性工作。(五)农业生态环境监测部(水生动物疫病防控监测部)。承担耕地质量、地力监测及土壤肥力长期定位监测工 作；承担农业面源污染普查工作；承担测土配方施肥等农业 环境相关的抽样、制样、检测、评价工作；承担水生动物疫 病、渔业环境等监测工作；承担与市检验检测中心相关业务 工作对接。（六）设1个分支机构市农业教育培训工作站。承担涉农的业务培训、产业培 训和技术培训项目并组织实施的事务性工作；承担农民职业 技能鉴定、农业声像宣传和管理的事务性工作；承担组织农民体育赛事活动。</w:t>
      </w:r>
    </w:p>
    <w:p w14:paraId="586A6FCF">
      <w:pPr>
        <w:spacing w:before="156" w:beforeLines="50" w:after="156" w:afterLines="50" w:line="560" w:lineRule="exact"/>
        <w:ind w:firstLine="643" w:firstLineChars="200"/>
        <w:rPr>
          <w:rFonts w:hint="default" w:ascii="宋体" w:hAnsi="宋体" w:eastAsia="宋体" w:cs="Times New Roman"/>
          <w:kern w:val="2"/>
          <w:sz w:val="32"/>
          <w:szCs w:val="24"/>
          <w:lang w:val="zh-CN" w:eastAsia="zh-CN" w:bidi="ar"/>
        </w:rPr>
      </w:pPr>
      <w:r>
        <w:rPr>
          <w:rFonts w:hint="default" w:ascii="宋体" w:hAnsi="宋体" w:eastAsia="宋体" w:cs="Times New Roman"/>
          <w:b/>
          <w:bCs/>
          <w:kern w:val="2"/>
          <w:sz w:val="32"/>
          <w:szCs w:val="24"/>
          <w:lang w:val="zh-CN" w:eastAsia="zh-CN" w:bidi="ar"/>
        </w:rPr>
        <w:t>（二）</w:t>
      </w:r>
      <w:r>
        <w:rPr>
          <w:rFonts w:hint="default" w:ascii="宋体" w:hAnsi="宋体" w:eastAsia="宋体" w:cs="Times New Roman"/>
          <w:kern w:val="2"/>
          <w:sz w:val="32"/>
          <w:szCs w:val="24"/>
          <w:lang w:val="zh-CN" w:eastAsia="zh-CN" w:bidi="ar"/>
        </w:rPr>
        <w:t>主要职能</w:t>
      </w:r>
    </w:p>
    <w:p w14:paraId="2265212D">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en-US" w:eastAsia="zh-CN" w:bidi="ar"/>
        </w:rPr>
        <w:t>市农业</w:t>
      </w:r>
      <w:r>
        <w:rPr>
          <w:rFonts w:hint="eastAsia" w:ascii="宋体" w:hAnsi="宋体" w:eastAsia="宋体" w:cs="Times New Roman"/>
          <w:sz w:val="32"/>
          <w:szCs w:val="24"/>
          <w:lang w:val="en-US" w:eastAsia="zh-CN" w:bidi="ar"/>
        </w:rPr>
        <w:t>农村事务中心</w:t>
      </w:r>
      <w:r>
        <w:rPr>
          <w:rFonts w:hint="default" w:ascii="宋体" w:hAnsi="宋体" w:eastAsia="宋体" w:cs="Times New Roman"/>
          <w:sz w:val="32"/>
          <w:szCs w:val="24"/>
          <w:lang w:val="en-US" w:eastAsia="zh-CN" w:bidi="ar"/>
        </w:rPr>
        <w:t>是由市农业农村局管理的公益一类副处级机构，编制</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个，在职人数</w:t>
      </w:r>
      <w:r>
        <w:rPr>
          <w:rFonts w:hint="eastAsia" w:ascii="宋体" w:hAnsi="宋体" w:eastAsia="宋体" w:cs="Times New Roman"/>
          <w:sz w:val="32"/>
          <w:szCs w:val="24"/>
          <w:lang w:val="en-US" w:eastAsia="zh-CN" w:bidi="ar"/>
        </w:rPr>
        <w:t>44</w:t>
      </w:r>
      <w:r>
        <w:rPr>
          <w:rFonts w:hint="default" w:ascii="宋体" w:hAnsi="宋体" w:eastAsia="宋体" w:cs="Times New Roman"/>
          <w:sz w:val="32"/>
          <w:szCs w:val="24"/>
          <w:lang w:val="en-US" w:eastAsia="zh-CN" w:bidi="ar"/>
        </w:rPr>
        <w:t>人，退休人数</w:t>
      </w:r>
      <w:r>
        <w:rPr>
          <w:rFonts w:hint="eastAsia" w:ascii="宋体" w:hAnsi="宋体" w:eastAsia="宋体" w:cs="Times New Roman"/>
          <w:sz w:val="32"/>
          <w:szCs w:val="24"/>
          <w:lang w:val="en-US" w:eastAsia="zh-CN" w:bidi="ar"/>
        </w:rPr>
        <w:t>20</w:t>
      </w:r>
      <w:r>
        <w:rPr>
          <w:rFonts w:hint="default" w:ascii="宋体" w:hAnsi="宋体" w:eastAsia="宋体" w:cs="Times New Roman"/>
          <w:sz w:val="32"/>
          <w:szCs w:val="24"/>
          <w:lang w:val="en-US" w:eastAsia="zh-CN" w:bidi="ar"/>
        </w:rPr>
        <w:t>人。主要职责为：</w:t>
      </w:r>
      <w:r>
        <w:rPr>
          <w:rFonts w:hint="eastAsia" w:ascii="宋体" w:hAnsi="宋体" w:eastAsia="宋体" w:cs="Times New Roman"/>
          <w:b/>
          <w:bCs/>
          <w:sz w:val="32"/>
          <w:szCs w:val="24"/>
          <w:lang w:val="en-US" w:eastAsia="zh-CN" w:bidi="ar"/>
        </w:rPr>
        <w:t>一是</w:t>
      </w:r>
      <w:r>
        <w:rPr>
          <w:rFonts w:hint="eastAsia" w:ascii="宋体" w:hAnsi="宋体" w:eastAsia="宋体" w:cs="Times New Roman"/>
          <w:b/>
          <w:bCs/>
          <w:sz w:val="32"/>
          <w:szCs w:val="24"/>
          <w:lang w:val="zh-CN" w:eastAsia="zh-CN" w:bidi="ar"/>
        </w:rPr>
        <w:t>为机关提供支持保障的职能。</w:t>
      </w:r>
      <w:r>
        <w:rPr>
          <w:rFonts w:hint="eastAsia" w:ascii="宋体" w:hAnsi="宋体" w:eastAsia="宋体" w:cs="Times New Roman"/>
          <w:sz w:val="32"/>
          <w:szCs w:val="24"/>
          <w:lang w:val="zh-CN" w:eastAsia="zh-CN" w:bidi="ar"/>
        </w:rPr>
        <w:t>主要</w:t>
      </w:r>
    </w:p>
    <w:p w14:paraId="245E4C3F">
      <w:pPr>
        <w:spacing w:before="156" w:beforeLines="50" w:after="156" w:afterLines="50" w:line="560" w:lineRule="exact"/>
        <w:rPr>
          <w:rFonts w:hint="eastAsia"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 规模化养殖和畜禽粪污资源化利用的技术支撑工作。负责农机社会化服务和农机装备产业化发展的技术 支撑工作。</w:t>
      </w:r>
      <w:r>
        <w:rPr>
          <w:rFonts w:hint="eastAsia" w:ascii="宋体" w:hAnsi="宋体" w:eastAsia="宋体" w:cs="Times New Roman"/>
          <w:b/>
          <w:bCs/>
          <w:sz w:val="32"/>
          <w:szCs w:val="24"/>
          <w:lang w:val="zh-CN" w:eastAsia="zh-CN" w:bidi="ar"/>
        </w:rPr>
        <w:t>二是面向社会提供公益服务的职能。</w:t>
      </w:r>
      <w:r>
        <w:rPr>
          <w:rFonts w:hint="eastAsia" w:ascii="宋体" w:hAnsi="宋体" w:eastAsia="宋体" w:cs="Times New Roman"/>
          <w:sz w:val="32"/>
          <w:szCs w:val="24"/>
          <w:lang w:val="zh-CN" w:eastAsia="zh-CN" w:bidi="ar"/>
        </w:rPr>
        <w:t>负责农业技术推广项目组织实施工作；负责农业新品 种、新技术、新装备的引进、试验、示范推广及先进性、适 用性和安全性评价工作。负责农产品“二品一标”申报、认证、宣传推介的事 务性工作。负责乡村振兴人才教育培训、农民职业技能鉴定、农业声像宣传、管理的事务性工作；负责组织农民体育赛事活动。</w:t>
      </w:r>
    </w:p>
    <w:p w14:paraId="300C2586">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2023年，市农业农村事务中心党委坚持以习近平新时代中国特色社会主义思想为指导，在市委市政府和局党组的坚强领导下，凝心聚力，团结奋进，认真履行中心行政辅助和公益服务职能，稳步推进各项工作，圆满完成任务并取得成效，总结如下：</w:t>
      </w:r>
    </w:p>
    <w:p w14:paraId="706AC848">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一、强化组织建设，充分发挥党建引领作用</w:t>
      </w:r>
    </w:p>
    <w:p w14:paraId="1821F7DC">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落实中心党委中心组理论学习责任和党建工作责任，创新党建工作方法，丰富党建活动载体，科学制定事务中心2023年度党建工作方案，将党建工作与业务工作深度融合，充分发挥出党建引领作用。</w:t>
      </w:r>
    </w:p>
    <w:p w14:paraId="72D1E3AC">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（一）加强制度建设，打造攻坚克难党组织</w:t>
      </w:r>
    </w:p>
    <w:p w14:paraId="2E4CFB1A">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坚持把习近平新时代中国特色社会主义思想学习作为首要政治任务，将习近平思想教育常态化纳入中心组集中学习，同时作为中心党委会议的“第一议题”，推动理论学习往实里走、往深里走、往心里走，切实增强“四个意识”，坚定“四个自信”, 捍卫“两个确立”，做到“两个维护”。坚持落实落细“三会一课”、双述双评、民主评议党员等基本制度，研究制定《2</w:t>
      </w:r>
      <w:r>
        <w:rPr>
          <w:rFonts w:hint="default" w:ascii="宋体" w:hAnsi="宋体" w:eastAsia="宋体" w:cs="Times New Roman"/>
          <w:sz w:val="32"/>
          <w:szCs w:val="24"/>
          <w:lang w:val="zh-CN" w:eastAsia="zh-CN" w:bidi="ar"/>
        </w:rPr>
        <w:t>023</w:t>
      </w:r>
      <w:r>
        <w:rPr>
          <w:rFonts w:hint="eastAsia" w:ascii="宋体" w:hAnsi="宋体" w:eastAsia="宋体" w:cs="Times New Roman"/>
          <w:sz w:val="32"/>
          <w:szCs w:val="24"/>
          <w:lang w:val="zh-CN" w:eastAsia="zh-CN" w:bidi="ar"/>
        </w:rPr>
        <w:t>年市农业农村事务中心党委党建工作方案》、《岳阳市农业农村事务中心党委主题教育学习方案》等一系列党建工作方案并组织实施，全年共组织集中学习25次，开展交流研讨5次，党委委员讲党课7次，结合业务工作，开展 “一月一片一课一实践”、“四下基层”等主题党日活动，以党建促工作，以工作强党建，打造出一个个坚强有力，充满战斗力的党支部。</w:t>
      </w:r>
    </w:p>
    <w:p w14:paraId="4A7D9C8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（二）加强阵地建设，营造良好</w:t>
      </w:r>
      <w:r>
        <w:rPr>
          <w:rFonts w:hint="default" w:ascii="宋体" w:hAnsi="宋体" w:eastAsia="宋体" w:cs="Times New Roman"/>
          <w:sz w:val="32"/>
          <w:szCs w:val="24"/>
          <w:lang w:val="zh-CN" w:eastAsia="zh-CN" w:bidi="ar"/>
        </w:rPr>
        <w:t>党建</w:t>
      </w:r>
      <w:r>
        <w:rPr>
          <w:rFonts w:hint="eastAsia" w:ascii="宋体" w:hAnsi="宋体" w:eastAsia="宋体" w:cs="Times New Roman"/>
          <w:sz w:val="32"/>
          <w:szCs w:val="24"/>
          <w:lang w:val="zh-CN" w:eastAsia="zh-CN" w:bidi="ar"/>
        </w:rPr>
        <w:t>氛围</w:t>
      </w:r>
    </w:p>
    <w:p w14:paraId="3EDB46B3">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强化学习阵地建设，完善党建活动室功能与布局，购置党建学习书籍，开通继续教育网站，满足党员干部多样化的学习需求。</w:t>
      </w:r>
    </w:p>
    <w:p w14:paraId="65D15095">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守牢意识形态阵地，成立意识形态工作领导小组，召开专题会议安排部署意识形态工作，抓好习近平新时代中国特色社会主义思想主题教育活动，用新思想武装头脑，把握正确的舆论导向。</w:t>
      </w:r>
    </w:p>
    <w:p w14:paraId="73B1020A">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建立“青年理论小组”，组织开展党建知识竞赛、党委委员讲党课、党的“二十大”宣讲、志愿者服务等系列党建活动，</w:t>
      </w:r>
      <w:r>
        <w:rPr>
          <w:rFonts w:hint="default" w:ascii="宋体" w:hAnsi="宋体" w:eastAsia="宋体" w:cs="Times New Roman"/>
          <w:sz w:val="32"/>
          <w:szCs w:val="24"/>
          <w:lang w:val="zh-CN" w:eastAsia="zh-CN" w:bidi="ar"/>
        </w:rPr>
        <w:fldChar w:fldCharType="begin"/>
      </w:r>
      <w:r>
        <w:rPr>
          <w:rFonts w:hint="default" w:ascii="宋体" w:hAnsi="宋体" w:eastAsia="宋体" w:cs="Times New Roman"/>
          <w:sz w:val="32"/>
          <w:szCs w:val="24"/>
          <w:lang w:val="zh-CN" w:eastAsia="zh-CN" w:bidi="ar"/>
        </w:rPr>
        <w:instrText xml:space="preserve"> HYPERLINK "https://www.sogou.com/link?url=hedJjaC291NKb56tUXjdUYe9LlMEgc2iDNq211W80aY." \t "https://www.sogou.com/_blank" </w:instrText>
      </w:r>
      <w:r>
        <w:rPr>
          <w:rFonts w:hint="default" w:ascii="宋体" w:hAnsi="宋体" w:eastAsia="宋体" w:cs="Times New Roman"/>
          <w:sz w:val="32"/>
          <w:szCs w:val="24"/>
          <w:lang w:val="zh-CN" w:eastAsia="zh-CN" w:bidi="ar"/>
        </w:rPr>
        <w:fldChar w:fldCharType="separate"/>
      </w:r>
      <w:r>
        <w:rPr>
          <w:rFonts w:hint="default" w:ascii="宋体" w:hAnsi="宋体" w:eastAsia="宋体" w:cs="Times New Roman"/>
          <w:sz w:val="32"/>
          <w:szCs w:val="24"/>
          <w:lang w:val="zh-CN" w:eastAsia="zh-CN" w:bidi="ar"/>
        </w:rPr>
        <w:t>营造浓厚党建氛围</w:t>
      </w:r>
      <w:r>
        <w:rPr>
          <w:rFonts w:hint="default" w:ascii="宋体" w:hAnsi="宋体" w:eastAsia="宋体" w:cs="Times New Roman"/>
          <w:sz w:val="32"/>
          <w:szCs w:val="24"/>
          <w:lang w:val="zh-CN" w:eastAsia="zh-CN" w:bidi="ar"/>
        </w:rPr>
        <w:fldChar w:fldCharType="end"/>
      </w:r>
      <w:r>
        <w:rPr>
          <w:rFonts w:hint="default" w:ascii="宋体" w:hAnsi="宋体" w:eastAsia="宋体" w:cs="Times New Roman"/>
          <w:sz w:val="32"/>
          <w:szCs w:val="24"/>
          <w:lang w:val="zh-CN" w:eastAsia="zh-CN" w:bidi="ar"/>
        </w:rPr>
        <w:t>。</w:t>
      </w:r>
    </w:p>
    <w:p w14:paraId="63C50EF2">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（三）强化责任担当，全面落实从严治党</w:t>
      </w:r>
    </w:p>
    <w:p w14:paraId="53176784">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坚持党要管党，从严治党。全面贯彻落实党风廉政建设责任制，成立中心党风廉政建设工作领导小组，扛实党委书记“第一责任人”责任和班子成员 “一岗双责”，印发《党风廉政建设工作方案》和《党风廉政建设主要任务和责任分解》等规范性文件，把党风廉政建设与党建工作、业务工作同部署、同落实、同考核。</w:t>
      </w:r>
    </w:p>
    <w:p w14:paraId="77AB7090">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落实党内民主生活制度和党内监督制度，严格执行领导干部个人重大事项报告、 “三重一大”事项会议研究，集体决策。</w:t>
      </w:r>
    </w:p>
    <w:p w14:paraId="4EE76302">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开展党性党风党纪教育，传达学习二十届中央纪委二次全会公报、省十二届纪检委三次全体会议公报和岳阳市第八次纪检委会议精神，引领全体党员干部讲党性、重品行、做表率。开展“清廉中心”建设，营造风清气正、清廉和谐的文化氛围。</w:t>
      </w:r>
    </w:p>
    <w:p w14:paraId="0B610789">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开展《党员干部和公职人员酒驾醉驾剖》、《领导干部利用职权或影响力为亲友牟利问题》以及“两带头五整治”纠风防腐专项整治行动，组织观看党风廉政建设警示片和红色教育影片，教育全体党员知红线，守底线，打造一支清正廉洁、作风优良的党员干部队伍。</w:t>
      </w:r>
    </w:p>
    <w:p w14:paraId="2619E323">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二、抓好基础建设，切实提升履职服务能力</w:t>
      </w:r>
    </w:p>
    <w:p w14:paraId="4A1BF7D4">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进一步健全机构职能。根据机构改革精神和中央省相关文件要求，经市委编办审批同意，我中心在去年职能调整的基础上，加挂市植保工作站、市绿色食品工作站、市土壤肥料工作站3块牌子（岳编办函【202</w:t>
      </w:r>
      <w:r>
        <w:rPr>
          <w:rFonts w:hint="default" w:ascii="宋体" w:hAnsi="宋体" w:eastAsia="宋体" w:cs="Times New Roman"/>
          <w:sz w:val="32"/>
          <w:szCs w:val="24"/>
          <w:lang w:val="zh-CN" w:eastAsia="zh-CN" w:bidi="ar"/>
        </w:rPr>
        <w:t>3</w:t>
      </w:r>
      <w:r>
        <w:rPr>
          <w:rFonts w:hint="eastAsia" w:ascii="宋体" w:hAnsi="宋体" w:eastAsia="宋体" w:cs="Times New Roman"/>
          <w:sz w:val="32"/>
          <w:szCs w:val="24"/>
          <w:lang w:val="zh-CN" w:eastAsia="zh-CN" w:bidi="ar"/>
        </w:rPr>
        <w:t>】</w:t>
      </w:r>
      <w:r>
        <w:rPr>
          <w:rFonts w:hint="default" w:ascii="宋体" w:hAnsi="宋体" w:eastAsia="宋体" w:cs="Times New Roman"/>
          <w:sz w:val="32"/>
          <w:szCs w:val="24"/>
          <w:lang w:val="zh-CN" w:eastAsia="zh-CN" w:bidi="ar"/>
        </w:rPr>
        <w:t>258</w:t>
      </w:r>
      <w:r>
        <w:rPr>
          <w:rFonts w:hint="eastAsia" w:ascii="宋体" w:hAnsi="宋体" w:eastAsia="宋体" w:cs="Times New Roman"/>
          <w:sz w:val="32"/>
          <w:szCs w:val="24"/>
          <w:lang w:val="zh-CN" w:eastAsia="zh-CN" w:bidi="ar"/>
        </w:rPr>
        <w:t>号《关于调整市农业农村事务中心机构编制事项的通知》），全面完成了植保、土肥、绿办相关职能划转，进一步健全了市级植保、土肥、绿办体系。</w:t>
      </w:r>
    </w:p>
    <w:p w14:paraId="72D6B86C">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进一步增强基础能力。岳阳市水生动物疫病防控监测区域中心基本建成，实验室占地近7</w:t>
      </w:r>
      <w:r>
        <w:rPr>
          <w:rFonts w:hint="default" w:ascii="宋体" w:hAnsi="宋体" w:eastAsia="宋体" w:cs="Times New Roman"/>
          <w:sz w:val="32"/>
          <w:szCs w:val="24"/>
          <w:lang w:val="zh-CN" w:eastAsia="zh-CN" w:bidi="ar"/>
        </w:rPr>
        <w:t>00</w:t>
      </w:r>
      <w:r>
        <w:rPr>
          <w:rFonts w:hint="eastAsia" w:ascii="宋体" w:hAnsi="宋体" w:eastAsia="宋体" w:cs="Times New Roman"/>
          <w:sz w:val="32"/>
          <w:szCs w:val="24"/>
          <w:lang w:val="zh-CN" w:eastAsia="zh-CN" w:bidi="ar"/>
        </w:rPr>
        <w:t>平方米，各类仪器3</w:t>
      </w:r>
      <w:r>
        <w:rPr>
          <w:rFonts w:hint="default" w:ascii="宋体" w:hAnsi="宋体" w:eastAsia="宋体" w:cs="Times New Roman"/>
          <w:sz w:val="32"/>
          <w:szCs w:val="24"/>
          <w:lang w:val="zh-CN" w:eastAsia="zh-CN" w:bidi="ar"/>
        </w:rPr>
        <w:t>00</w:t>
      </w:r>
      <w:r>
        <w:rPr>
          <w:rFonts w:hint="eastAsia" w:ascii="宋体" w:hAnsi="宋体" w:eastAsia="宋体" w:cs="Times New Roman"/>
          <w:sz w:val="32"/>
          <w:szCs w:val="24"/>
          <w:lang w:val="zh-CN" w:eastAsia="zh-CN" w:bidi="ar"/>
        </w:rPr>
        <w:t>台套，具有承担区域内水生动物疫病监测和渔业水域环境检测能力，为湘北区域性水生动物病害防控、水产苗种产地检疫和渔业水域环境保护提供有力支撑。</w:t>
      </w:r>
    </w:p>
    <w:p w14:paraId="70D5165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进一步提升文明创建。2</w:t>
      </w:r>
      <w:r>
        <w:rPr>
          <w:rFonts w:hint="default" w:ascii="宋体" w:hAnsi="宋体" w:eastAsia="宋体" w:cs="Times New Roman"/>
          <w:sz w:val="32"/>
          <w:szCs w:val="24"/>
          <w:lang w:val="zh-CN" w:eastAsia="zh-CN" w:bidi="ar"/>
        </w:rPr>
        <w:t>022</w:t>
      </w:r>
      <w:r>
        <w:rPr>
          <w:rFonts w:hint="eastAsia" w:ascii="宋体" w:hAnsi="宋体" w:eastAsia="宋体" w:cs="Times New Roman"/>
          <w:sz w:val="32"/>
          <w:szCs w:val="24"/>
          <w:lang w:val="zh-CN" w:eastAsia="zh-CN" w:bidi="ar"/>
        </w:rPr>
        <w:t>年中心成功创建文明单位以来，中心不断探索创建思路，丰富创建载体，将党建、文明标兵单位创建、综治创建一起研究，一同部署、一起督查、一样落实。中心文明标兵单位创建在岳阳市文明单位创建工作信息管理平台测评为A级97分，名列前茅，高水平通过市文明办现场考核。</w:t>
      </w:r>
    </w:p>
    <w:p w14:paraId="771204FE">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进一步壮大干部队伍。2023年中心通过“四海揽才”招聘了2名研究生，培养了3名在职研究生（其中2人在读），高层次技术人才不断扩充，骋用了2名正高级农艺师、2名副高级农艺师和2名中级农艺师，评审通过了1名正高级农艺师，2名中级农艺师，干部队伍进一步优化壮大，成为服务我市农业农村系统一支主力军。</w:t>
      </w:r>
    </w:p>
    <w:p w14:paraId="7C090D3E">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eastAsia" w:ascii="宋体" w:hAnsi="宋体" w:eastAsia="宋体" w:cs="Times New Roman"/>
          <w:b/>
          <w:bCs/>
          <w:sz w:val="32"/>
          <w:szCs w:val="24"/>
          <w:lang w:val="zh-CN" w:eastAsia="zh-CN" w:bidi="ar"/>
        </w:rPr>
        <w:t>三、践行使命担当，全面推进事务工作</w:t>
      </w:r>
    </w:p>
    <w:p w14:paraId="34C2FC0F">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eastAsia" w:ascii="宋体" w:hAnsi="宋体" w:eastAsia="宋体" w:cs="Times New Roman"/>
          <w:sz w:val="32"/>
          <w:szCs w:val="24"/>
          <w:lang w:val="en-US" w:eastAsia="zh-CN" w:bidi="ar"/>
        </w:rPr>
        <w:t>中心党委以党建引领，通过与机关相关业务科室建立工作协调调度机制，围绕中心、服务大局，主动担当作为，积极辅助机关事务，努力推进公益服务，推动农业农村事业稳步健康发展。</w:t>
      </w:r>
    </w:p>
    <w:p w14:paraId="751C7E43">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（一）突出“保底线”，全力服务三农底线工作</w:t>
      </w:r>
    </w:p>
    <w:p w14:paraId="75E2965C">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1、齐抓共管，确保完成粮食生产任务</w:t>
      </w:r>
    </w:p>
    <w:p w14:paraId="4FD8F22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抓好春耕备耕。协助种植业科，开展全市春耕备耕农资储备情况调研和农资经营门店检查，组织召开全市种植业工作会议，安排部署全市粮油经作、植保农药、土肥水等粮食生产重点工作。做好春耕生产技术指导。发布6项主推技术，编制</w:t>
      </w:r>
      <w:r>
        <w:rPr>
          <w:rFonts w:hint="default" w:ascii="宋体" w:hAnsi="宋体" w:eastAsia="宋体" w:cs="Times New Roman"/>
          <w:sz w:val="32"/>
          <w:szCs w:val="24"/>
          <w:lang w:val="zh-CN" w:eastAsia="zh-CN" w:bidi="ar"/>
        </w:rPr>
        <w:t>11</w:t>
      </w:r>
      <w:r>
        <w:rPr>
          <w:rFonts w:hint="eastAsia" w:ascii="宋体" w:hAnsi="宋体" w:eastAsia="宋体" w:cs="Times New Roman"/>
          <w:sz w:val="32"/>
          <w:szCs w:val="24"/>
          <w:lang w:val="zh-CN" w:eastAsia="zh-CN" w:bidi="ar"/>
        </w:rPr>
        <w:t>个技术规程，组织3期全省早稻集中育插秧培训，抽调近2</w:t>
      </w:r>
      <w:r>
        <w:rPr>
          <w:rFonts w:hint="default" w:ascii="宋体" w:hAnsi="宋体" w:eastAsia="宋体" w:cs="Times New Roman"/>
          <w:sz w:val="32"/>
          <w:szCs w:val="24"/>
          <w:lang w:val="zh-CN" w:eastAsia="zh-CN" w:bidi="ar"/>
        </w:rPr>
        <w:t>0</w:t>
      </w:r>
      <w:r>
        <w:rPr>
          <w:rFonts w:hint="eastAsia" w:ascii="宋体" w:hAnsi="宋体" w:eastAsia="宋体" w:cs="Times New Roman"/>
          <w:sz w:val="32"/>
          <w:szCs w:val="24"/>
          <w:lang w:val="zh-CN" w:eastAsia="zh-CN" w:bidi="ar"/>
        </w:rPr>
        <w:t>个技术专家成立6个早稻集中育秧技术指导组，深入田间地头开展育插秧、田间管理等技术指导服务，帮助解决生产中的技术问题。抓好了病虫防控。全面掌握病虫发生流行态势，及时召开病虫趋势专家会商,发布病虫情报5期。加强病虫防控工作督导，推进落实防控措施，</w:t>
      </w:r>
      <w:r>
        <w:rPr>
          <w:rFonts w:hint="eastAsia" w:ascii="宋体" w:hAnsi="宋体" w:eastAsia="宋体" w:cs="Times New Roman"/>
          <w:sz w:val="32"/>
          <w:szCs w:val="24"/>
          <w:lang w:val="zh-CN" w:eastAsia="zh-Hans" w:bidi="ar"/>
        </w:rPr>
        <w:t>全市</w:t>
      </w:r>
      <w:r>
        <w:rPr>
          <w:rFonts w:hint="eastAsia" w:ascii="宋体" w:hAnsi="宋体" w:eastAsia="宋体" w:cs="Times New Roman"/>
          <w:sz w:val="32"/>
          <w:szCs w:val="24"/>
          <w:lang w:val="zh-CN" w:eastAsia="zh-CN" w:bidi="ar"/>
        </w:rPr>
        <w:t>二化螟、稻飞虱普发态势得到有效控制，为粮食丰收提供有效保障，全市全年粮食生产任务（种植面积和粮食产量）都超额完成。</w:t>
      </w:r>
    </w:p>
    <w:p w14:paraId="73F9D293">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（二）履职尽责，推进化肥农药减量增效</w:t>
      </w:r>
    </w:p>
    <w:p w14:paraId="1B41E17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制定化肥农药减量方案。组织召开全市2023年度土肥水工作会议，部署全年重点工作。先后制定下发《岳阳市到2025年化肥减量化行动实施方案》《岳阳市到2025年化学农药减量化行动方案》和《岳阳市2023年化肥减量化实施方案》《岳阳市2023年化肥减量化考核方案》等一系列工作方案，明确任务，细化措施，量化考核，督导各县市区农业农村部门开展工作。落实化肥农药减量各项措施。出台并下发《岳阳市2023-2025年科学施肥指导意见》，组织全市化肥农药减量技术培训，推进各项化肥农药减量措施应用，全市共出台施肥配方70个，推广测土配方肥26.64万吨，施用面积1063.38万亩次，有机肥施用量137.47万吨，施用面积140.59万亩，绿肥生产43.2万亩，全市化肥使用量实现了零增长。推动主要农作物绿色防控应用面积381.22万亩，统防统治服务面积2210.54万亩次，粮食作物化学农药使用强度比去年减少2.51%，经济作物化学农药使用强度比去年减少4.43%。抓好农药包装废弃物回收处置。制定《岳阳市农药包装废弃物回收处理工作考核细则》，对各县市区的农药包装废弃物回收处理工作进行一月一考核。目前，我市已建立农药包装废弃物回收点2814个，农药包装废弃物归集点90个。全年共回收农药包装废弃物272.30吨，回收率达78.24%。</w:t>
      </w:r>
    </w:p>
    <w:p w14:paraId="644FC32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（三）积极配合，协助完成机关中心工作</w:t>
      </w:r>
    </w:p>
    <w:p w14:paraId="4C13D4D4">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配合农田建设科，参与全国第三次土壤普查工作，举办全培训班，开展工作督导，督促各县市区相关部门按要求按进度推进三普工作，我市三普工作进度位居全省第一。配合畜牧科，参与铁山库区畜禽污染调查和平江县牛蛙养殖污染整治、生猪养殖监测样本监测和设施渔业调研。配合农机科，参与开展农机春耕备耕、农机安全生产、农机购置补贴核查。配合农安科，完成豇豆农药残留突出问题整改工作。配合种植业科，开展耕地用途管控督导调研，督促做好耕地“非农化”、“非粮化”和撂荒问题整改。配合种业科，开展镉低吸品种臻两优8</w:t>
      </w:r>
      <w:r>
        <w:rPr>
          <w:rFonts w:hint="default" w:ascii="宋体" w:hAnsi="宋体" w:eastAsia="宋体" w:cs="Times New Roman"/>
          <w:sz w:val="32"/>
          <w:szCs w:val="24"/>
          <w:lang w:val="zh-CN" w:eastAsia="zh-CN" w:bidi="ar"/>
        </w:rPr>
        <w:t>612</w:t>
      </w:r>
      <w:r>
        <w:rPr>
          <w:rFonts w:hint="eastAsia" w:ascii="宋体" w:hAnsi="宋体" w:eastAsia="宋体" w:cs="Times New Roman"/>
          <w:sz w:val="32"/>
          <w:szCs w:val="24"/>
          <w:lang w:val="zh-CN" w:eastAsia="zh-CN" w:bidi="ar"/>
        </w:rPr>
        <w:t>水稻品种推广。配合科教科，开展2019-2022年度基层农技推广体系建设与补助项目市级复核和省级抽查工作。当然，还有配合人事科、办公室、秘书科等机关科室的工作。</w:t>
      </w:r>
    </w:p>
    <w:p w14:paraId="5FAEC37A">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（二）、突出“抓重点”，努力服务农业产业发展</w:t>
      </w:r>
    </w:p>
    <w:p w14:paraId="3DCB1907">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1、广泛开展技术示范推广</w:t>
      </w:r>
    </w:p>
    <w:p w14:paraId="3B3D02B1">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立足农业技术推广主业，发布2023年度水稻主导品种26个，市级主推技术6项，编制技术规程1</w:t>
      </w:r>
      <w:r>
        <w:rPr>
          <w:rFonts w:hint="default" w:ascii="宋体" w:hAnsi="宋体" w:eastAsia="宋体" w:cs="Times New Roman"/>
          <w:sz w:val="32"/>
          <w:szCs w:val="24"/>
          <w:lang w:val="zh-CN" w:eastAsia="zh-CN" w:bidi="ar"/>
        </w:rPr>
        <w:t>0</w:t>
      </w:r>
      <w:r>
        <w:rPr>
          <w:rFonts w:hint="eastAsia" w:ascii="宋体" w:hAnsi="宋体" w:eastAsia="宋体" w:cs="Times New Roman"/>
          <w:sz w:val="32"/>
          <w:szCs w:val="24"/>
          <w:lang w:val="zh-CN" w:eastAsia="zh-CN" w:bidi="ar"/>
        </w:rPr>
        <w:t>个，创建主推技术示范点1</w:t>
      </w:r>
      <w:r>
        <w:rPr>
          <w:rFonts w:hint="default" w:ascii="宋体" w:hAnsi="宋体" w:eastAsia="宋体" w:cs="Times New Roman"/>
          <w:sz w:val="32"/>
          <w:szCs w:val="24"/>
          <w:lang w:val="zh-CN" w:eastAsia="zh-CN" w:bidi="ar"/>
        </w:rPr>
        <w:t>9</w:t>
      </w:r>
      <w:r>
        <w:rPr>
          <w:rFonts w:hint="eastAsia" w:ascii="宋体" w:hAnsi="宋体" w:eastAsia="宋体" w:cs="Times New Roman"/>
          <w:sz w:val="32"/>
          <w:szCs w:val="24"/>
          <w:lang w:val="zh-CN" w:eastAsia="zh-CN" w:bidi="ar"/>
        </w:rPr>
        <w:t>个；引进湖南省水稻高产高效机械化技术集成示范和一季稻机械化有序穴播替代直播项目落地岳阳，提升农业科技水平，推进农业产业高质量发展。</w:t>
      </w:r>
    </w:p>
    <w:p w14:paraId="55FC9517">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2、全面推进“两品一标”创建</w:t>
      </w:r>
    </w:p>
    <w:p w14:paraId="31F2540E">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稳步推进绿色农产品认证和监管。全市新认证绿色有机地标农产品36个，续展42个，截止目前，全市绿色有机地标农产品总认证有效数394个。印制下发《关于开展2023年绿色食品和农产品地理标志认证登记产品专项检查的通知》，对绿色食品企业84家共237个产品进行了年检，对辖区内香米类41个产品进行风险排查。根据各县市区申请认证绿色食品有效数为基数，创建了27个省级优质农产品生产基地和3个市级绿色食品示范基地，有力推进了我市农业产业绿色高质量发展。</w:t>
      </w:r>
    </w:p>
    <w:p w14:paraId="43F8516F">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3</w:t>
      </w:r>
      <w:r>
        <w:rPr>
          <w:rFonts w:hint="eastAsia" w:ascii="宋体" w:hAnsi="宋体" w:eastAsia="宋体" w:cs="Times New Roman"/>
          <w:sz w:val="32"/>
          <w:szCs w:val="24"/>
          <w:lang w:val="zh-CN" w:eastAsia="zh-CN" w:bidi="ar"/>
        </w:rPr>
        <w:t>、努力推动农产品品牌宣传。</w:t>
      </w:r>
    </w:p>
    <w:p w14:paraId="6F4DB9D8">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承办了2023年全省“春风万里，绿食有你”绿色食品宣传月启动仪式，组织县市区相关部门开展“二品一标”产品进小区进食堂宣传活动，组织绿色食品企业参加全国二十二届绿色食品博览会、第十五届中国国际有机食品博览会和中国中部（湖南）农业博览会。</w:t>
      </w:r>
    </w:p>
    <w:p w14:paraId="4C50E90B">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（三）、突出“强基础”，积极服务乡村人才培育</w:t>
      </w:r>
    </w:p>
    <w:p w14:paraId="2C9B7549">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1、加强基层农技人才队伍建设</w:t>
      </w:r>
    </w:p>
    <w:p w14:paraId="522C9441">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eastAsia" w:ascii="宋体" w:hAnsi="宋体" w:eastAsia="宋体" w:cs="Times New Roman"/>
          <w:sz w:val="32"/>
          <w:szCs w:val="24"/>
          <w:lang w:val="zh-CN" w:eastAsia="zh-CN" w:bidi="ar"/>
        </w:rPr>
        <w:t>抓好了基层体系能力提升。编制并印发了《》和《》，</w:t>
      </w:r>
      <w:r>
        <w:rPr>
          <w:rFonts w:hint="eastAsia" w:ascii="宋体" w:hAnsi="宋体" w:eastAsia="宋体" w:cs="Times New Roman"/>
          <w:sz w:val="32"/>
          <w:szCs w:val="24"/>
          <w:lang w:val="en-US" w:eastAsia="zh-CN" w:bidi="ar"/>
        </w:rPr>
        <w:t>做好全市基层农技特岗人员定向培养工作，圆满完成省级17名本科、市级50名专科招录工作，督促做好了2</w:t>
      </w:r>
      <w:r>
        <w:rPr>
          <w:rFonts w:hint="default" w:ascii="宋体" w:hAnsi="宋体" w:eastAsia="宋体" w:cs="Times New Roman"/>
          <w:sz w:val="32"/>
          <w:szCs w:val="24"/>
          <w:lang w:val="en-US" w:eastAsia="zh-CN" w:bidi="ar"/>
        </w:rPr>
        <w:t>023</w:t>
      </w:r>
      <w:r>
        <w:rPr>
          <w:rFonts w:hint="eastAsia" w:ascii="宋体" w:hAnsi="宋体" w:eastAsia="宋体" w:cs="Times New Roman"/>
          <w:sz w:val="32"/>
          <w:szCs w:val="24"/>
          <w:lang w:val="en-US" w:eastAsia="zh-CN" w:bidi="ar"/>
        </w:rPr>
        <w:t>届特岗毕业生全员按规定就业安置。</w:t>
      </w:r>
      <w:r>
        <w:rPr>
          <w:rFonts w:hint="eastAsia" w:ascii="宋体" w:hAnsi="宋体" w:eastAsia="宋体" w:cs="Times New Roman"/>
          <w:sz w:val="32"/>
          <w:szCs w:val="24"/>
          <w:lang w:val="zh-CN" w:eastAsia="zh-CN" w:bidi="ar"/>
        </w:rPr>
        <w:t>做好了种植方向50名基层非农专业农技人员培训工作。健全了植保体系建设。</w:t>
      </w:r>
      <w:r>
        <w:rPr>
          <w:rFonts w:hint="eastAsia" w:ascii="宋体" w:hAnsi="宋体" w:eastAsia="宋体" w:cs="Times New Roman"/>
          <w:sz w:val="32"/>
          <w:szCs w:val="24"/>
          <w:lang w:val="en-US" w:eastAsia="zh-CN" w:bidi="ar"/>
        </w:rPr>
        <w:t>按《湖南省加强基层动植物疫病防控体系建设实施方案》要求，督导指导各县市区相关部门和乡镇完善植保站职能和机构设置，配齐配强专业人员，进一步完善、夯实、强化县、乡两级植保植检工作力量。</w:t>
      </w:r>
    </w:p>
    <w:p w14:paraId="319819CD">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2、广泛开展各类技术培训</w:t>
      </w:r>
    </w:p>
    <w:p w14:paraId="22726435">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协助承办了全国农机社会化服务提档升级培训、全国水生动物疫病监测检测技术培训2个全国层面的培训和全省机插机抛育秧技术培训、双季稻机械化高产高效技术集成模式培训2个全省层面的培训；承办了2期全省绿色食品企业内部检查员培训，4期湖南省“农广助农”产业培训、3期高素质农民培训和3期农民田间学校实用技术培训工作；带队参加了全省乡村产业发展领军人才培训班和2023年“三农”干部走出去培训计划示范班（京冀线），全年共计培训</w:t>
      </w:r>
      <w:r>
        <w:rPr>
          <w:rFonts w:hint="default" w:ascii="宋体" w:hAnsi="宋体" w:eastAsia="宋体" w:cs="Times New Roman"/>
          <w:sz w:val="32"/>
          <w:szCs w:val="24"/>
          <w:lang w:val="zh-CN" w:eastAsia="zh-CN" w:bidi="ar"/>
        </w:rPr>
        <w:t>20</w:t>
      </w:r>
      <w:r>
        <w:rPr>
          <w:rFonts w:hint="eastAsia" w:ascii="宋体" w:hAnsi="宋体" w:eastAsia="宋体" w:cs="Times New Roman"/>
          <w:sz w:val="32"/>
          <w:szCs w:val="24"/>
          <w:lang w:val="zh-CN" w:eastAsia="zh-CN" w:bidi="ar"/>
        </w:rPr>
        <w:t>00余人次，为乡村振兴提升了有力的人才支撑。</w:t>
      </w:r>
    </w:p>
    <w:p w14:paraId="622F78EB">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3、组织好农民体育运动</w:t>
      </w:r>
    </w:p>
    <w:p w14:paraId="1248CC4F">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积极推动农民体育健身活动，丰富农村文化生活。组织参加了2期全省农村基层社会体育指导员（健身操舞）培训班；组队参加了湖南省2023年和美乡村“闹春耕”农民趣味运动会，岳阳代表队荣获赛事团体二等奖、抛秧团队一等奖、拔河团队三等奖；参与协调了岳阳“岳农杯”村BA赛事；组队参加了2023年中国农民丰收节农民体育健身大赛，岳阳代表队获赛事单项团体二等奖以及个人单项奖；指导汨罗市长乐村成功创建了全省农民体育健身活动示范基地。</w:t>
      </w:r>
    </w:p>
    <w:p w14:paraId="738D2652">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（四）、突出“保安全”，安全生产常抓不懈。</w:t>
      </w:r>
    </w:p>
    <w:p w14:paraId="08FE356F">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成立了综合治理（平安创建）领导小组及办公室，制定中心关于《2023年度综合治理（平安创建）工作方案》和《2023年度安全生产实施方案》，一方面加强办公室火电管理，各办公室门口安装总开关，要求办公室下班断电，开展消防安全培训，配置消防器材，定期排查和整治中心消防隐患；另一方面，履行管行业必管安全，严格培训安全，为每期参训学员购买意外保险；开展4次全市农药经营门店随机检查， 45批次农药监督抽查，辖区内30家农药经营门店经营许可证延续和4家新办农药经营许可证的核查，组织农机购置补贴核查和农机安全生产排查，参与农业农村部和省级肥料监督抽查，全力确保行业生产经营安全。</w:t>
      </w:r>
    </w:p>
    <w:p w14:paraId="7E99FFA0">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一年来，事务中心党委和全体干部职工积极担当，卯足干劲，努力作为，取得较好成效，也得到上级部门充分认可，2023年中心被评为省级农广教育工作先进单位，省级农机工作综合先进单位，同时，有3个县级农广校获评省级农教工作先进单位，2个县农机中心获评农机工作综合先进单位，2个县农机中心获评平安创建先进单位，中心其他线上工作都排名全省前列。</w:t>
      </w:r>
    </w:p>
    <w:p w14:paraId="76E46725">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三、部门整体收支情况</w:t>
      </w:r>
    </w:p>
    <w:p w14:paraId="712C0C55">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1、收入情况：</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全年收入</w:t>
      </w:r>
      <w:bookmarkStart w:id="0" w:name="OLE_LINK1"/>
      <w:r>
        <w:rPr>
          <w:rFonts w:hint="eastAsia" w:ascii="宋体" w:hAnsi="宋体" w:eastAsia="宋体" w:cs="Times New Roman"/>
          <w:sz w:val="32"/>
          <w:szCs w:val="24"/>
          <w:lang w:val="en-US" w:eastAsia="zh-CN" w:bidi="ar"/>
        </w:rPr>
        <w:t>1315.85</w:t>
      </w:r>
      <w:bookmarkEnd w:id="0"/>
      <w:r>
        <w:rPr>
          <w:rFonts w:hint="default" w:ascii="宋体" w:hAnsi="宋体" w:eastAsia="宋体" w:cs="Times New Roman"/>
          <w:sz w:val="32"/>
          <w:szCs w:val="24"/>
          <w:lang w:val="zh-CN" w:eastAsia="zh-CN" w:bidi="ar"/>
        </w:rPr>
        <w:t>万元，其中：全年财政拨款收入</w:t>
      </w:r>
      <w:r>
        <w:rPr>
          <w:rFonts w:hint="eastAsia" w:ascii="宋体" w:hAnsi="宋体" w:eastAsia="宋体" w:cs="Times New Roman"/>
          <w:sz w:val="32"/>
          <w:szCs w:val="24"/>
          <w:lang w:val="en-US" w:eastAsia="zh-CN" w:bidi="ar"/>
        </w:rPr>
        <w:t>1287.87</w:t>
      </w:r>
      <w:r>
        <w:rPr>
          <w:rFonts w:hint="default" w:ascii="宋体" w:hAnsi="宋体" w:eastAsia="宋体" w:cs="Times New Roman"/>
          <w:sz w:val="32"/>
          <w:szCs w:val="24"/>
          <w:lang w:val="zh-CN" w:eastAsia="zh-CN" w:bidi="ar"/>
        </w:rPr>
        <w:t>万元、其他收入</w:t>
      </w:r>
      <w:r>
        <w:rPr>
          <w:rFonts w:hint="eastAsia" w:ascii="宋体" w:hAnsi="宋体" w:eastAsia="宋体" w:cs="Times New Roman"/>
          <w:sz w:val="32"/>
          <w:szCs w:val="24"/>
          <w:lang w:val="en-US" w:eastAsia="zh-CN" w:bidi="ar"/>
        </w:rPr>
        <w:t>27.98</w:t>
      </w:r>
      <w:r>
        <w:rPr>
          <w:rFonts w:hint="default" w:ascii="宋体" w:hAnsi="宋体" w:eastAsia="宋体" w:cs="Times New Roman"/>
          <w:sz w:val="32"/>
          <w:szCs w:val="24"/>
          <w:lang w:val="zh-CN" w:eastAsia="zh-CN" w:bidi="ar"/>
        </w:rPr>
        <w:t>万元。</w:t>
      </w:r>
    </w:p>
    <w:p w14:paraId="450BA04F">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2、支出情况：全年支出</w:t>
      </w:r>
      <w:r>
        <w:rPr>
          <w:rFonts w:hint="eastAsia" w:ascii="仿宋_GB2312" w:hAnsi="仿宋_GB2312" w:eastAsia="仿宋_GB2312" w:cs="仿宋_GB2312"/>
          <w:sz w:val="32"/>
          <w:szCs w:val="32"/>
          <w:lang w:val="en-US" w:eastAsia="zh-CN"/>
        </w:rPr>
        <w:t>1315.85</w:t>
      </w:r>
      <w:r>
        <w:rPr>
          <w:rFonts w:hint="default" w:ascii="宋体" w:hAnsi="宋体" w:eastAsia="宋体" w:cs="Times New Roman"/>
          <w:sz w:val="32"/>
          <w:szCs w:val="24"/>
          <w:lang w:val="zh-CN" w:eastAsia="zh-CN" w:bidi="ar"/>
        </w:rPr>
        <w:t>万元，</w:t>
      </w:r>
      <w:r>
        <w:rPr>
          <w:rFonts w:hint="eastAsia" w:ascii="宋体" w:hAnsi="宋体" w:eastAsia="宋体" w:cs="Times New Roman"/>
          <w:sz w:val="32"/>
          <w:szCs w:val="24"/>
          <w:lang w:val="zh-CN" w:eastAsia="zh-CN" w:bidi="ar"/>
        </w:rPr>
        <w:t>基本支出</w:t>
      </w:r>
      <w:bookmarkStart w:id="1" w:name="OLE_LINK13"/>
      <w:r>
        <w:rPr>
          <w:rFonts w:hint="eastAsia" w:ascii="仿宋_GB2312" w:hAnsi="仿宋_GB2312" w:eastAsia="仿宋_GB2312" w:cs="仿宋_GB2312"/>
          <w:sz w:val="32"/>
          <w:szCs w:val="32"/>
          <w:lang w:val="en-US" w:eastAsia="zh-CN"/>
        </w:rPr>
        <w:t>895.45</w:t>
      </w:r>
      <w:bookmarkEnd w:id="1"/>
      <w:r>
        <w:rPr>
          <w:rFonts w:hint="eastAsia" w:ascii="宋体" w:hAnsi="宋体" w:eastAsia="宋体" w:cs="Times New Roman"/>
          <w:sz w:val="32"/>
          <w:szCs w:val="24"/>
          <w:lang w:val="zh-CN" w:eastAsia="zh-CN" w:bidi="ar"/>
        </w:rPr>
        <w:t>万元，项目支出</w:t>
      </w:r>
      <w:r>
        <w:rPr>
          <w:rFonts w:hint="eastAsia" w:ascii="仿宋_GB2312" w:hAnsi="仿宋_GB2312" w:eastAsia="仿宋_GB2312" w:cs="仿宋_GB2312"/>
          <w:sz w:val="32"/>
          <w:szCs w:val="32"/>
          <w:lang w:val="en-US" w:eastAsia="zh-CN"/>
        </w:rPr>
        <w:t>420.4</w:t>
      </w:r>
      <w:r>
        <w:rPr>
          <w:rFonts w:hint="eastAsia" w:ascii="宋体" w:hAnsi="宋体" w:eastAsia="宋体" w:cs="Times New Roman"/>
          <w:sz w:val="32"/>
          <w:szCs w:val="24"/>
          <w:lang w:val="zh-CN" w:eastAsia="zh-CN" w:bidi="ar"/>
        </w:rPr>
        <w:t>万元；上缴上级支出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万元；经营支出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万元；对附属单位补助支出</w:t>
      </w:r>
      <w:r>
        <w:rPr>
          <w:rFonts w:hint="eastAsia" w:ascii="宋体" w:hAnsi="宋体" w:eastAsia="宋体" w:cs="Times New Roman"/>
          <w:sz w:val="32"/>
          <w:szCs w:val="24"/>
          <w:lang w:val="en-US" w:eastAsia="zh-CN" w:bidi="ar"/>
        </w:rPr>
        <w:t>0</w:t>
      </w:r>
      <w:r>
        <w:rPr>
          <w:rFonts w:hint="eastAsia" w:ascii="宋体" w:hAnsi="宋体" w:eastAsia="宋体" w:cs="Times New Roman"/>
          <w:sz w:val="32"/>
          <w:szCs w:val="24"/>
          <w:lang w:val="zh-CN" w:eastAsia="zh-CN" w:bidi="ar"/>
        </w:rPr>
        <w:t>万元。</w:t>
      </w:r>
    </w:p>
    <w:p w14:paraId="41B5DF74">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四、部门（单位）整体支出管理及绩效情况</w:t>
      </w:r>
    </w:p>
    <w:p w14:paraId="5A8B4F16">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（一）部门整体支出情况分析</w:t>
      </w:r>
    </w:p>
    <w:p w14:paraId="063046EA">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default" w:ascii="宋体" w:hAnsi="宋体" w:eastAsia="宋体" w:cs="Times New Roman"/>
          <w:sz w:val="32"/>
          <w:szCs w:val="24"/>
          <w:lang w:val="zh-CN" w:eastAsia="zh-CN" w:bidi="ar"/>
        </w:rPr>
        <w:t>1、</w:t>
      </w:r>
      <w:r>
        <w:rPr>
          <w:rFonts w:hint="default" w:ascii="宋体" w:hAnsi="宋体" w:eastAsia="宋体" w:cs="Times New Roman"/>
          <w:sz w:val="32"/>
          <w:szCs w:val="24"/>
          <w:lang w:val="en-US" w:eastAsia="zh-CN" w:bidi="ar"/>
        </w:rPr>
        <w:t>本年支出合计</w:t>
      </w:r>
      <w:r>
        <w:rPr>
          <w:rFonts w:hint="eastAsia" w:ascii="宋体" w:hAnsi="宋体" w:eastAsia="宋体" w:cs="Times New Roman"/>
          <w:sz w:val="32"/>
          <w:szCs w:val="24"/>
          <w:lang w:val="en-US" w:eastAsia="zh-CN" w:bidi="ar"/>
        </w:rPr>
        <w:t>1315.85</w:t>
      </w:r>
      <w:r>
        <w:rPr>
          <w:rFonts w:hint="default" w:ascii="宋体" w:hAnsi="宋体" w:eastAsia="宋体" w:cs="Times New Roman"/>
          <w:sz w:val="32"/>
          <w:szCs w:val="24"/>
          <w:lang w:val="en-US" w:eastAsia="zh-CN" w:bidi="ar"/>
        </w:rPr>
        <w:t>万元，其中：基本支出</w:t>
      </w:r>
      <w:r>
        <w:rPr>
          <w:rFonts w:hint="eastAsia" w:ascii="宋体" w:hAnsi="宋体" w:eastAsia="宋体" w:cs="Times New Roman"/>
          <w:sz w:val="32"/>
          <w:szCs w:val="24"/>
          <w:lang w:val="en-US" w:eastAsia="zh-CN" w:bidi="ar"/>
        </w:rPr>
        <w:t>895.45</w:t>
      </w:r>
      <w:r>
        <w:rPr>
          <w:rFonts w:hint="default" w:ascii="宋体" w:hAnsi="宋体" w:eastAsia="宋体" w:cs="Times New Roman"/>
          <w:sz w:val="32"/>
          <w:szCs w:val="24"/>
          <w:lang w:val="zh-CN" w:eastAsia="zh-CN" w:bidi="ar"/>
        </w:rPr>
        <w:t>万元，</w:t>
      </w:r>
      <w:r>
        <w:rPr>
          <w:rFonts w:hint="default" w:ascii="宋体" w:hAnsi="宋体" w:eastAsia="宋体" w:cs="Times New Roman"/>
          <w:sz w:val="32"/>
          <w:szCs w:val="24"/>
          <w:lang w:val="en-US" w:eastAsia="zh-CN" w:bidi="ar"/>
        </w:rPr>
        <w:t>占</w:t>
      </w:r>
      <w:r>
        <w:rPr>
          <w:rFonts w:hint="eastAsia" w:ascii="宋体" w:hAnsi="宋体" w:eastAsia="宋体" w:cs="Times New Roman"/>
          <w:sz w:val="32"/>
          <w:szCs w:val="24"/>
          <w:lang w:val="en-US" w:eastAsia="zh-CN" w:bidi="ar"/>
        </w:rPr>
        <w:t>68.05</w:t>
      </w:r>
      <w:r>
        <w:rPr>
          <w:rFonts w:hint="default" w:ascii="宋体" w:hAnsi="宋体" w:eastAsia="宋体" w:cs="Times New Roman"/>
          <w:sz w:val="32"/>
          <w:szCs w:val="24"/>
          <w:lang w:val="en-US" w:eastAsia="zh-CN" w:bidi="ar"/>
        </w:rPr>
        <w:t>%；项目支出</w:t>
      </w:r>
      <w:r>
        <w:rPr>
          <w:rFonts w:hint="eastAsia" w:ascii="宋体" w:hAnsi="宋体" w:eastAsia="宋体" w:cs="Times New Roman"/>
          <w:sz w:val="32"/>
          <w:szCs w:val="24"/>
          <w:lang w:val="en-US" w:eastAsia="zh-CN" w:bidi="ar"/>
        </w:rPr>
        <w:t>420.4</w:t>
      </w:r>
      <w:r>
        <w:rPr>
          <w:rFonts w:hint="default" w:ascii="宋体" w:hAnsi="宋体" w:eastAsia="宋体" w:cs="Times New Roman"/>
          <w:sz w:val="32"/>
          <w:szCs w:val="24"/>
          <w:lang w:val="en-US" w:eastAsia="zh-CN" w:bidi="ar"/>
        </w:rPr>
        <w:t>万元，占</w:t>
      </w:r>
      <w:r>
        <w:rPr>
          <w:rFonts w:hint="eastAsia" w:ascii="宋体" w:hAnsi="宋体" w:eastAsia="宋体" w:cs="Times New Roman"/>
          <w:sz w:val="32"/>
          <w:szCs w:val="24"/>
          <w:lang w:val="en-US" w:eastAsia="zh-CN" w:bidi="ar"/>
        </w:rPr>
        <w:t>31.95</w:t>
      </w:r>
      <w:r>
        <w:rPr>
          <w:rFonts w:hint="default" w:ascii="宋体" w:hAnsi="宋体" w:eastAsia="宋体" w:cs="Times New Roman"/>
          <w:sz w:val="32"/>
          <w:szCs w:val="24"/>
          <w:lang w:val="en-US" w:eastAsia="zh-CN" w:bidi="ar"/>
        </w:rPr>
        <w:t>%。</w:t>
      </w:r>
    </w:p>
    <w:p w14:paraId="2F12A53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2、202</w:t>
      </w:r>
      <w:r>
        <w:rPr>
          <w:rFonts w:hint="eastAsia" w:ascii="宋体" w:hAnsi="宋体" w:eastAsia="宋体" w:cs="Times New Roman"/>
          <w:sz w:val="32"/>
          <w:szCs w:val="24"/>
          <w:lang w:val="en-US" w:eastAsia="zh-CN" w:bidi="ar"/>
        </w:rPr>
        <w:t>3</w:t>
      </w:r>
      <w:r>
        <w:rPr>
          <w:rFonts w:hint="default" w:ascii="宋体" w:hAnsi="宋体" w:eastAsia="宋体" w:cs="Times New Roman"/>
          <w:sz w:val="32"/>
          <w:szCs w:val="24"/>
          <w:lang w:val="zh-CN" w:eastAsia="zh-CN" w:bidi="ar"/>
        </w:rPr>
        <w:t>年度“三公”经费财政拨款支出预算为</w:t>
      </w:r>
      <w:r>
        <w:rPr>
          <w:rFonts w:hint="eastAsia" w:ascii="宋体" w:hAnsi="宋体" w:eastAsia="宋体" w:cs="Times New Roman"/>
          <w:sz w:val="32"/>
          <w:szCs w:val="24"/>
          <w:lang w:val="en-US" w:eastAsia="zh-CN" w:bidi="ar"/>
        </w:rPr>
        <w:t>11</w:t>
      </w:r>
      <w:r>
        <w:rPr>
          <w:rFonts w:hint="default" w:ascii="宋体" w:hAnsi="宋体" w:eastAsia="宋体" w:cs="Times New Roman"/>
          <w:sz w:val="32"/>
          <w:szCs w:val="24"/>
          <w:lang w:val="zh-CN" w:eastAsia="zh-CN" w:bidi="ar"/>
        </w:rPr>
        <w:t>万元，支出决算为</w:t>
      </w:r>
      <w:r>
        <w:rPr>
          <w:rFonts w:hint="eastAsia" w:ascii="宋体" w:hAnsi="宋体" w:eastAsia="宋体" w:cs="Times New Roman"/>
          <w:sz w:val="32"/>
          <w:szCs w:val="24"/>
          <w:lang w:val="en-US" w:eastAsia="zh-CN" w:bidi="ar"/>
        </w:rPr>
        <w:t>0.61</w:t>
      </w:r>
      <w:r>
        <w:rPr>
          <w:rFonts w:hint="default" w:ascii="宋体" w:hAnsi="宋体" w:eastAsia="宋体" w:cs="Times New Roman"/>
          <w:sz w:val="32"/>
          <w:szCs w:val="24"/>
          <w:lang w:val="zh-CN" w:eastAsia="zh-CN" w:bidi="ar"/>
        </w:rPr>
        <w:t>万元,完成预算的</w:t>
      </w:r>
      <w:r>
        <w:rPr>
          <w:rFonts w:hint="eastAsia" w:ascii="宋体" w:hAnsi="宋体" w:eastAsia="宋体" w:cs="Times New Roman"/>
          <w:sz w:val="32"/>
          <w:szCs w:val="24"/>
          <w:lang w:val="en-US" w:eastAsia="zh-CN" w:bidi="ar"/>
        </w:rPr>
        <w:t>5.55</w:t>
      </w:r>
      <w:r>
        <w:rPr>
          <w:rFonts w:hint="default" w:ascii="宋体" w:hAnsi="宋体" w:eastAsia="宋体" w:cs="Times New Roman"/>
          <w:sz w:val="32"/>
          <w:szCs w:val="24"/>
          <w:lang w:val="zh-CN" w:eastAsia="zh-CN" w:bidi="ar"/>
        </w:rPr>
        <w:t>%，</w:t>
      </w:r>
      <w:r>
        <w:rPr>
          <w:rFonts w:hint="eastAsia" w:ascii="宋体" w:hAnsi="宋体" w:eastAsia="宋体" w:cs="Times New Roman"/>
          <w:sz w:val="32"/>
          <w:szCs w:val="24"/>
          <w:lang w:val="zh-CN" w:eastAsia="zh-CN" w:bidi="ar"/>
        </w:rPr>
        <w:t>决算数小于预算数的主要原因是</w:t>
      </w:r>
      <w:bookmarkStart w:id="2" w:name="OLE_LINK10"/>
      <w:r>
        <w:rPr>
          <w:rFonts w:hint="eastAsia" w:ascii="宋体" w:hAnsi="宋体" w:eastAsia="宋体" w:cs="Times New Roman"/>
          <w:sz w:val="32"/>
          <w:szCs w:val="24"/>
          <w:lang w:val="en-US" w:eastAsia="zh-CN" w:bidi="ar"/>
        </w:rPr>
        <w:t>市财政局提前关闭支付系统，导致支出减少</w:t>
      </w:r>
      <w:bookmarkEnd w:id="2"/>
      <w:r>
        <w:rPr>
          <w:rFonts w:hint="eastAsia" w:ascii="宋体" w:hAnsi="宋体" w:eastAsia="宋体" w:cs="Times New Roman"/>
          <w:sz w:val="32"/>
          <w:szCs w:val="24"/>
          <w:lang w:val="zh-CN" w:eastAsia="zh-CN" w:bidi="ar"/>
        </w:rPr>
        <w:t>。</w:t>
      </w:r>
    </w:p>
    <w:p w14:paraId="279ECA08">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p>
    <w:p w14:paraId="4AC89AC4">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固定资产管理情况分析。坚持厉行节约、物尽其用的原则，资产管理采取统一建账、统一核算管理，对每件固定资产使用明确保管职责，闲置的资产，办公室统一调节使用，发挥其效益，特别是按照市资产管理领导小组的要求，对资产进行了全面的清理，保证能用则用的原则，对不能用的资产，采取先处置后购置，保证了资产的安全高效。</w:t>
      </w:r>
    </w:p>
    <w:p w14:paraId="1CB25C33">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（二）部门整体支出管理情况分析</w:t>
      </w:r>
    </w:p>
    <w:p w14:paraId="31E6B27A">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1、按照预算支出管理。在支出预算编制上，人员经费按照配置定额，逐人核定编制，公用经费分类分档，按定额编制；根据“总量控制、计划管理”的要求从严控制经费开支，按照预算科目和项目资金的规定使用财政资金，保障部门整体支出的规范化、制度化。</w:t>
      </w:r>
    </w:p>
    <w:p w14:paraId="7176BDA1">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2、财务管理按制度运行。按照国家法律法规，制定财务制度、资产配置使用制度、公务接待、会议制度、培训制度等单位内部控制制度，并按照制度管理和执行，防范风险，保证财政资金的安全和高效运行。</w:t>
      </w:r>
    </w:p>
    <w:p w14:paraId="5F5312BB">
      <w:pPr>
        <w:pStyle w:val="9"/>
        <w:ind w:left="0" w:leftChars="0" w:firstLine="0" w:firstLineChars="0"/>
        <w:rPr>
          <w:rFonts w:hint="default" w:ascii="宋体" w:hAnsi="宋体" w:eastAsia="宋体" w:cs="Times New Roman"/>
          <w:sz w:val="32"/>
          <w:szCs w:val="24"/>
          <w:lang w:val="zh-CN" w:eastAsia="zh-CN" w:bidi="ar"/>
        </w:rPr>
      </w:pPr>
    </w:p>
    <w:p w14:paraId="7C73F7BB">
      <w:pPr>
        <w:pStyle w:val="9"/>
        <w:ind w:left="0" w:leftChars="0" w:firstLine="0" w:firstLineChars="0"/>
        <w:rPr>
          <w:rFonts w:hint="default" w:ascii="宋体" w:hAnsi="宋体" w:eastAsia="宋体" w:cs="Times New Roman"/>
          <w:sz w:val="32"/>
          <w:szCs w:val="24"/>
          <w:lang w:val="zh-CN" w:eastAsia="zh-CN" w:bidi="ar"/>
        </w:rPr>
      </w:pPr>
    </w:p>
    <w:p w14:paraId="6948AD6C">
      <w:pPr>
        <w:pStyle w:val="9"/>
        <w:ind w:left="0" w:leftChars="0" w:firstLine="0" w:firstLineChars="0"/>
        <w:rPr>
          <w:rFonts w:hint="default" w:ascii="宋体" w:hAnsi="宋体" w:eastAsia="宋体" w:cs="Times New Roman"/>
          <w:sz w:val="32"/>
          <w:szCs w:val="24"/>
          <w:lang w:val="zh-CN" w:eastAsia="zh-CN" w:bidi="ar"/>
        </w:rPr>
      </w:pPr>
    </w:p>
    <w:p w14:paraId="7076E6E4">
      <w:pPr>
        <w:pStyle w:val="9"/>
        <w:ind w:left="0" w:leftChars="0" w:firstLine="0" w:firstLineChars="0"/>
        <w:rPr>
          <w:rFonts w:hint="default" w:ascii="宋体" w:hAnsi="宋体" w:eastAsia="宋体" w:cs="Times New Roman"/>
          <w:sz w:val="32"/>
          <w:szCs w:val="24"/>
          <w:lang w:val="zh-CN" w:eastAsia="zh-CN" w:bidi="ar"/>
        </w:rPr>
      </w:pPr>
    </w:p>
    <w:p w14:paraId="1893988C">
      <w:pPr>
        <w:pStyle w:val="9"/>
        <w:ind w:left="0" w:leftChars="0" w:firstLine="0" w:firstLineChars="0"/>
        <w:rPr>
          <w:rFonts w:hint="default" w:ascii="宋体" w:hAnsi="宋体" w:eastAsia="宋体" w:cs="Times New Roman"/>
          <w:sz w:val="32"/>
          <w:szCs w:val="24"/>
          <w:lang w:val="zh-CN" w:eastAsia="zh-CN" w:bidi="ar"/>
        </w:rPr>
      </w:pPr>
    </w:p>
    <w:p w14:paraId="40D33CFD">
      <w:pPr>
        <w:pStyle w:val="9"/>
        <w:ind w:left="0" w:leftChars="0" w:firstLine="0" w:firstLineChars="0"/>
        <w:rPr>
          <w:rFonts w:hint="default" w:ascii="宋体" w:hAnsi="宋体" w:eastAsia="宋体" w:cs="Times New Roman"/>
          <w:sz w:val="32"/>
          <w:szCs w:val="24"/>
          <w:lang w:val="zh-CN" w:eastAsia="zh-CN" w:bidi="ar"/>
        </w:rPr>
      </w:pPr>
    </w:p>
    <w:p w14:paraId="32BF70C5">
      <w:pPr>
        <w:pStyle w:val="9"/>
        <w:ind w:left="0" w:leftChars="0" w:firstLine="0" w:firstLineChars="0"/>
        <w:rPr>
          <w:rFonts w:hint="default" w:ascii="宋体" w:hAnsi="宋体" w:eastAsia="宋体" w:cs="Times New Roman"/>
          <w:sz w:val="32"/>
          <w:szCs w:val="24"/>
          <w:lang w:val="zh-CN" w:eastAsia="zh-CN" w:bidi="ar"/>
        </w:rPr>
      </w:pPr>
    </w:p>
    <w:p w14:paraId="4C29015C">
      <w:pPr>
        <w:pStyle w:val="9"/>
        <w:ind w:left="0" w:leftChars="0" w:firstLine="0" w:firstLineChars="0"/>
        <w:rPr>
          <w:rFonts w:hint="default" w:ascii="宋体" w:hAnsi="宋体" w:eastAsia="宋体" w:cs="Times New Roman"/>
          <w:sz w:val="32"/>
          <w:szCs w:val="24"/>
          <w:lang w:val="zh-CN" w:eastAsia="zh-CN" w:bidi="ar"/>
        </w:rPr>
      </w:pPr>
    </w:p>
    <w:p w14:paraId="62FCA7EE">
      <w:pPr>
        <w:pStyle w:val="9"/>
        <w:ind w:left="0" w:leftChars="0" w:firstLine="0" w:firstLineChars="0"/>
        <w:rPr>
          <w:rFonts w:hint="default" w:ascii="宋体" w:hAnsi="宋体" w:eastAsia="宋体" w:cs="Times New Roman"/>
          <w:sz w:val="32"/>
          <w:szCs w:val="24"/>
          <w:lang w:val="zh-CN" w:eastAsia="zh-CN" w:bidi="ar"/>
        </w:rPr>
      </w:pPr>
    </w:p>
    <w:p w14:paraId="2D51D6B8">
      <w:pPr>
        <w:pStyle w:val="9"/>
        <w:ind w:left="0" w:leftChars="0" w:firstLine="0" w:firstLineChars="0"/>
        <w:rPr>
          <w:rFonts w:hint="default" w:ascii="宋体" w:hAnsi="宋体" w:eastAsia="宋体" w:cs="Times New Roman"/>
          <w:sz w:val="32"/>
          <w:szCs w:val="24"/>
          <w:lang w:val="zh-CN" w:eastAsia="zh-CN" w:bidi="ar"/>
        </w:rPr>
      </w:pPr>
    </w:p>
    <w:p w14:paraId="1883741C">
      <w:pPr>
        <w:pStyle w:val="9"/>
        <w:ind w:left="0" w:leftChars="0" w:firstLine="0" w:firstLineChars="0"/>
        <w:rPr>
          <w:rFonts w:hint="default" w:ascii="宋体" w:hAnsi="宋体" w:eastAsia="宋体" w:cs="Times New Roman"/>
          <w:sz w:val="32"/>
          <w:szCs w:val="24"/>
          <w:lang w:val="zh-CN" w:eastAsia="zh-CN" w:bidi="ar"/>
        </w:rPr>
      </w:pPr>
    </w:p>
    <w:p w14:paraId="2001C707">
      <w:pPr>
        <w:pStyle w:val="9"/>
        <w:ind w:left="0" w:leftChars="0" w:firstLine="0" w:firstLineChars="0"/>
        <w:rPr>
          <w:rFonts w:hint="default" w:ascii="宋体" w:hAnsi="宋体" w:eastAsia="宋体" w:cs="Times New Roman"/>
          <w:sz w:val="32"/>
          <w:szCs w:val="24"/>
          <w:lang w:val="zh-CN" w:eastAsia="zh-CN" w:bidi="ar"/>
        </w:rPr>
      </w:pPr>
    </w:p>
    <w:p w14:paraId="34A49E5E">
      <w:pPr>
        <w:pStyle w:val="9"/>
        <w:ind w:left="0" w:leftChars="0" w:firstLine="0" w:firstLineChars="0"/>
        <w:rPr>
          <w:rFonts w:hint="default" w:ascii="宋体" w:hAnsi="宋体" w:eastAsia="宋体" w:cs="Times New Roman"/>
          <w:sz w:val="32"/>
          <w:szCs w:val="24"/>
          <w:lang w:val="zh-CN" w:eastAsia="zh-CN" w:bidi="ar"/>
        </w:rPr>
      </w:pPr>
    </w:p>
    <w:p w14:paraId="6F0CA81F">
      <w:pPr>
        <w:pStyle w:val="9"/>
        <w:ind w:left="0" w:leftChars="0" w:firstLine="0" w:firstLineChars="0"/>
        <w:rPr>
          <w:rFonts w:hint="default" w:ascii="宋体" w:hAnsi="宋体" w:eastAsia="宋体" w:cs="Times New Roman"/>
          <w:sz w:val="32"/>
          <w:szCs w:val="24"/>
          <w:lang w:val="zh-CN" w:eastAsia="zh-CN" w:bidi="ar"/>
        </w:rPr>
      </w:pPr>
    </w:p>
    <w:p w14:paraId="7C43CF6B">
      <w:pPr>
        <w:pStyle w:val="9"/>
        <w:ind w:left="0" w:leftChars="0" w:firstLine="0" w:firstLineChars="0"/>
        <w:rPr>
          <w:rFonts w:hint="default" w:ascii="宋体" w:hAnsi="宋体" w:eastAsia="宋体" w:cs="Times New Roman"/>
          <w:sz w:val="32"/>
          <w:szCs w:val="24"/>
          <w:lang w:val="zh-CN" w:eastAsia="zh-CN" w:bidi="ar"/>
        </w:rPr>
      </w:pPr>
    </w:p>
    <w:p w14:paraId="0B001AC7">
      <w:pPr>
        <w:pStyle w:val="9"/>
        <w:ind w:left="0" w:leftChars="0" w:firstLine="0" w:firstLineChars="0"/>
        <w:rPr>
          <w:rFonts w:hint="default" w:ascii="宋体" w:hAnsi="宋体" w:eastAsia="宋体" w:cs="Times New Roman"/>
          <w:sz w:val="32"/>
          <w:szCs w:val="24"/>
          <w:lang w:val="zh-CN" w:eastAsia="zh-CN" w:bidi="ar"/>
        </w:rPr>
      </w:pPr>
    </w:p>
    <w:p w14:paraId="5EEC62A0">
      <w:pPr>
        <w:pStyle w:val="9"/>
        <w:ind w:left="0" w:leftChars="0" w:firstLine="0" w:firstLineChars="0"/>
        <w:rPr>
          <w:rFonts w:hint="default" w:ascii="宋体" w:hAnsi="宋体" w:eastAsia="宋体" w:cs="Times New Roman"/>
          <w:sz w:val="32"/>
          <w:szCs w:val="24"/>
          <w:lang w:val="zh-CN" w:eastAsia="zh-CN" w:bidi="ar"/>
        </w:rPr>
      </w:pPr>
    </w:p>
    <w:p w14:paraId="14331EBF">
      <w:pPr>
        <w:pStyle w:val="9"/>
        <w:ind w:left="0" w:leftChars="0" w:firstLine="0" w:firstLineChars="0"/>
        <w:rPr>
          <w:rFonts w:hint="default" w:ascii="宋体" w:hAnsi="宋体" w:eastAsia="宋体" w:cs="Times New Roman"/>
          <w:sz w:val="32"/>
          <w:szCs w:val="24"/>
          <w:lang w:val="zh-CN" w:eastAsia="zh-CN" w:bidi="ar"/>
        </w:rPr>
      </w:pPr>
    </w:p>
    <w:p w14:paraId="3FF91BB6">
      <w:pPr>
        <w:pStyle w:val="9"/>
        <w:ind w:left="0" w:leftChars="0" w:firstLine="0" w:firstLineChars="0"/>
        <w:rPr>
          <w:rFonts w:hint="default" w:ascii="宋体" w:hAnsi="宋体" w:eastAsia="宋体" w:cs="Times New Roman"/>
          <w:sz w:val="32"/>
          <w:szCs w:val="24"/>
          <w:lang w:val="zh-CN" w:eastAsia="zh-CN" w:bidi="ar"/>
        </w:rPr>
      </w:pPr>
    </w:p>
    <w:p w14:paraId="2AF1BF99">
      <w:pPr>
        <w:widowControl/>
        <w:spacing w:afterLines="50"/>
        <w:jc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2023年度部门整体支出绩效自评表</w:t>
      </w:r>
    </w:p>
    <w:tbl>
      <w:tblPr>
        <w:tblStyle w:val="11"/>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6747D583">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0DDEF8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27D18058">
            <w:pPr>
              <w:widowControl/>
              <w:spacing w:line="240" w:lineRule="exact"/>
              <w:ind w:firstLine="3200" w:firstLineChars="160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r>
              <w:rPr>
                <w:rFonts w:hint="eastAsia" w:ascii="仿宋_GB2312" w:hAnsi="仿宋_GB2312" w:eastAsia="仿宋_GB2312" w:cs="仿宋_GB2312"/>
                <w:color w:val="000000"/>
                <w:sz w:val="20"/>
                <w:szCs w:val="20"/>
              </w:rPr>
              <w:t>　</w:t>
            </w:r>
          </w:p>
        </w:tc>
      </w:tr>
      <w:tr w14:paraId="629913C7">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2AC5897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14:paraId="39F28EC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14:paraId="2E444419">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14:paraId="327E13DF">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14:paraId="577DA87C">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14:paraId="78C47E8E">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14:paraId="76493D02">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14:paraId="30D20933">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14:paraId="3FFB6C86">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3BAF145E">
        <w:tblPrEx>
          <w:tblCellMar>
            <w:top w:w="0" w:type="dxa"/>
            <w:left w:w="108" w:type="dxa"/>
            <w:bottom w:w="0" w:type="dxa"/>
            <w:right w:w="108" w:type="dxa"/>
          </w:tblCellMar>
        </w:tblPrEx>
        <w:trPr>
          <w:trHeight w:val="196" w:hRule="atLeast"/>
          <w:jc w:val="center"/>
        </w:trPr>
        <w:tc>
          <w:tcPr>
            <w:tcW w:w="1080" w:type="dxa"/>
            <w:vMerge w:val="continue"/>
            <w:tcBorders>
              <w:top w:val="nil"/>
              <w:left w:val="single" w:color="auto" w:sz="4" w:space="0"/>
              <w:right w:val="single" w:color="auto" w:sz="4" w:space="0"/>
            </w:tcBorders>
            <w:noWrap w:val="0"/>
            <w:vAlign w:val="center"/>
          </w:tcPr>
          <w:p w14:paraId="755012E4">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14:paraId="31697B18">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14:paraId="1BF8A54B">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774.03</w:t>
            </w:r>
          </w:p>
        </w:tc>
        <w:tc>
          <w:tcPr>
            <w:tcW w:w="1311" w:type="dxa"/>
            <w:tcBorders>
              <w:top w:val="nil"/>
              <w:left w:val="nil"/>
              <w:bottom w:val="single" w:color="auto" w:sz="4" w:space="0"/>
              <w:right w:val="single" w:color="auto" w:sz="4" w:space="0"/>
            </w:tcBorders>
            <w:noWrap w:val="0"/>
            <w:vAlign w:val="center"/>
          </w:tcPr>
          <w:p w14:paraId="0AE5A251">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1315.85</w:t>
            </w:r>
          </w:p>
        </w:tc>
        <w:tc>
          <w:tcPr>
            <w:tcW w:w="1269" w:type="dxa"/>
            <w:tcBorders>
              <w:top w:val="nil"/>
              <w:left w:val="nil"/>
              <w:bottom w:val="single" w:color="auto" w:sz="4" w:space="0"/>
              <w:right w:val="single" w:color="auto" w:sz="4" w:space="0"/>
            </w:tcBorders>
            <w:noWrap w:val="0"/>
            <w:vAlign w:val="center"/>
          </w:tcPr>
          <w:p w14:paraId="43A6BA0A">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1315.85</w:t>
            </w:r>
          </w:p>
        </w:tc>
        <w:tc>
          <w:tcPr>
            <w:tcW w:w="716" w:type="dxa"/>
            <w:tcBorders>
              <w:top w:val="nil"/>
              <w:left w:val="nil"/>
              <w:bottom w:val="single" w:color="auto" w:sz="4" w:space="0"/>
              <w:right w:val="single" w:color="auto" w:sz="4" w:space="0"/>
            </w:tcBorders>
            <w:noWrap w:val="0"/>
            <w:vAlign w:val="center"/>
          </w:tcPr>
          <w:p w14:paraId="6C639BAE">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7CCB5A79">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100%</w:t>
            </w:r>
          </w:p>
        </w:tc>
        <w:tc>
          <w:tcPr>
            <w:tcW w:w="1446" w:type="dxa"/>
            <w:tcBorders>
              <w:top w:val="nil"/>
              <w:left w:val="nil"/>
              <w:bottom w:val="single" w:color="auto" w:sz="4" w:space="0"/>
              <w:right w:val="single" w:color="auto" w:sz="4" w:space="0"/>
            </w:tcBorders>
            <w:noWrap w:val="0"/>
            <w:vAlign w:val="center"/>
          </w:tcPr>
          <w:p w14:paraId="6D9F3C70">
            <w:pPr>
              <w:spacing w:line="240" w:lineRule="exact"/>
              <w:jc w:val="center"/>
              <w:rPr>
                <w:rFonts w:hint="default" w:ascii="仿宋_GB2312" w:hAnsi="仿宋_GB2312" w:eastAsia="仿宋_GB2312" w:cs="仿宋_GB2312"/>
                <w:sz w:val="20"/>
                <w:szCs w:val="20"/>
                <w:lang w:val="en-US" w:eastAsia="zh-CN"/>
              </w:rPr>
            </w:pPr>
          </w:p>
        </w:tc>
      </w:tr>
      <w:tr w14:paraId="127D568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548CBBA">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01F3B0CB">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0"/>
            <w:vAlign w:val="center"/>
          </w:tcPr>
          <w:p w14:paraId="5A28C4C4">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14:paraId="5F2CFD4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4EC4ED7">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35BBF31A">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highlight w:val="none"/>
                <w:lang w:val="en-US" w:eastAsia="zh-CN"/>
              </w:rPr>
              <w:t>1285.87</w:t>
            </w:r>
          </w:p>
        </w:tc>
        <w:tc>
          <w:tcPr>
            <w:tcW w:w="4304" w:type="dxa"/>
            <w:gridSpan w:val="4"/>
            <w:tcBorders>
              <w:top w:val="nil"/>
              <w:left w:val="nil"/>
              <w:bottom w:val="single" w:color="auto" w:sz="4" w:space="0"/>
              <w:right w:val="single" w:color="auto" w:sz="4" w:space="0"/>
            </w:tcBorders>
            <w:noWrap w:val="0"/>
            <w:vAlign w:val="center"/>
          </w:tcPr>
          <w:p w14:paraId="4A76585B">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highlight w:val="none"/>
                <w:lang w:val="en-US" w:eastAsia="zh-CN"/>
              </w:rPr>
              <w:t>895.45</w:t>
            </w:r>
          </w:p>
        </w:tc>
      </w:tr>
      <w:tr w14:paraId="317B41D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2B61B9F">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3E92D16B">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14:paraId="21795664">
            <w:pPr>
              <w:widowControl/>
              <w:spacing w:line="240" w:lineRule="exact"/>
              <w:ind w:firstLine="600" w:firstLineChars="3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highlight w:val="none"/>
                <w:lang w:val="en-US" w:eastAsia="zh-CN"/>
              </w:rPr>
              <w:t>420.41</w:t>
            </w:r>
          </w:p>
        </w:tc>
      </w:tr>
      <w:tr w14:paraId="5E3D573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4D75FD1">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3B1EFD7D">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14:paraId="4339D905">
            <w:pPr>
              <w:widowControl/>
              <w:spacing w:line="240" w:lineRule="exact"/>
              <w:jc w:val="left"/>
              <w:rPr>
                <w:rFonts w:hint="eastAsia" w:ascii="仿宋_GB2312" w:hAnsi="仿宋_GB2312" w:eastAsia="仿宋_GB2312" w:cs="仿宋_GB2312"/>
                <w:color w:val="000000"/>
                <w:sz w:val="20"/>
                <w:szCs w:val="20"/>
              </w:rPr>
            </w:pPr>
          </w:p>
        </w:tc>
      </w:tr>
      <w:tr w14:paraId="1E2CCD75">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383B5E5F">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6A3A6C0D">
            <w:pPr>
              <w:widowControl/>
              <w:spacing w:line="240" w:lineRule="exact"/>
              <w:ind w:firstLine="1400" w:firstLineChars="7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highlight w:val="none"/>
                <w:lang w:val="en-US" w:eastAsia="zh-CN"/>
              </w:rPr>
              <w:t>27.98</w:t>
            </w:r>
          </w:p>
        </w:tc>
        <w:tc>
          <w:tcPr>
            <w:tcW w:w="4304" w:type="dxa"/>
            <w:gridSpan w:val="4"/>
            <w:tcBorders>
              <w:top w:val="nil"/>
              <w:left w:val="nil"/>
              <w:bottom w:val="single" w:color="auto" w:sz="4" w:space="0"/>
              <w:right w:val="single" w:color="auto" w:sz="4" w:space="0"/>
            </w:tcBorders>
            <w:noWrap w:val="0"/>
            <w:vAlign w:val="center"/>
          </w:tcPr>
          <w:p w14:paraId="13B573AC">
            <w:pPr>
              <w:widowControl/>
              <w:spacing w:line="240" w:lineRule="exact"/>
              <w:jc w:val="left"/>
              <w:rPr>
                <w:rFonts w:hint="eastAsia" w:ascii="仿宋_GB2312" w:hAnsi="仿宋_GB2312" w:eastAsia="仿宋_GB2312" w:cs="仿宋_GB2312"/>
                <w:color w:val="000000"/>
                <w:sz w:val="20"/>
                <w:szCs w:val="20"/>
              </w:rPr>
            </w:pPr>
          </w:p>
        </w:tc>
      </w:tr>
      <w:tr w14:paraId="63D2C501">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72F0D88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235504F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4C3A2E7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6A372D5B">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0388810">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14:paraId="4CFD9FF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4304" w:type="dxa"/>
            <w:gridSpan w:val="4"/>
            <w:tcBorders>
              <w:top w:val="single" w:color="auto" w:sz="4" w:space="0"/>
              <w:left w:val="nil"/>
              <w:bottom w:val="single" w:color="auto" w:sz="4" w:space="0"/>
              <w:right w:val="single" w:color="auto" w:sz="4" w:space="0"/>
            </w:tcBorders>
            <w:noWrap w:val="0"/>
            <w:vAlign w:val="center"/>
          </w:tcPr>
          <w:p w14:paraId="71161C2A">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2921E15">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6A3FC021">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42C4E3B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01FE95A8">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4EE05A7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14:paraId="21B3B569">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14:paraId="4615059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14:paraId="1180E85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14:paraId="3A7CB1E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14:paraId="2BEFA23B">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14:paraId="3F6E5D92">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14:paraId="3FBF83D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14:paraId="2DBD4042">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14:paraId="0F734412">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192041A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E8F7744">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14:paraId="3E1BF2C8">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11B0816">
            <w:pPr>
              <w:widowControl/>
              <w:spacing w:line="240" w:lineRule="exact"/>
              <w:jc w:val="center"/>
              <w:rPr>
                <w:rFonts w:hint="eastAsia" w:ascii="仿宋_GB2312" w:hAnsi="仿宋_GB2312" w:eastAsia="仿宋_GB2312" w:cs="仿宋_GB2312"/>
                <w:color w:val="000000"/>
                <w:sz w:val="20"/>
                <w:szCs w:val="20"/>
              </w:rPr>
            </w:pPr>
          </w:p>
          <w:p w14:paraId="3869260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E4D957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nil"/>
              <w:bottom w:val="single" w:color="auto" w:sz="4" w:space="0"/>
              <w:right w:val="single" w:color="auto" w:sz="4" w:space="0"/>
            </w:tcBorders>
            <w:noWrap w:val="0"/>
            <w:vAlign w:val="center"/>
          </w:tcPr>
          <w:p w14:paraId="3DDE85B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继续加强技术示范基地创建和信息化服务建设平台建设</w:t>
            </w:r>
          </w:p>
        </w:tc>
        <w:tc>
          <w:tcPr>
            <w:tcW w:w="1311" w:type="dxa"/>
            <w:tcBorders>
              <w:top w:val="nil"/>
              <w:left w:val="nil"/>
              <w:bottom w:val="single" w:color="auto" w:sz="4" w:space="0"/>
              <w:right w:val="single" w:color="auto" w:sz="4" w:space="0"/>
            </w:tcBorders>
            <w:noWrap w:val="0"/>
            <w:vAlign w:val="center"/>
          </w:tcPr>
          <w:p w14:paraId="64ACF9A5">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创建4个技术推广示范基地，2个农民培训基地，1个农业综合服务信息化平台。</w:t>
            </w:r>
          </w:p>
        </w:tc>
        <w:tc>
          <w:tcPr>
            <w:tcW w:w="1269" w:type="dxa"/>
            <w:tcBorders>
              <w:top w:val="nil"/>
              <w:left w:val="nil"/>
              <w:bottom w:val="single" w:color="auto" w:sz="4" w:space="0"/>
              <w:right w:val="single" w:color="auto" w:sz="4" w:space="0"/>
            </w:tcBorders>
            <w:noWrap w:val="0"/>
            <w:vAlign w:val="center"/>
          </w:tcPr>
          <w:p w14:paraId="371B5E6E">
            <w:pPr>
              <w:widowControl/>
              <w:tabs>
                <w:tab w:val="center" w:pos="526"/>
              </w:tabs>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ab/>
            </w:r>
            <w:r>
              <w:rPr>
                <w:rFonts w:hint="eastAsia" w:ascii="仿宋_GB2312" w:hAnsi="仿宋_GB2312" w:eastAsia="仿宋_GB2312" w:cs="仿宋_GB2312"/>
                <w:color w:val="000000"/>
                <w:sz w:val="20"/>
                <w:szCs w:val="20"/>
              </w:rPr>
              <w:t>创建4个技术推广示范基地，2个农民培训基地，1个农业综合服务信息化平台。</w:t>
            </w:r>
          </w:p>
        </w:tc>
        <w:tc>
          <w:tcPr>
            <w:tcW w:w="716" w:type="dxa"/>
            <w:tcBorders>
              <w:top w:val="nil"/>
              <w:left w:val="nil"/>
              <w:bottom w:val="single" w:color="auto" w:sz="4" w:space="0"/>
              <w:right w:val="single" w:color="auto" w:sz="4" w:space="0"/>
            </w:tcBorders>
            <w:noWrap w:val="0"/>
            <w:vAlign w:val="center"/>
          </w:tcPr>
          <w:p w14:paraId="1D9D1BF1">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14:paraId="0DA24D73">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46" w:type="dxa"/>
            <w:tcBorders>
              <w:top w:val="nil"/>
              <w:left w:val="nil"/>
              <w:bottom w:val="single" w:color="auto" w:sz="4" w:space="0"/>
              <w:right w:val="single" w:color="auto" w:sz="4" w:space="0"/>
            </w:tcBorders>
            <w:noWrap w:val="0"/>
            <w:vAlign w:val="center"/>
          </w:tcPr>
          <w:p w14:paraId="2AFDCDA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9A9E99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59211B6">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14:paraId="23399049">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73FECA8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nil"/>
              <w:bottom w:val="single" w:color="auto" w:sz="4" w:space="0"/>
              <w:right w:val="single" w:color="auto" w:sz="4" w:space="0"/>
            </w:tcBorders>
            <w:noWrap w:val="0"/>
            <w:vAlign w:val="center"/>
          </w:tcPr>
          <w:p w14:paraId="3664775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推进水稻生产关键技术、农机”三减量“技术和病虫害技术示范推广，确保粮食生产关键技术覆盖率提高化肥、农药降低</w:t>
            </w:r>
          </w:p>
        </w:tc>
        <w:tc>
          <w:tcPr>
            <w:tcW w:w="1311" w:type="dxa"/>
            <w:tcBorders>
              <w:top w:val="nil"/>
              <w:left w:val="nil"/>
              <w:bottom w:val="single" w:color="auto" w:sz="4" w:space="0"/>
              <w:right w:val="single" w:color="auto" w:sz="4" w:space="0"/>
            </w:tcBorders>
            <w:noWrap w:val="0"/>
            <w:vAlign w:val="center"/>
          </w:tcPr>
          <w:p w14:paraId="6DF3B3B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粮食生产关键技术覆盖率达100%，化肥、农药零增长</w:t>
            </w:r>
          </w:p>
        </w:tc>
        <w:tc>
          <w:tcPr>
            <w:tcW w:w="1269" w:type="dxa"/>
            <w:tcBorders>
              <w:top w:val="nil"/>
              <w:left w:val="nil"/>
              <w:bottom w:val="single" w:color="auto" w:sz="4" w:space="0"/>
              <w:right w:val="single" w:color="auto" w:sz="4" w:space="0"/>
            </w:tcBorders>
            <w:noWrap w:val="0"/>
            <w:vAlign w:val="center"/>
          </w:tcPr>
          <w:p w14:paraId="3BD67F8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粮食生产关键技术覆盖率达100%，化肥、农药零增长</w:t>
            </w:r>
          </w:p>
        </w:tc>
        <w:tc>
          <w:tcPr>
            <w:tcW w:w="716" w:type="dxa"/>
            <w:tcBorders>
              <w:top w:val="nil"/>
              <w:left w:val="nil"/>
              <w:bottom w:val="single" w:color="auto" w:sz="4" w:space="0"/>
              <w:right w:val="single" w:color="auto" w:sz="4" w:space="0"/>
            </w:tcBorders>
            <w:noWrap w:val="0"/>
            <w:vAlign w:val="center"/>
          </w:tcPr>
          <w:p w14:paraId="087EF866">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14:paraId="441F2A2F">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46" w:type="dxa"/>
            <w:tcBorders>
              <w:top w:val="nil"/>
              <w:left w:val="nil"/>
              <w:bottom w:val="single" w:color="auto" w:sz="4" w:space="0"/>
              <w:right w:val="single" w:color="auto" w:sz="4" w:space="0"/>
            </w:tcBorders>
            <w:noWrap w:val="0"/>
            <w:vAlign w:val="center"/>
          </w:tcPr>
          <w:p w14:paraId="0C44B13D">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C0F215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115056A">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14:paraId="36E437A1">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050F214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nil"/>
              <w:bottom w:val="single" w:color="auto" w:sz="4" w:space="0"/>
              <w:right w:val="single" w:color="auto" w:sz="4" w:space="0"/>
            </w:tcBorders>
            <w:noWrap w:val="0"/>
            <w:vAlign w:val="center"/>
          </w:tcPr>
          <w:p w14:paraId="0E7D46CC">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1.项目完成时间</w:t>
            </w:r>
          </w:p>
          <w:p w14:paraId="6501CE9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2.各阶段按时完成率</w:t>
            </w:r>
          </w:p>
        </w:tc>
        <w:tc>
          <w:tcPr>
            <w:tcW w:w="1311" w:type="dxa"/>
            <w:tcBorders>
              <w:top w:val="single" w:color="auto" w:sz="4" w:space="0"/>
              <w:left w:val="nil"/>
              <w:bottom w:val="single" w:color="auto" w:sz="4" w:space="0"/>
              <w:right w:val="single" w:color="auto" w:sz="4" w:space="0"/>
            </w:tcBorders>
            <w:noWrap w:val="0"/>
            <w:vAlign w:val="center"/>
          </w:tcPr>
          <w:p w14:paraId="0F567F74">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2022年12月31日</w:t>
            </w:r>
          </w:p>
        </w:tc>
        <w:tc>
          <w:tcPr>
            <w:tcW w:w="1269" w:type="dxa"/>
            <w:tcBorders>
              <w:top w:val="single" w:color="auto" w:sz="4" w:space="0"/>
              <w:left w:val="nil"/>
              <w:bottom w:val="single" w:color="auto" w:sz="4" w:space="0"/>
              <w:right w:val="single" w:color="auto" w:sz="4" w:space="0"/>
            </w:tcBorders>
            <w:noWrap w:val="0"/>
            <w:vAlign w:val="center"/>
          </w:tcPr>
          <w:p w14:paraId="4DFD998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2022年12月31日</w:t>
            </w:r>
          </w:p>
        </w:tc>
        <w:tc>
          <w:tcPr>
            <w:tcW w:w="716" w:type="dxa"/>
            <w:tcBorders>
              <w:top w:val="single" w:color="auto" w:sz="4" w:space="0"/>
              <w:left w:val="nil"/>
              <w:bottom w:val="single" w:color="auto" w:sz="4" w:space="0"/>
              <w:right w:val="single" w:color="auto" w:sz="4" w:space="0"/>
            </w:tcBorders>
            <w:noWrap w:val="0"/>
            <w:vAlign w:val="center"/>
          </w:tcPr>
          <w:p w14:paraId="10795F57">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60E647C9">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nil"/>
              <w:bottom w:val="single" w:color="auto" w:sz="4" w:space="0"/>
              <w:right w:val="single" w:color="auto" w:sz="4" w:space="0"/>
            </w:tcBorders>
            <w:noWrap w:val="0"/>
            <w:vAlign w:val="center"/>
          </w:tcPr>
          <w:p w14:paraId="43BA97EC">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5C3BA3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83C51FF">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14:paraId="2911A0FD">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0"/>
            <w:vAlign w:val="center"/>
          </w:tcPr>
          <w:p w14:paraId="45094B7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nil"/>
              <w:bottom w:val="single" w:color="auto" w:sz="4" w:space="0"/>
              <w:right w:val="single" w:color="auto" w:sz="4" w:space="0"/>
            </w:tcBorders>
            <w:noWrap w:val="0"/>
            <w:vAlign w:val="center"/>
          </w:tcPr>
          <w:p w14:paraId="7281AC52">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控制在预算范围内</w:t>
            </w:r>
          </w:p>
        </w:tc>
        <w:tc>
          <w:tcPr>
            <w:tcW w:w="1311" w:type="dxa"/>
            <w:tcBorders>
              <w:top w:val="single" w:color="auto" w:sz="4" w:space="0"/>
              <w:left w:val="nil"/>
              <w:bottom w:val="single" w:color="auto" w:sz="4" w:space="0"/>
              <w:right w:val="single" w:color="auto" w:sz="4" w:space="0"/>
            </w:tcBorders>
            <w:noWrap w:val="0"/>
            <w:vAlign w:val="center"/>
          </w:tcPr>
          <w:p w14:paraId="1ACAAAB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控制在预算范围内</w:t>
            </w:r>
          </w:p>
        </w:tc>
        <w:tc>
          <w:tcPr>
            <w:tcW w:w="1269" w:type="dxa"/>
            <w:tcBorders>
              <w:top w:val="single" w:color="auto" w:sz="4" w:space="0"/>
              <w:left w:val="nil"/>
              <w:bottom w:val="single" w:color="auto" w:sz="4" w:space="0"/>
              <w:right w:val="single" w:color="auto" w:sz="4" w:space="0"/>
            </w:tcBorders>
            <w:noWrap w:val="0"/>
            <w:vAlign w:val="center"/>
          </w:tcPr>
          <w:p w14:paraId="4C25C06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控制在预算范围内</w:t>
            </w:r>
          </w:p>
        </w:tc>
        <w:tc>
          <w:tcPr>
            <w:tcW w:w="716" w:type="dxa"/>
            <w:tcBorders>
              <w:top w:val="single" w:color="auto" w:sz="4" w:space="0"/>
              <w:left w:val="nil"/>
              <w:bottom w:val="single" w:color="auto" w:sz="4" w:space="0"/>
              <w:right w:val="single" w:color="auto" w:sz="4" w:space="0"/>
            </w:tcBorders>
            <w:noWrap w:val="0"/>
            <w:vAlign w:val="center"/>
          </w:tcPr>
          <w:p w14:paraId="7A44DCCF">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55749D1C">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nil"/>
              <w:bottom w:val="single" w:color="auto" w:sz="4" w:space="0"/>
              <w:right w:val="single" w:color="auto" w:sz="4" w:space="0"/>
            </w:tcBorders>
            <w:noWrap w:val="0"/>
            <w:vAlign w:val="center"/>
          </w:tcPr>
          <w:p w14:paraId="179073A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EF4AE4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D5867AC">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14:paraId="545201F5">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5DED7FC3">
            <w:pPr>
              <w:widowControl/>
              <w:spacing w:line="240" w:lineRule="exact"/>
              <w:jc w:val="left"/>
              <w:rPr>
                <w:rFonts w:hint="eastAsia" w:ascii="仿宋_GB2312" w:hAnsi="仿宋_GB2312" w:eastAsia="仿宋_GB2312" w:cs="仿宋_GB2312"/>
                <w:color w:val="000000"/>
                <w:sz w:val="20"/>
                <w:szCs w:val="20"/>
              </w:rPr>
            </w:pPr>
          </w:p>
          <w:p w14:paraId="6B73296F">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0D0497D6">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0A2D80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3A1799EC">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0333AB2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1.水稻耕种收综合机械化水平提高.</w:t>
            </w:r>
          </w:p>
          <w:p w14:paraId="5CCD0A0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w:t>
            </w:r>
          </w:p>
          <w:p w14:paraId="0BADC3D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3.粮食生产关键技术覆盖率提高，</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DE78D7E">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1.水稻耕种收综合机械化水平提高1%，达83%。</w:t>
            </w:r>
          </w:p>
          <w:p w14:paraId="40C6CFD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2.培训农民200人。</w:t>
            </w:r>
          </w:p>
          <w:p w14:paraId="4DA674BD">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3.粮食生产关键技术覆盖率达100%　</w:t>
            </w:r>
          </w:p>
        </w:tc>
        <w:tc>
          <w:tcPr>
            <w:tcW w:w="1269" w:type="dxa"/>
            <w:tcBorders>
              <w:top w:val="nil"/>
              <w:left w:val="nil"/>
              <w:bottom w:val="single" w:color="auto" w:sz="4" w:space="0"/>
              <w:right w:val="single" w:color="auto" w:sz="4" w:space="0"/>
            </w:tcBorders>
            <w:noWrap w:val="0"/>
            <w:vAlign w:val="center"/>
          </w:tcPr>
          <w:p w14:paraId="21AB985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1.水稻耕种收综合机械化水平提高1%，达83%。</w:t>
            </w:r>
          </w:p>
          <w:p w14:paraId="5905CA6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2.培训农民200人。</w:t>
            </w:r>
          </w:p>
          <w:p w14:paraId="136C4D7B">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3.粮食生产关键技术覆盖率达100%</w:t>
            </w:r>
          </w:p>
        </w:tc>
        <w:tc>
          <w:tcPr>
            <w:tcW w:w="716" w:type="dxa"/>
            <w:tcBorders>
              <w:top w:val="nil"/>
              <w:left w:val="nil"/>
              <w:bottom w:val="single" w:color="auto" w:sz="4" w:space="0"/>
              <w:right w:val="single" w:color="auto" w:sz="4" w:space="0"/>
            </w:tcBorders>
            <w:noWrap w:val="0"/>
            <w:vAlign w:val="center"/>
          </w:tcPr>
          <w:p w14:paraId="7EBCC396">
            <w:pPr>
              <w:widowControl/>
              <w:spacing w:line="240" w:lineRule="exact"/>
              <w:ind w:firstLine="200" w:firstLineChars="100"/>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14:paraId="7DC3638C">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62B7980A">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20A9622">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E08A4D1">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14:paraId="245B9BF4">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0"/>
            <w:vAlign w:val="center"/>
          </w:tcPr>
          <w:p w14:paraId="333D093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79483B2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nil"/>
              <w:bottom w:val="single" w:color="auto" w:sz="4" w:space="0"/>
              <w:right w:val="single" w:color="auto" w:sz="4" w:space="0"/>
            </w:tcBorders>
            <w:noWrap w:val="0"/>
            <w:vAlign w:val="center"/>
          </w:tcPr>
          <w:p w14:paraId="2A0CC9C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1.劳动强度降低</w:t>
            </w:r>
          </w:p>
          <w:p w14:paraId="3489DB9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w:t>
            </w:r>
          </w:p>
        </w:tc>
        <w:tc>
          <w:tcPr>
            <w:tcW w:w="1311" w:type="dxa"/>
            <w:tcBorders>
              <w:top w:val="single" w:color="auto" w:sz="4" w:space="0"/>
              <w:left w:val="nil"/>
              <w:bottom w:val="single" w:color="auto" w:sz="4" w:space="0"/>
              <w:right w:val="single" w:color="auto" w:sz="4" w:space="0"/>
            </w:tcBorders>
            <w:noWrap w:val="0"/>
            <w:vAlign w:val="center"/>
          </w:tcPr>
          <w:p w14:paraId="4C47E19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1.劳动强度降低</w:t>
            </w:r>
          </w:p>
          <w:p w14:paraId="71D49141">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2.粮食总产稳定在300万吨</w:t>
            </w:r>
          </w:p>
        </w:tc>
        <w:tc>
          <w:tcPr>
            <w:tcW w:w="1269" w:type="dxa"/>
            <w:tcBorders>
              <w:top w:val="nil"/>
              <w:left w:val="nil"/>
              <w:bottom w:val="single" w:color="auto" w:sz="4" w:space="0"/>
              <w:right w:val="single" w:color="auto" w:sz="4" w:space="0"/>
            </w:tcBorders>
            <w:noWrap w:val="0"/>
            <w:vAlign w:val="center"/>
          </w:tcPr>
          <w:p w14:paraId="15DE827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1.劳动强度降低</w:t>
            </w:r>
          </w:p>
          <w:p w14:paraId="5F943D1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2.粮食总产稳定在300万吨</w:t>
            </w:r>
          </w:p>
        </w:tc>
        <w:tc>
          <w:tcPr>
            <w:tcW w:w="716" w:type="dxa"/>
            <w:tcBorders>
              <w:top w:val="nil"/>
              <w:left w:val="nil"/>
              <w:bottom w:val="single" w:color="auto" w:sz="4" w:space="0"/>
              <w:right w:val="single" w:color="auto" w:sz="4" w:space="0"/>
            </w:tcBorders>
            <w:noWrap w:val="0"/>
            <w:vAlign w:val="center"/>
          </w:tcPr>
          <w:p w14:paraId="7F7C244F">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689058CB">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27DCDCA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1DF108E">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14:paraId="5746710B">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80A3FC2">
            <w:pPr>
              <w:widowControl/>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51C64D83">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343653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1.单位管理更加规范，推广服务能力全面提升。</w:t>
            </w:r>
          </w:p>
          <w:p w14:paraId="769C181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2.规范黄茶机械加工标准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3A0970F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5E9EC71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06BF75A6">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F0D1204">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4E59DE1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55D47A53">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14:paraId="62816039">
            <w:pPr>
              <w:spacing w:line="24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D2163F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3BC2A64C">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7FE80E1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1B4A17A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14:paraId="12F43F6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服务水平不断提高，让群众满意。</w:t>
            </w:r>
          </w:p>
        </w:tc>
        <w:tc>
          <w:tcPr>
            <w:tcW w:w="1311" w:type="dxa"/>
            <w:tcBorders>
              <w:top w:val="nil"/>
              <w:left w:val="nil"/>
              <w:bottom w:val="single" w:color="auto" w:sz="4" w:space="0"/>
              <w:right w:val="single" w:color="auto" w:sz="4" w:space="0"/>
            </w:tcBorders>
            <w:noWrap w:val="0"/>
            <w:vAlign w:val="center"/>
          </w:tcPr>
          <w:p w14:paraId="73837AA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1.≥90%</w:t>
            </w:r>
          </w:p>
        </w:tc>
        <w:tc>
          <w:tcPr>
            <w:tcW w:w="1269" w:type="dxa"/>
            <w:tcBorders>
              <w:top w:val="nil"/>
              <w:left w:val="nil"/>
              <w:bottom w:val="single" w:color="auto" w:sz="4" w:space="0"/>
              <w:right w:val="single" w:color="auto" w:sz="4" w:space="0"/>
            </w:tcBorders>
            <w:noWrap w:val="0"/>
            <w:vAlign w:val="center"/>
          </w:tcPr>
          <w:p w14:paraId="239BB41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1.≥90%</w:t>
            </w:r>
          </w:p>
        </w:tc>
        <w:tc>
          <w:tcPr>
            <w:tcW w:w="716" w:type="dxa"/>
            <w:tcBorders>
              <w:top w:val="nil"/>
              <w:left w:val="nil"/>
              <w:bottom w:val="single" w:color="auto" w:sz="4" w:space="0"/>
              <w:right w:val="single" w:color="auto" w:sz="4" w:space="0"/>
            </w:tcBorders>
            <w:noWrap w:val="0"/>
            <w:vAlign w:val="center"/>
          </w:tcPr>
          <w:p w14:paraId="747D86BF">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4865A012">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083B3B3E">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服务水平进一步提升。</w:t>
            </w:r>
          </w:p>
        </w:tc>
      </w:tr>
      <w:tr w14:paraId="536BE534">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3736F097">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14:paraId="2D4FC50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14:paraId="16AE6234">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97</w:t>
            </w:r>
          </w:p>
        </w:tc>
        <w:tc>
          <w:tcPr>
            <w:tcW w:w="1446" w:type="dxa"/>
            <w:tcBorders>
              <w:top w:val="nil"/>
              <w:left w:val="nil"/>
              <w:bottom w:val="single" w:color="auto" w:sz="4" w:space="0"/>
              <w:right w:val="single" w:color="auto" w:sz="4" w:space="0"/>
            </w:tcBorders>
            <w:noWrap w:val="0"/>
            <w:vAlign w:val="center"/>
          </w:tcPr>
          <w:p w14:paraId="729A0A7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46AC29F8">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3</w:t>
      </w:r>
      <w:r>
        <w:rPr>
          <w:rFonts w:hint="eastAsia" w:ascii="方正小标宋简体" w:hAnsi="方正小标宋简体" w:eastAsia="方正小标宋简体" w:cs="方正小标宋简体"/>
          <w:color w:val="000000"/>
          <w:sz w:val="36"/>
          <w:szCs w:val="36"/>
        </w:rPr>
        <w:t>年度项目支出绩效自评表</w:t>
      </w:r>
    </w:p>
    <w:tbl>
      <w:tblPr>
        <w:tblStyle w:val="11"/>
        <w:tblW w:w="9851" w:type="dxa"/>
        <w:jc w:val="center"/>
        <w:tblLayout w:type="fixed"/>
        <w:tblCellMar>
          <w:top w:w="0" w:type="dxa"/>
          <w:left w:w="108" w:type="dxa"/>
          <w:bottom w:w="0" w:type="dxa"/>
          <w:right w:w="108" w:type="dxa"/>
        </w:tblCellMar>
      </w:tblPr>
      <w:tblGrid>
        <w:gridCol w:w="1080"/>
        <w:gridCol w:w="1080"/>
        <w:gridCol w:w="1080"/>
        <w:gridCol w:w="1639"/>
        <w:gridCol w:w="1145"/>
        <w:gridCol w:w="968"/>
        <w:gridCol w:w="568"/>
        <w:gridCol w:w="873"/>
        <w:gridCol w:w="1418"/>
      </w:tblGrid>
      <w:tr w14:paraId="4E6298D3">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A16E56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662E4DC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3BB70A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p>
        </w:tc>
      </w:tr>
      <w:tr w14:paraId="10D3573B">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1787D3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944" w:type="dxa"/>
            <w:gridSpan w:val="4"/>
            <w:tcBorders>
              <w:top w:val="single" w:color="auto" w:sz="4" w:space="0"/>
              <w:left w:val="nil"/>
              <w:bottom w:val="single" w:color="auto" w:sz="4" w:space="0"/>
              <w:right w:val="single" w:color="auto" w:sz="4" w:space="0"/>
            </w:tcBorders>
            <w:noWrap w:val="0"/>
            <w:vAlign w:val="center"/>
          </w:tcPr>
          <w:p w14:paraId="15E1BAB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岳阳市农业农村局</w:t>
            </w:r>
          </w:p>
        </w:tc>
        <w:tc>
          <w:tcPr>
            <w:tcW w:w="968" w:type="dxa"/>
            <w:tcBorders>
              <w:top w:val="single" w:color="auto" w:sz="4" w:space="0"/>
              <w:left w:val="nil"/>
              <w:bottom w:val="single" w:color="auto" w:sz="4" w:space="0"/>
              <w:right w:val="single" w:color="000000" w:sz="4" w:space="0"/>
            </w:tcBorders>
            <w:noWrap w:val="0"/>
            <w:vAlign w:val="center"/>
          </w:tcPr>
          <w:p w14:paraId="0ACB1B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2859" w:type="dxa"/>
            <w:gridSpan w:val="3"/>
            <w:tcBorders>
              <w:top w:val="single" w:color="auto" w:sz="4" w:space="0"/>
              <w:left w:val="nil"/>
              <w:bottom w:val="single" w:color="auto" w:sz="4" w:space="0"/>
              <w:right w:val="single" w:color="auto" w:sz="4" w:space="0"/>
            </w:tcBorders>
            <w:noWrap w:val="0"/>
            <w:vAlign w:val="center"/>
          </w:tcPr>
          <w:p w14:paraId="2A3E99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p>
        </w:tc>
      </w:tr>
      <w:tr w14:paraId="5DC7F585">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1FD7A4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14:paraId="6976A1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nil"/>
              <w:left w:val="nil"/>
              <w:bottom w:val="single" w:color="auto" w:sz="4" w:space="0"/>
              <w:right w:val="single" w:color="auto" w:sz="4" w:space="0"/>
            </w:tcBorders>
            <w:noWrap w:val="0"/>
            <w:vAlign w:val="center"/>
          </w:tcPr>
          <w:p w14:paraId="4EDD37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1022ED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45" w:type="dxa"/>
            <w:tcBorders>
              <w:top w:val="nil"/>
              <w:left w:val="nil"/>
              <w:bottom w:val="single" w:color="auto" w:sz="4" w:space="0"/>
              <w:right w:val="single" w:color="auto" w:sz="4" w:space="0"/>
            </w:tcBorders>
            <w:noWrap w:val="0"/>
            <w:vAlign w:val="center"/>
          </w:tcPr>
          <w:p w14:paraId="439260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0E3B2B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968" w:type="dxa"/>
            <w:tcBorders>
              <w:top w:val="nil"/>
              <w:left w:val="nil"/>
              <w:bottom w:val="single" w:color="auto" w:sz="4" w:space="0"/>
              <w:right w:val="single" w:color="auto" w:sz="4" w:space="0"/>
            </w:tcBorders>
            <w:noWrap w:val="0"/>
            <w:vAlign w:val="center"/>
          </w:tcPr>
          <w:p w14:paraId="30A6E3A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508C43D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568" w:type="dxa"/>
            <w:tcBorders>
              <w:top w:val="nil"/>
              <w:left w:val="nil"/>
              <w:bottom w:val="single" w:color="auto" w:sz="4" w:space="0"/>
              <w:right w:val="single" w:color="auto" w:sz="4" w:space="0"/>
            </w:tcBorders>
            <w:noWrap w:val="0"/>
            <w:vAlign w:val="center"/>
          </w:tcPr>
          <w:p w14:paraId="625A376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14:paraId="070F0A4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14:paraId="66DF6DA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7353ED4A">
        <w:tblPrEx>
          <w:tblCellMar>
            <w:top w:w="0" w:type="dxa"/>
            <w:left w:w="108" w:type="dxa"/>
            <w:bottom w:w="0" w:type="dxa"/>
            <w:right w:w="108" w:type="dxa"/>
          </w:tblCellMar>
        </w:tblPrEx>
        <w:trPr>
          <w:trHeight w:val="24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0B1FA6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7DCEE5E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w:t>
            </w:r>
          </w:p>
        </w:tc>
        <w:tc>
          <w:tcPr>
            <w:tcW w:w="1639" w:type="dxa"/>
            <w:tcBorders>
              <w:top w:val="nil"/>
              <w:left w:val="nil"/>
              <w:bottom w:val="single" w:color="auto" w:sz="4" w:space="0"/>
              <w:right w:val="single" w:color="auto" w:sz="4" w:space="0"/>
            </w:tcBorders>
            <w:noWrap w:val="0"/>
            <w:vAlign w:val="center"/>
          </w:tcPr>
          <w:p w14:paraId="38C2A3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145" w:type="dxa"/>
            <w:tcBorders>
              <w:top w:val="nil"/>
              <w:left w:val="nil"/>
              <w:bottom w:val="single" w:color="auto" w:sz="4" w:space="0"/>
              <w:right w:val="single" w:color="auto" w:sz="4" w:space="0"/>
            </w:tcBorders>
            <w:noWrap w:val="0"/>
            <w:vAlign w:val="center"/>
          </w:tcPr>
          <w:p w14:paraId="2CD7B6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420.41</w:t>
            </w:r>
          </w:p>
        </w:tc>
        <w:tc>
          <w:tcPr>
            <w:tcW w:w="968" w:type="dxa"/>
            <w:tcBorders>
              <w:top w:val="nil"/>
              <w:left w:val="nil"/>
              <w:bottom w:val="single" w:color="auto" w:sz="4" w:space="0"/>
              <w:right w:val="single" w:color="auto" w:sz="4" w:space="0"/>
            </w:tcBorders>
            <w:noWrap w:val="0"/>
            <w:vAlign w:val="center"/>
          </w:tcPr>
          <w:p w14:paraId="0FAD66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420.41</w:t>
            </w:r>
          </w:p>
        </w:tc>
        <w:tc>
          <w:tcPr>
            <w:tcW w:w="568" w:type="dxa"/>
            <w:tcBorders>
              <w:top w:val="nil"/>
              <w:left w:val="nil"/>
              <w:bottom w:val="single" w:color="auto" w:sz="4" w:space="0"/>
              <w:right w:val="single" w:color="auto" w:sz="4" w:space="0"/>
            </w:tcBorders>
            <w:noWrap w:val="0"/>
            <w:vAlign w:val="center"/>
          </w:tcPr>
          <w:p w14:paraId="32555DC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0"/>
            <w:vAlign w:val="center"/>
          </w:tcPr>
          <w:p w14:paraId="1BA6960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noWrap w:val="0"/>
            <w:vAlign w:val="center"/>
          </w:tcPr>
          <w:p w14:paraId="194ACD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313583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3A0BD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17E9AC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w:t>
            </w:r>
          </w:p>
        </w:tc>
        <w:tc>
          <w:tcPr>
            <w:tcW w:w="1639" w:type="dxa"/>
            <w:tcBorders>
              <w:top w:val="nil"/>
              <w:left w:val="nil"/>
              <w:bottom w:val="single" w:color="auto" w:sz="4" w:space="0"/>
              <w:right w:val="single" w:color="auto" w:sz="4" w:space="0"/>
            </w:tcBorders>
            <w:noWrap w:val="0"/>
            <w:vAlign w:val="center"/>
          </w:tcPr>
          <w:p w14:paraId="63ABCCA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145" w:type="dxa"/>
            <w:tcBorders>
              <w:top w:val="nil"/>
              <w:left w:val="nil"/>
              <w:bottom w:val="single" w:color="auto" w:sz="4" w:space="0"/>
              <w:right w:val="single" w:color="auto" w:sz="4" w:space="0"/>
            </w:tcBorders>
            <w:noWrap w:val="0"/>
            <w:vAlign w:val="center"/>
          </w:tcPr>
          <w:p w14:paraId="5F3DAE8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144.73</w:t>
            </w:r>
          </w:p>
        </w:tc>
        <w:tc>
          <w:tcPr>
            <w:tcW w:w="968" w:type="dxa"/>
            <w:tcBorders>
              <w:top w:val="nil"/>
              <w:left w:val="nil"/>
              <w:bottom w:val="single" w:color="auto" w:sz="4" w:space="0"/>
              <w:right w:val="single" w:color="auto" w:sz="4" w:space="0"/>
            </w:tcBorders>
            <w:noWrap w:val="0"/>
            <w:vAlign w:val="center"/>
          </w:tcPr>
          <w:p w14:paraId="6FA258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144.73</w:t>
            </w:r>
          </w:p>
        </w:tc>
        <w:tc>
          <w:tcPr>
            <w:tcW w:w="568" w:type="dxa"/>
            <w:tcBorders>
              <w:top w:val="nil"/>
              <w:left w:val="nil"/>
              <w:bottom w:val="single" w:color="auto" w:sz="4" w:space="0"/>
              <w:right w:val="single" w:color="auto" w:sz="4" w:space="0"/>
            </w:tcBorders>
            <w:noWrap w:val="0"/>
            <w:vAlign w:val="center"/>
          </w:tcPr>
          <w:p w14:paraId="3F5776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2D269E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72B295F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4FCF898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71226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71D4DD9E">
            <w:pPr>
              <w:keepNext w:val="0"/>
              <w:keepLines w:val="0"/>
              <w:pageBreakBefore w:val="0"/>
              <w:widowControl/>
              <w:kinsoku/>
              <w:wordWrap/>
              <w:overflowPunct/>
              <w:topLinePunct w:val="0"/>
              <w:autoSpaceDE/>
              <w:autoSpaceDN/>
              <w:bidi w:val="0"/>
              <w:adjustRightInd/>
              <w:snapToGrid/>
              <w:spacing w:line="260" w:lineRule="exact"/>
              <w:ind w:firstLine="600" w:firstLineChars="30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w:t>
            </w:r>
          </w:p>
        </w:tc>
        <w:tc>
          <w:tcPr>
            <w:tcW w:w="1639" w:type="dxa"/>
            <w:tcBorders>
              <w:top w:val="nil"/>
              <w:left w:val="nil"/>
              <w:bottom w:val="single" w:color="auto" w:sz="4" w:space="0"/>
              <w:right w:val="single" w:color="auto" w:sz="4" w:space="0"/>
            </w:tcBorders>
            <w:noWrap w:val="0"/>
            <w:vAlign w:val="center"/>
          </w:tcPr>
          <w:p w14:paraId="032C82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145" w:type="dxa"/>
            <w:tcBorders>
              <w:top w:val="nil"/>
              <w:left w:val="nil"/>
              <w:bottom w:val="single" w:color="auto" w:sz="4" w:space="0"/>
              <w:right w:val="single" w:color="auto" w:sz="4" w:space="0"/>
            </w:tcBorders>
            <w:noWrap w:val="0"/>
            <w:vAlign w:val="center"/>
          </w:tcPr>
          <w:p w14:paraId="1D7A8E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968" w:type="dxa"/>
            <w:tcBorders>
              <w:top w:val="nil"/>
              <w:left w:val="nil"/>
              <w:bottom w:val="single" w:color="auto" w:sz="4" w:space="0"/>
              <w:right w:val="single" w:color="auto" w:sz="4" w:space="0"/>
            </w:tcBorders>
            <w:noWrap w:val="0"/>
            <w:vAlign w:val="center"/>
          </w:tcPr>
          <w:p w14:paraId="2DAED1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568" w:type="dxa"/>
            <w:tcBorders>
              <w:top w:val="nil"/>
              <w:left w:val="nil"/>
              <w:bottom w:val="single" w:color="auto" w:sz="4" w:space="0"/>
              <w:right w:val="single" w:color="auto" w:sz="4" w:space="0"/>
            </w:tcBorders>
            <w:noWrap w:val="0"/>
            <w:vAlign w:val="center"/>
          </w:tcPr>
          <w:p w14:paraId="7939D8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4EEF9C5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01EEA5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49D1483">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960CD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2E8E6377">
            <w:pPr>
              <w:keepNext w:val="0"/>
              <w:keepLines w:val="0"/>
              <w:pageBreakBefore w:val="0"/>
              <w:widowControl/>
              <w:kinsoku/>
              <w:wordWrap/>
              <w:overflowPunct/>
              <w:topLinePunct w:val="0"/>
              <w:autoSpaceDE/>
              <w:autoSpaceDN/>
              <w:bidi w:val="0"/>
              <w:adjustRightInd/>
              <w:snapToGrid/>
              <w:spacing w:line="260" w:lineRule="exact"/>
              <w:ind w:firstLine="600" w:firstLineChars="30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639" w:type="dxa"/>
            <w:tcBorders>
              <w:top w:val="nil"/>
              <w:left w:val="nil"/>
              <w:bottom w:val="single" w:color="auto" w:sz="4" w:space="0"/>
              <w:right w:val="single" w:color="auto" w:sz="4" w:space="0"/>
            </w:tcBorders>
            <w:noWrap w:val="0"/>
            <w:vAlign w:val="center"/>
          </w:tcPr>
          <w:p w14:paraId="204EC2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145" w:type="dxa"/>
            <w:tcBorders>
              <w:top w:val="nil"/>
              <w:left w:val="nil"/>
              <w:bottom w:val="single" w:color="auto" w:sz="4" w:space="0"/>
              <w:right w:val="single" w:color="auto" w:sz="4" w:space="0"/>
            </w:tcBorders>
            <w:noWrap w:val="0"/>
            <w:vAlign w:val="center"/>
          </w:tcPr>
          <w:p w14:paraId="69C9C8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968" w:type="dxa"/>
            <w:tcBorders>
              <w:top w:val="nil"/>
              <w:left w:val="nil"/>
              <w:bottom w:val="single" w:color="auto" w:sz="4" w:space="0"/>
              <w:right w:val="single" w:color="auto" w:sz="4" w:space="0"/>
            </w:tcBorders>
            <w:noWrap w:val="0"/>
            <w:vAlign w:val="center"/>
          </w:tcPr>
          <w:p w14:paraId="61C389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568" w:type="dxa"/>
            <w:tcBorders>
              <w:top w:val="nil"/>
              <w:left w:val="nil"/>
              <w:bottom w:val="single" w:color="auto" w:sz="4" w:space="0"/>
              <w:right w:val="single" w:color="auto" w:sz="4" w:space="0"/>
            </w:tcBorders>
            <w:noWrap w:val="0"/>
            <w:vAlign w:val="center"/>
          </w:tcPr>
          <w:p w14:paraId="7C68BC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660A71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06D1FDF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0AE80693">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3F63D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944" w:type="dxa"/>
            <w:gridSpan w:val="4"/>
            <w:tcBorders>
              <w:top w:val="single" w:color="auto" w:sz="4" w:space="0"/>
              <w:left w:val="nil"/>
              <w:bottom w:val="single" w:color="auto" w:sz="4" w:space="0"/>
              <w:right w:val="single" w:color="000000" w:sz="4" w:space="0"/>
            </w:tcBorders>
            <w:noWrap w:val="0"/>
            <w:vAlign w:val="center"/>
          </w:tcPr>
          <w:p w14:paraId="5B67F8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3827" w:type="dxa"/>
            <w:gridSpan w:val="4"/>
            <w:tcBorders>
              <w:top w:val="single" w:color="auto" w:sz="4" w:space="0"/>
              <w:left w:val="nil"/>
              <w:bottom w:val="single" w:color="auto" w:sz="4" w:space="0"/>
              <w:right w:val="single" w:color="auto" w:sz="4" w:space="0"/>
            </w:tcBorders>
            <w:noWrap w:val="0"/>
            <w:vAlign w:val="center"/>
          </w:tcPr>
          <w:p w14:paraId="3E1403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w:t>
            </w:r>
          </w:p>
        </w:tc>
      </w:tr>
      <w:tr w14:paraId="7297A8F5">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89C68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4944" w:type="dxa"/>
            <w:gridSpan w:val="4"/>
            <w:tcBorders>
              <w:top w:val="single" w:color="auto" w:sz="4" w:space="0"/>
              <w:left w:val="nil"/>
              <w:bottom w:val="single" w:color="auto" w:sz="4" w:space="0"/>
              <w:right w:val="single" w:color="000000" w:sz="4" w:space="0"/>
            </w:tcBorders>
            <w:noWrap w:val="0"/>
            <w:vAlign w:val="center"/>
          </w:tcPr>
          <w:p w14:paraId="1112A09F">
            <w:pPr>
              <w:widowControl/>
              <w:numPr>
                <w:ilvl w:val="0"/>
                <w:numId w:val="0"/>
              </w:numPr>
              <w:jc w:val="center"/>
              <w:rPr>
                <w:rFonts w:hint="eastAsia" w:eastAsia="仿宋_GB2312"/>
                <w:kern w:val="0"/>
                <w:sz w:val="24"/>
                <w:lang w:eastAsia="zh-CN"/>
              </w:rPr>
            </w:pPr>
            <w:r>
              <w:rPr>
                <w:rFonts w:hint="eastAsia" w:eastAsia="仿宋_GB2312"/>
                <w:kern w:val="0"/>
                <w:sz w:val="24"/>
                <w:lang w:val="en-US" w:eastAsia="zh-CN"/>
              </w:rPr>
              <w:t>1.</w:t>
            </w:r>
            <w:r>
              <w:rPr>
                <w:rFonts w:hint="eastAsia" w:eastAsia="仿宋_GB2312"/>
                <w:kern w:val="0"/>
                <w:sz w:val="24"/>
              </w:rPr>
              <w:t>积极开展</w:t>
            </w:r>
            <w:r>
              <w:rPr>
                <w:rFonts w:hint="eastAsia" w:eastAsia="仿宋_GB2312"/>
                <w:kern w:val="0"/>
                <w:sz w:val="24"/>
                <w:lang w:eastAsia="zh-CN"/>
              </w:rPr>
              <w:t>农业</w:t>
            </w:r>
            <w:r>
              <w:rPr>
                <w:rFonts w:hint="eastAsia" w:eastAsia="仿宋_GB2312"/>
                <w:kern w:val="0"/>
                <w:sz w:val="24"/>
              </w:rPr>
              <w:t>技术示范推广</w:t>
            </w:r>
            <w:r>
              <w:rPr>
                <w:rFonts w:hint="eastAsia" w:eastAsia="仿宋_GB2312"/>
                <w:kern w:val="0"/>
                <w:sz w:val="24"/>
                <w:lang w:eastAsia="zh-CN"/>
              </w:rPr>
              <w:t>，建设农业实用技术示范基地</w:t>
            </w:r>
            <w:r>
              <w:rPr>
                <w:rFonts w:hint="eastAsia" w:eastAsia="仿宋_GB2312"/>
                <w:kern w:val="0"/>
                <w:sz w:val="24"/>
                <w:lang w:val="en-US" w:eastAsia="zh-CN"/>
              </w:rPr>
              <w:t>3个以上，</w:t>
            </w:r>
            <w:r>
              <w:rPr>
                <w:rFonts w:hint="eastAsia" w:eastAsia="仿宋_GB2312"/>
                <w:kern w:val="0"/>
                <w:sz w:val="24"/>
                <w:lang w:eastAsia="zh-CN"/>
              </w:rPr>
              <w:t>开展农业新型实用技术培训</w:t>
            </w:r>
            <w:r>
              <w:rPr>
                <w:rFonts w:hint="eastAsia" w:eastAsia="仿宋_GB2312"/>
                <w:kern w:val="0"/>
                <w:sz w:val="24"/>
                <w:lang w:val="en-US" w:eastAsia="zh-CN"/>
              </w:rPr>
              <w:t>100人次以上，</w:t>
            </w:r>
            <w:r>
              <w:rPr>
                <w:rFonts w:hint="eastAsia" w:eastAsia="仿宋_GB2312"/>
                <w:kern w:val="0"/>
                <w:sz w:val="24"/>
                <w:lang w:eastAsia="zh-CN"/>
              </w:rPr>
              <w:t>助力农业稳产增产、农民稳步增收；</w:t>
            </w:r>
          </w:p>
          <w:p w14:paraId="3FB223CF">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2.推广示范特色优质高效种养技术2个以上，打造特色农产品品牌；</w:t>
            </w:r>
          </w:p>
          <w:p w14:paraId="66E86DE2">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3.推广绿色循环种养模式，推进化肥农药减量，促进农业生产可持续发展；</w:t>
            </w:r>
          </w:p>
          <w:p w14:paraId="65660AF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val="en-US" w:eastAsia="zh-CN"/>
              </w:rPr>
              <w:t>4.</w:t>
            </w:r>
            <w:r>
              <w:rPr>
                <w:rFonts w:hint="eastAsia" w:eastAsia="仿宋_GB2312"/>
                <w:kern w:val="0"/>
                <w:sz w:val="24"/>
              </w:rPr>
              <w:t>社会公众和农户对农业</w:t>
            </w:r>
            <w:r>
              <w:rPr>
                <w:rFonts w:hint="eastAsia" w:eastAsia="仿宋_GB2312"/>
                <w:kern w:val="0"/>
                <w:sz w:val="24"/>
                <w:lang w:eastAsia="zh-CN"/>
              </w:rPr>
              <w:t>技术推广</w:t>
            </w:r>
            <w:r>
              <w:rPr>
                <w:rFonts w:hint="eastAsia" w:eastAsia="仿宋_GB2312"/>
                <w:kern w:val="0"/>
                <w:sz w:val="24"/>
              </w:rPr>
              <w:t>专项高度满意。</w:t>
            </w:r>
          </w:p>
        </w:tc>
        <w:tc>
          <w:tcPr>
            <w:tcW w:w="3827" w:type="dxa"/>
            <w:gridSpan w:val="4"/>
            <w:tcBorders>
              <w:top w:val="single" w:color="auto" w:sz="4" w:space="0"/>
              <w:left w:val="nil"/>
              <w:bottom w:val="single" w:color="auto" w:sz="4" w:space="0"/>
              <w:right w:val="single" w:color="auto" w:sz="4" w:space="0"/>
            </w:tcBorders>
            <w:noWrap w:val="0"/>
            <w:vAlign w:val="center"/>
          </w:tcPr>
          <w:p w14:paraId="470ED8F6">
            <w:pPr>
              <w:widowControl/>
              <w:numPr>
                <w:ilvl w:val="0"/>
                <w:numId w:val="0"/>
              </w:numPr>
              <w:jc w:val="center"/>
              <w:rPr>
                <w:rFonts w:hint="eastAsia" w:eastAsia="仿宋_GB2312"/>
                <w:kern w:val="0"/>
                <w:sz w:val="24"/>
                <w:lang w:eastAsia="zh-CN"/>
              </w:rPr>
            </w:pPr>
            <w:r>
              <w:rPr>
                <w:rFonts w:hint="eastAsia" w:eastAsia="仿宋_GB2312"/>
                <w:kern w:val="0"/>
                <w:sz w:val="24"/>
                <w:lang w:val="en-US" w:eastAsia="zh-CN"/>
              </w:rPr>
              <w:t>1.</w:t>
            </w:r>
            <w:r>
              <w:rPr>
                <w:rFonts w:hint="eastAsia" w:eastAsia="仿宋_GB2312"/>
                <w:kern w:val="0"/>
                <w:sz w:val="24"/>
              </w:rPr>
              <w:t>积极开展</w:t>
            </w:r>
            <w:r>
              <w:rPr>
                <w:rFonts w:hint="eastAsia" w:eastAsia="仿宋_GB2312"/>
                <w:kern w:val="0"/>
                <w:sz w:val="24"/>
                <w:lang w:eastAsia="zh-CN"/>
              </w:rPr>
              <w:t>农业</w:t>
            </w:r>
            <w:r>
              <w:rPr>
                <w:rFonts w:hint="eastAsia" w:eastAsia="仿宋_GB2312"/>
                <w:kern w:val="0"/>
                <w:sz w:val="24"/>
              </w:rPr>
              <w:t>技术示范推广</w:t>
            </w:r>
            <w:r>
              <w:rPr>
                <w:rFonts w:hint="eastAsia" w:eastAsia="仿宋_GB2312"/>
                <w:kern w:val="0"/>
                <w:sz w:val="24"/>
                <w:lang w:eastAsia="zh-CN"/>
              </w:rPr>
              <w:t>，建设农业实用技术示范基地</w:t>
            </w:r>
            <w:r>
              <w:rPr>
                <w:rFonts w:hint="eastAsia" w:eastAsia="仿宋_GB2312"/>
                <w:kern w:val="0"/>
                <w:sz w:val="24"/>
                <w:lang w:val="en-US" w:eastAsia="zh-CN"/>
              </w:rPr>
              <w:t>3个以上，</w:t>
            </w:r>
            <w:r>
              <w:rPr>
                <w:rFonts w:hint="eastAsia" w:eastAsia="仿宋_GB2312"/>
                <w:kern w:val="0"/>
                <w:sz w:val="24"/>
                <w:lang w:eastAsia="zh-CN"/>
              </w:rPr>
              <w:t>开展农业新型实用技术培训</w:t>
            </w:r>
            <w:r>
              <w:rPr>
                <w:rFonts w:hint="eastAsia" w:eastAsia="仿宋_GB2312"/>
                <w:kern w:val="0"/>
                <w:sz w:val="24"/>
                <w:lang w:val="en-US" w:eastAsia="zh-CN"/>
              </w:rPr>
              <w:t>100人次以上，</w:t>
            </w:r>
            <w:r>
              <w:rPr>
                <w:rFonts w:hint="eastAsia" w:eastAsia="仿宋_GB2312"/>
                <w:kern w:val="0"/>
                <w:sz w:val="24"/>
                <w:lang w:eastAsia="zh-CN"/>
              </w:rPr>
              <w:t>助力农业稳产增产、农民稳步增收；</w:t>
            </w:r>
          </w:p>
          <w:p w14:paraId="07997D6D">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2.推广示范特色优质高效种养技术2个以上，打造特色农产品品牌；</w:t>
            </w:r>
          </w:p>
          <w:p w14:paraId="636C53F6">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3.推广绿色循环种养模式，推进化肥农药减量，促进农业生产可持续发展；</w:t>
            </w:r>
          </w:p>
          <w:p w14:paraId="3161451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val="en-US" w:eastAsia="zh-CN"/>
              </w:rPr>
              <w:t>4.</w:t>
            </w:r>
            <w:r>
              <w:rPr>
                <w:rFonts w:hint="eastAsia" w:eastAsia="仿宋_GB2312"/>
                <w:kern w:val="0"/>
                <w:sz w:val="24"/>
              </w:rPr>
              <w:t>社会公众和农户对农业</w:t>
            </w:r>
            <w:r>
              <w:rPr>
                <w:rFonts w:hint="eastAsia" w:eastAsia="仿宋_GB2312"/>
                <w:kern w:val="0"/>
                <w:sz w:val="24"/>
                <w:lang w:eastAsia="zh-CN"/>
              </w:rPr>
              <w:t>技术推广</w:t>
            </w:r>
            <w:r>
              <w:rPr>
                <w:rFonts w:hint="eastAsia" w:eastAsia="仿宋_GB2312"/>
                <w:kern w:val="0"/>
                <w:sz w:val="24"/>
              </w:rPr>
              <w:t>专项高度满意。</w:t>
            </w:r>
          </w:p>
        </w:tc>
      </w:tr>
      <w:tr w14:paraId="4F05E04E">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1BAF0FC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0A27E4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68A1D6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2C784DC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0"/>
            <w:vAlign w:val="center"/>
          </w:tcPr>
          <w:p w14:paraId="780ABF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14:paraId="3EA42B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639" w:type="dxa"/>
            <w:tcBorders>
              <w:top w:val="nil"/>
              <w:left w:val="nil"/>
              <w:bottom w:val="single" w:color="auto" w:sz="4" w:space="0"/>
              <w:right w:val="single" w:color="auto" w:sz="4" w:space="0"/>
            </w:tcBorders>
            <w:noWrap w:val="0"/>
            <w:vAlign w:val="center"/>
          </w:tcPr>
          <w:p w14:paraId="302E29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45" w:type="dxa"/>
            <w:tcBorders>
              <w:top w:val="nil"/>
              <w:left w:val="nil"/>
              <w:bottom w:val="single" w:color="auto" w:sz="4" w:space="0"/>
              <w:right w:val="single" w:color="auto" w:sz="4" w:space="0"/>
            </w:tcBorders>
            <w:noWrap w:val="0"/>
            <w:vAlign w:val="center"/>
          </w:tcPr>
          <w:p w14:paraId="7B8B34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68A1FF4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968" w:type="dxa"/>
            <w:tcBorders>
              <w:top w:val="nil"/>
              <w:left w:val="nil"/>
              <w:bottom w:val="single" w:color="auto" w:sz="4" w:space="0"/>
              <w:right w:val="single" w:color="auto" w:sz="4" w:space="0"/>
            </w:tcBorders>
            <w:noWrap w:val="0"/>
            <w:vAlign w:val="center"/>
          </w:tcPr>
          <w:p w14:paraId="2E63F7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70FEBA6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568" w:type="dxa"/>
            <w:tcBorders>
              <w:top w:val="nil"/>
              <w:left w:val="nil"/>
              <w:bottom w:val="single" w:color="auto" w:sz="4" w:space="0"/>
              <w:right w:val="single" w:color="auto" w:sz="4" w:space="0"/>
            </w:tcBorders>
            <w:noWrap w:val="0"/>
            <w:vAlign w:val="center"/>
          </w:tcPr>
          <w:p w14:paraId="1A5312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14:paraId="6DD6020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0"/>
            <w:vAlign w:val="center"/>
          </w:tcPr>
          <w:p w14:paraId="5F70D4B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169876B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0F272E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6C2082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FF6DB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0228981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A7B67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4074D3F5">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建设农业技术示范基地</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F10329C">
            <w:pPr>
              <w:widowControl/>
              <w:jc w:val="center"/>
              <w:rPr>
                <w:rFonts w:hint="eastAsia" w:ascii="仿宋" w:hAnsi="仿宋" w:eastAsia="宋体"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3个</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1F176E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568" w:type="dxa"/>
            <w:vMerge w:val="restart"/>
            <w:tcBorders>
              <w:top w:val="single" w:color="auto" w:sz="4" w:space="0"/>
              <w:left w:val="single" w:color="auto" w:sz="4" w:space="0"/>
              <w:bottom w:val="single" w:color="auto" w:sz="4" w:space="0"/>
              <w:right w:val="single" w:color="auto" w:sz="4" w:space="0"/>
            </w:tcBorders>
            <w:noWrap w:val="0"/>
            <w:vAlign w:val="center"/>
          </w:tcPr>
          <w:p w14:paraId="584595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lang w:val="en-US" w:eastAsia="zh-CN"/>
              </w:rPr>
              <w:t>20</w:t>
            </w:r>
          </w:p>
        </w:tc>
        <w:tc>
          <w:tcPr>
            <w:tcW w:w="873" w:type="dxa"/>
            <w:vMerge w:val="restart"/>
            <w:tcBorders>
              <w:top w:val="single" w:color="auto" w:sz="4" w:space="0"/>
              <w:left w:val="single" w:color="auto" w:sz="4" w:space="0"/>
              <w:bottom w:val="single" w:color="auto" w:sz="4" w:space="0"/>
              <w:right w:val="single" w:color="auto" w:sz="4" w:space="0"/>
            </w:tcBorders>
            <w:noWrap w:val="0"/>
            <w:vAlign w:val="center"/>
          </w:tcPr>
          <w:p w14:paraId="18E0D3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20</w:t>
            </w:r>
          </w:p>
        </w:tc>
        <w:tc>
          <w:tcPr>
            <w:tcW w:w="1418" w:type="dxa"/>
            <w:vMerge w:val="restart"/>
            <w:tcBorders>
              <w:top w:val="single" w:color="auto" w:sz="4" w:space="0"/>
              <w:left w:val="single" w:color="auto" w:sz="4" w:space="0"/>
              <w:bottom w:val="single" w:color="auto" w:sz="4" w:space="0"/>
              <w:right w:val="single" w:color="auto" w:sz="4" w:space="0"/>
            </w:tcBorders>
            <w:noWrap w:val="0"/>
            <w:vAlign w:val="center"/>
          </w:tcPr>
          <w:p w14:paraId="0C06321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2726A95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39D240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4960E6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605394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6BC9BB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FE4776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688C3C26">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特色优质高效种养技术</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4ABFE571">
            <w:pPr>
              <w:widowControl/>
              <w:jc w:val="center"/>
              <w:rPr>
                <w:rFonts w:hint="eastAsia" w:ascii="宋体" w:hAnsi="宋体" w:eastAsia="宋体" w:cs="宋体"/>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2个</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7978FB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165D42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1F281A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29B6F7B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3ED037B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AD4189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76E523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733DF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46755E91">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农业技术培训人数</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19801E44">
            <w:pPr>
              <w:widowControl/>
              <w:jc w:val="center"/>
              <w:rPr>
                <w:rFonts w:hint="eastAsia" w:ascii="仿宋" w:hAnsi="仿宋" w:eastAsia="宋体"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100人次</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5778E8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39670FE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39B75B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5EB5D9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67674FE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19EF641">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177793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12405C1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1E573F10">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农产品品质</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167AE69D">
            <w:pPr>
              <w:widowControl/>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优质高产</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1A8B410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高产</w:t>
            </w:r>
          </w:p>
        </w:tc>
        <w:tc>
          <w:tcPr>
            <w:tcW w:w="568" w:type="dxa"/>
            <w:vMerge w:val="restart"/>
            <w:tcBorders>
              <w:top w:val="single" w:color="auto" w:sz="4" w:space="0"/>
              <w:left w:val="single" w:color="auto" w:sz="4" w:space="0"/>
              <w:bottom w:val="single" w:color="auto" w:sz="4" w:space="0"/>
              <w:right w:val="single" w:color="auto" w:sz="4" w:space="0"/>
            </w:tcBorders>
            <w:noWrap w:val="0"/>
            <w:vAlign w:val="center"/>
          </w:tcPr>
          <w:p w14:paraId="4399AA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vMerge w:val="restart"/>
            <w:tcBorders>
              <w:top w:val="single" w:color="auto" w:sz="4" w:space="0"/>
              <w:left w:val="single" w:color="auto" w:sz="4" w:space="0"/>
              <w:bottom w:val="single" w:color="auto" w:sz="4" w:space="0"/>
              <w:right w:val="single" w:color="auto" w:sz="4" w:space="0"/>
            </w:tcBorders>
            <w:noWrap w:val="0"/>
            <w:vAlign w:val="center"/>
          </w:tcPr>
          <w:p w14:paraId="777637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vMerge w:val="restart"/>
            <w:tcBorders>
              <w:top w:val="single" w:color="auto" w:sz="4" w:space="0"/>
              <w:left w:val="single" w:color="auto" w:sz="4" w:space="0"/>
              <w:bottom w:val="single" w:color="auto" w:sz="4" w:space="0"/>
              <w:right w:val="single" w:color="auto" w:sz="4" w:space="0"/>
            </w:tcBorders>
            <w:noWrap w:val="0"/>
            <w:vAlign w:val="center"/>
          </w:tcPr>
          <w:p w14:paraId="25F2E8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38733ECD">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0"/>
            <w:vAlign w:val="center"/>
          </w:tcPr>
          <w:p w14:paraId="3EDE029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E67478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2A7BCB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79E4DDD3">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主推技术到位率</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0AFDAAA7">
            <w:pPr>
              <w:widowControl/>
              <w:jc w:val="center"/>
              <w:rPr>
                <w:rFonts w:hint="eastAsia" w:ascii="宋体" w:hAnsi="宋体" w:eastAsia="宋体" w:cs="宋体"/>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95%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47533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95%</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114813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51B7DA3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2229673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287AC426">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577F07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68D64A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78BB3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6C93B5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年度项目开展执行率</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2F5030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宋体" w:hAnsi="宋体" w:eastAsia="宋体" w:cs="宋体"/>
                <w:kern w:val="0"/>
                <w:sz w:val="24"/>
                <w:lang w:val="en-US" w:eastAsia="zh-CN"/>
              </w:rPr>
              <w:t>10</w:t>
            </w:r>
            <w:r>
              <w:rPr>
                <w:rFonts w:hint="eastAsia" w:eastAsia="仿宋_GB2312"/>
                <w:kern w:val="0"/>
                <w:sz w:val="24"/>
                <w:lang w:val="en-US" w:eastAsia="zh-CN"/>
              </w:rPr>
              <w:t>0%</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7C9E7E2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5C5613D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C1B9C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6EDF26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6E2374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4E12D2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4EC359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48C0403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0D2A1907">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促进示范片生产成本下降</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1ABF4A9C">
            <w:pPr>
              <w:widowControl/>
              <w:jc w:val="center"/>
              <w:rPr>
                <w:rFonts w:hint="eastAsia" w:ascii="仿宋" w:hAnsi="仿宋" w:eastAsia="仿宋_GB2312"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784F88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32C1339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F0F65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E06CD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1B8F1AE">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9E63EF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A0325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6C89710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nil"/>
              <w:bottom w:val="single" w:color="auto" w:sz="4" w:space="0"/>
              <w:right w:val="single" w:color="auto" w:sz="4" w:space="0"/>
            </w:tcBorders>
            <w:noWrap w:val="0"/>
            <w:vAlign w:val="center"/>
          </w:tcPr>
          <w:p w14:paraId="4DD4F550">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严格执行资金预算管理</w:t>
            </w:r>
          </w:p>
        </w:tc>
        <w:tc>
          <w:tcPr>
            <w:tcW w:w="1145" w:type="dxa"/>
            <w:tcBorders>
              <w:top w:val="single" w:color="auto" w:sz="4" w:space="0"/>
              <w:left w:val="nil"/>
              <w:bottom w:val="single" w:color="auto" w:sz="4" w:space="0"/>
              <w:right w:val="single" w:color="auto" w:sz="4" w:space="0"/>
            </w:tcBorders>
            <w:noWrap w:val="0"/>
            <w:vAlign w:val="center"/>
          </w:tcPr>
          <w:p w14:paraId="61121EED">
            <w:pPr>
              <w:widowControl/>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100%</w:t>
            </w:r>
          </w:p>
        </w:tc>
        <w:tc>
          <w:tcPr>
            <w:tcW w:w="968" w:type="dxa"/>
            <w:tcBorders>
              <w:top w:val="single" w:color="auto" w:sz="4" w:space="0"/>
              <w:left w:val="nil"/>
              <w:bottom w:val="single" w:color="auto" w:sz="4" w:space="0"/>
              <w:right w:val="single" w:color="auto" w:sz="4" w:space="0"/>
            </w:tcBorders>
            <w:noWrap w:val="0"/>
            <w:vAlign w:val="center"/>
          </w:tcPr>
          <w:p w14:paraId="1D0A7BF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tcBorders>
              <w:top w:val="single" w:color="auto" w:sz="4" w:space="0"/>
              <w:left w:val="nil"/>
              <w:bottom w:val="single" w:color="auto" w:sz="4" w:space="0"/>
              <w:right w:val="single" w:color="auto" w:sz="4" w:space="0"/>
            </w:tcBorders>
            <w:noWrap w:val="0"/>
            <w:vAlign w:val="center"/>
          </w:tcPr>
          <w:p w14:paraId="1597E83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14:paraId="27A88C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14:paraId="0A0A22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E0898A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509A46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63937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08559C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00D70C3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233DEB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8BFB60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678B937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0A1C6D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示范片农户增收</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4B6142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3618DC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41D8972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54A05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595F99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188EC2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0E7AB1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8F1DA8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CB9F38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3F3D5F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3E03A92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Times New Roman" w:hAnsi="Times New Roman" w:eastAsia="仿宋_GB2312" w:cs="Times New Roman"/>
                <w:kern w:val="0"/>
                <w:sz w:val="24"/>
                <w:lang w:val="en-US" w:eastAsia="zh-CN"/>
              </w:rPr>
              <w:t>农业科技水平和农民生产积极性</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1001FC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增强</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7AC7565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增强</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0720279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5BDAAFA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44C875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10D089D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6A4547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76004B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9BBD65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5D5E2D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20BE31D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农业生态环保意识</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DF5F5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持续增强</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34147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增强</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1390D50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76F79F0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735A5F0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0A0468B5">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0599E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C504C8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808D94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641B44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减肥减药绿色生产方式</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70CC9B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逐步推广普及</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3C3AE95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逐步推广</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2258E52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D34C94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012CE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A11FE4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E13BEF0">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68B3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16A691C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72E551F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AE521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10F645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指导服务对象满意度</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8E9FF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90%</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749284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w:t>
            </w:r>
          </w:p>
        </w:tc>
        <w:tc>
          <w:tcPr>
            <w:tcW w:w="568" w:type="dxa"/>
            <w:tcBorders>
              <w:top w:val="nil"/>
              <w:left w:val="nil"/>
              <w:bottom w:val="single" w:color="auto" w:sz="4" w:space="0"/>
              <w:right w:val="single" w:color="auto" w:sz="4" w:space="0"/>
            </w:tcBorders>
            <w:noWrap w:val="0"/>
            <w:vAlign w:val="center"/>
          </w:tcPr>
          <w:p w14:paraId="12BE5C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64AE317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w:t>
            </w:r>
          </w:p>
        </w:tc>
        <w:tc>
          <w:tcPr>
            <w:tcW w:w="1418" w:type="dxa"/>
            <w:tcBorders>
              <w:top w:val="nil"/>
              <w:left w:val="nil"/>
              <w:bottom w:val="single" w:color="auto" w:sz="4" w:space="0"/>
              <w:right w:val="single" w:color="auto" w:sz="4" w:space="0"/>
            </w:tcBorders>
            <w:noWrap w:val="0"/>
            <w:vAlign w:val="center"/>
          </w:tcPr>
          <w:p w14:paraId="541B6B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AA1D98A">
        <w:tblPrEx>
          <w:tblCellMar>
            <w:top w:w="0" w:type="dxa"/>
            <w:left w:w="108" w:type="dxa"/>
            <w:bottom w:w="0" w:type="dxa"/>
            <w:right w:w="108" w:type="dxa"/>
          </w:tblCellMar>
        </w:tblPrEx>
        <w:trPr>
          <w:jc w:val="center"/>
        </w:trPr>
        <w:tc>
          <w:tcPr>
            <w:tcW w:w="6992" w:type="dxa"/>
            <w:gridSpan w:val="6"/>
            <w:tcBorders>
              <w:top w:val="single" w:color="auto" w:sz="4" w:space="0"/>
              <w:left w:val="single" w:color="auto" w:sz="4" w:space="0"/>
              <w:bottom w:val="single" w:color="auto" w:sz="4" w:space="0"/>
              <w:right w:val="single" w:color="000000" w:sz="4" w:space="0"/>
            </w:tcBorders>
            <w:noWrap w:val="0"/>
            <w:vAlign w:val="center"/>
          </w:tcPr>
          <w:p w14:paraId="462FA2C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568" w:type="dxa"/>
            <w:tcBorders>
              <w:top w:val="nil"/>
              <w:left w:val="nil"/>
              <w:bottom w:val="single" w:color="auto" w:sz="4" w:space="0"/>
              <w:right w:val="single" w:color="auto" w:sz="4" w:space="0"/>
            </w:tcBorders>
            <w:noWrap w:val="0"/>
            <w:vAlign w:val="center"/>
          </w:tcPr>
          <w:p w14:paraId="2A1E69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14:paraId="21EBB01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97</w:t>
            </w:r>
          </w:p>
        </w:tc>
        <w:tc>
          <w:tcPr>
            <w:tcW w:w="1418" w:type="dxa"/>
            <w:tcBorders>
              <w:top w:val="nil"/>
              <w:left w:val="nil"/>
              <w:bottom w:val="single" w:color="auto" w:sz="4" w:space="0"/>
              <w:right w:val="single" w:color="auto" w:sz="4" w:space="0"/>
            </w:tcBorders>
            <w:noWrap w:val="0"/>
            <w:vAlign w:val="center"/>
          </w:tcPr>
          <w:p w14:paraId="444796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bl>
    <w:p w14:paraId="6AC9BDC9">
      <w:pPr>
        <w:pStyle w:val="9"/>
        <w:ind w:left="0" w:leftChars="0" w:firstLine="0" w:firstLineChars="0"/>
        <w:rPr>
          <w:rFonts w:hint="default" w:ascii="宋体" w:hAnsi="宋体" w:eastAsia="宋体" w:cs="Times New Roman"/>
          <w:sz w:val="32"/>
          <w:szCs w:val="24"/>
          <w:lang w:val="zh-CN" w:eastAsia="zh-CN" w:bidi="ar"/>
        </w:rPr>
      </w:pPr>
      <w:bookmarkStart w:id="3" w:name="_GoBack"/>
      <w:bookmarkEnd w:id="3"/>
    </w:p>
    <w:p w14:paraId="4BCBFE48">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p>
    <w:p w14:paraId="7B278DB9"/>
    <w:p w14:paraId="59C86D10">
      <w:pPr>
        <w:pStyle w:val="9"/>
      </w:pPr>
    </w:p>
    <w:p w14:paraId="333FF0F1">
      <w:pPr>
        <w:pStyle w:val="9"/>
      </w:pPr>
    </w:p>
    <w:p w14:paraId="6AF359EC">
      <w:pPr>
        <w:pStyle w:val="9"/>
      </w:pPr>
    </w:p>
    <w:p w14:paraId="5A2B42BC">
      <w:pPr>
        <w:pStyle w:val="9"/>
      </w:pPr>
    </w:p>
    <w:p w14:paraId="3D93F03B">
      <w:pPr>
        <w:pStyle w:val="9"/>
      </w:pPr>
    </w:p>
    <w:p w14:paraId="67619515">
      <w:pPr>
        <w:pStyle w:val="9"/>
      </w:pPr>
    </w:p>
    <w:p w14:paraId="0AAB3312">
      <w:pPr>
        <w:pStyle w:val="9"/>
      </w:pPr>
    </w:p>
    <w:p w14:paraId="58DD0DB9">
      <w:pPr>
        <w:pStyle w:val="9"/>
      </w:pPr>
    </w:p>
    <w:p w14:paraId="0A50855A">
      <w:pPr>
        <w:pStyle w:val="9"/>
      </w:pPr>
    </w:p>
    <w:p w14:paraId="330CF634">
      <w:pPr>
        <w:pStyle w:val="9"/>
      </w:pPr>
    </w:p>
    <w:p w14:paraId="47A45405">
      <w:pPr>
        <w:pStyle w:val="9"/>
      </w:pPr>
    </w:p>
    <w:p w14:paraId="19B397F6">
      <w:pPr>
        <w:pStyle w:val="9"/>
      </w:pPr>
    </w:p>
    <w:p w14:paraId="3FC53FF0">
      <w:pPr>
        <w:pStyle w:val="9"/>
      </w:pPr>
    </w:p>
    <w:p w14:paraId="1C8CA84C">
      <w:pPr>
        <w:pStyle w:val="9"/>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6AA9A">
    <w:pPr>
      <w:spacing w:line="177" w:lineRule="auto"/>
      <w:ind w:left="545"/>
      <w:rPr>
        <w:rFonts w:ascii="宋体" w:hAnsi="宋体" w:eastAsia="宋体" w:cs="宋体"/>
        <w:sz w:val="31"/>
        <w:szCs w:val="31"/>
      </w:rPr>
    </w:pPr>
    <w:r>
      <w:rPr>
        <w:rFonts w:ascii="宋体" w:hAnsi="宋体" w:eastAsia="宋体" w:cs="宋体"/>
        <w:spacing w:val="-4"/>
        <w:sz w:val="31"/>
        <w:szCs w:val="31"/>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55B0"/>
    <w:rsid w:val="09A920E8"/>
    <w:rsid w:val="0A5A5FF6"/>
    <w:rsid w:val="10A27B7D"/>
    <w:rsid w:val="2DF21419"/>
    <w:rsid w:val="35ED5087"/>
    <w:rsid w:val="38B90A1D"/>
    <w:rsid w:val="3AB4755E"/>
    <w:rsid w:val="3CB215A2"/>
    <w:rsid w:val="43561D30"/>
    <w:rsid w:val="50580E37"/>
    <w:rsid w:val="552031D3"/>
    <w:rsid w:val="57B91ABD"/>
    <w:rsid w:val="615F322C"/>
    <w:rsid w:val="6A9042E2"/>
    <w:rsid w:val="709D722B"/>
    <w:rsid w:val="781F11A1"/>
    <w:rsid w:val="7C1D1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Times New Roman" w:cs="Times New Roman"/>
      <w:kern w:val="2"/>
      <w:sz w:val="21"/>
      <w:szCs w:val="24"/>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99"/>
    <w:pPr>
      <w:spacing w:before="120" w:after="200" w:line="276" w:lineRule="auto"/>
    </w:pPr>
    <w:rPr>
      <w:rFonts w:ascii="Arial" w:hAnsi="Arial"/>
      <w:sz w:val="24"/>
    </w:rPr>
  </w:style>
  <w:style w:type="paragraph" w:styleId="4">
    <w:name w:val="Body Text"/>
    <w:basedOn w:val="1"/>
    <w:qFormat/>
    <w:uiPriority w:val="0"/>
    <w:rPr>
      <w:rFonts w:ascii="仿宋" w:hAnsi="仿宋" w:eastAsia="仿宋" w:cs="仿宋"/>
      <w:sz w:val="28"/>
      <w:szCs w:val="28"/>
      <w:lang w:val="zh-CN" w:bidi="zh-CN"/>
    </w:rPr>
  </w:style>
  <w:style w:type="paragraph" w:styleId="5">
    <w:name w:val="Body Text Indent"/>
    <w:basedOn w:val="1"/>
    <w:qFormat/>
    <w:uiPriority w:val="0"/>
    <w:pPr>
      <w:ind w:left="420" w:leftChars="200"/>
    </w:pPr>
  </w:style>
  <w:style w:type="paragraph" w:styleId="6">
    <w:name w:val="toc 1"/>
    <w:basedOn w:val="1"/>
    <w:next w:val="1"/>
    <w:qFormat/>
    <w:uiPriority w:val="99"/>
  </w:style>
  <w:style w:type="paragraph" w:styleId="7">
    <w:name w:val="footnote text"/>
    <w:basedOn w:val="1"/>
    <w:qFormat/>
    <w:uiPriority w:val="0"/>
    <w:pPr>
      <w:snapToGrid w:val="0"/>
      <w:jc w:val="left"/>
    </w:pPr>
    <w:rPr>
      <w:kern w:val="0"/>
      <w:sz w:val="18"/>
      <w:szCs w:val="18"/>
    </w:rPr>
  </w:style>
  <w:style w:type="paragraph" w:styleId="8">
    <w:name w:val="Normal (Web)"/>
    <w:basedOn w:val="1"/>
    <w:unhideWhenUsed/>
    <w:qFormat/>
    <w:uiPriority w:val="99"/>
    <w:pPr>
      <w:spacing w:before="100" w:beforeLines="0" w:beforeAutospacing="1" w:after="100" w:afterLines="0" w:afterAutospacing="1"/>
      <w:jc w:val="left"/>
    </w:pPr>
    <w:rPr>
      <w:rFonts w:hint="eastAsia"/>
      <w:kern w:val="0"/>
      <w:sz w:val="24"/>
      <w:szCs w:val="24"/>
      <w:lang w:val="en-US" w:eastAsia="zh-CN" w:bidi="ar"/>
    </w:rPr>
  </w:style>
  <w:style w:type="paragraph" w:styleId="9">
    <w:name w:val="Body Text First Indent"/>
    <w:basedOn w:val="4"/>
    <w:qFormat/>
    <w:uiPriority w:val="0"/>
    <w:pPr>
      <w:spacing w:line="500" w:lineRule="exact"/>
      <w:ind w:firstLine="420"/>
    </w:pPr>
    <w:rPr>
      <w:rFonts w:ascii="Calibri" w:hAnsi="Calibri" w:eastAsia="宋体" w:cs="Times New Roman"/>
      <w:szCs w:val="20"/>
    </w:rPr>
  </w:style>
  <w:style w:type="paragraph" w:styleId="10">
    <w:name w:val="Body Text First Indent 2"/>
    <w:basedOn w:val="5"/>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4">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6731</Words>
  <Characters>6977</Characters>
  <Lines>0</Lines>
  <Paragraphs>0</Paragraphs>
  <TotalTime>0</TotalTime>
  <ScaleCrop>false</ScaleCrop>
  <LinksUpToDate>false</LinksUpToDate>
  <CharactersWithSpaces>7012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2024-09-19T01:53:00Z</dcterms:created>
  <dc:creator>Administrator</dc:creator>
  <cp:lastModifiedBy>梁丽</cp:lastModifiedBy>
  <dcterms:modified xsi:type="dcterms:W3CDTF">2025-08-25T09:05:33Z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E0033CE0B84E4F7FAE537385FFA0EFC3</vt:lpwstr>
  </property>
  <property fmtid="{D5CDD505-2E9C-101B-9397-08002B2CF9AE}" pid="4" name="KSOTemplateDocerSaveRecord">
    <vt:lpwstr>eyJoZGlkIjoiODZjZmQ1YzRmN2ZjNTFhNjhiZDJjMDI3YzgzMmRiZjMiLCJ1c2VySWQiOiIxNDgxMDAxMjQzIn0=</vt:lpwstr>
  </property>
</Properties>
</file>