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jc w:val="center"/>
        <w:rPr>
          <w:sz w:val="56"/>
          <w:szCs w:val="56"/>
        </w:rPr>
      </w:pPr>
    </w:p>
    <w:p>
      <w:pPr>
        <w:pStyle w:val="15"/>
        <w:jc w:val="center"/>
        <w:rPr>
          <w:sz w:val="56"/>
          <w:szCs w:val="56"/>
        </w:rPr>
      </w:pPr>
    </w:p>
    <w:p>
      <w:pPr>
        <w:pStyle w:val="15"/>
        <w:jc w:val="center"/>
        <w:rPr>
          <w:sz w:val="84"/>
          <w:szCs w:val="84"/>
        </w:rPr>
      </w:pPr>
    </w:p>
    <w:p>
      <w:pPr>
        <w:pStyle w:val="15"/>
        <w:jc w:val="center"/>
        <w:rPr>
          <w:sz w:val="84"/>
          <w:szCs w:val="84"/>
        </w:rPr>
      </w:pPr>
    </w:p>
    <w:p>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pPr>
        <w:pStyle w:val="15"/>
        <w:jc w:val="center"/>
        <w:rPr>
          <w:rFonts w:hint="eastAsia" w:ascii="方正小标宋_GBK" w:hAnsi="方正小标宋_GBK" w:eastAsia="方正小标宋_GBK" w:cs="方正小标宋_GBK"/>
          <w:sz w:val="84"/>
          <w:szCs w:val="84"/>
          <w:lang w:eastAsia="zh-CN"/>
        </w:rPr>
      </w:pPr>
      <w:r>
        <w:rPr>
          <w:rFonts w:hint="eastAsia" w:ascii="方正小标宋_GBK" w:hAnsi="方正小标宋_GBK" w:eastAsia="方正小标宋_GBK" w:cs="方正小标宋_GBK"/>
          <w:sz w:val="84"/>
          <w:szCs w:val="84"/>
          <w:lang w:eastAsia="zh-CN"/>
        </w:rPr>
        <w:t>岳阳市农业科学研究院</w:t>
      </w:r>
    </w:p>
    <w:p>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eastAsia="zh-CN"/>
        </w:rPr>
        <w:t>部门</w:t>
      </w:r>
      <w:r>
        <w:rPr>
          <w:rFonts w:hint="eastAsia" w:ascii="方正小标宋_GBK" w:hAnsi="方正小标宋_GBK" w:eastAsia="方正小标宋_GBK" w:cs="方正小标宋_GBK"/>
          <w:sz w:val="84"/>
          <w:szCs w:val="84"/>
        </w:rPr>
        <w:t>决算</w:t>
      </w:r>
    </w:p>
    <w:p>
      <w:pPr>
        <w:pStyle w:val="15"/>
        <w:jc w:val="center"/>
        <w:rPr>
          <w:rFonts w:hint="eastAsia" w:ascii="方正小标宋_GBK" w:hAnsi="方正小标宋_GBK" w:eastAsia="方正小标宋_GBK" w:cs="方正小标宋_GBK"/>
          <w:sz w:val="56"/>
          <w:szCs w:val="56"/>
        </w:rPr>
      </w:pPr>
    </w:p>
    <w:p>
      <w:pPr>
        <w:pStyle w:val="15"/>
        <w:jc w:val="center"/>
        <w:rPr>
          <w:sz w:val="56"/>
          <w:szCs w:val="56"/>
        </w:rPr>
      </w:pPr>
    </w:p>
    <w:p>
      <w:pPr>
        <w:pStyle w:val="15"/>
        <w:jc w:val="center"/>
        <w:rPr>
          <w:sz w:val="56"/>
          <w:szCs w:val="56"/>
        </w:rPr>
      </w:pPr>
    </w:p>
    <w:p>
      <w:pPr>
        <w:pStyle w:val="15"/>
        <w:jc w:val="center"/>
        <w:rPr>
          <w:sz w:val="56"/>
          <w:szCs w:val="56"/>
        </w:rPr>
      </w:pPr>
    </w:p>
    <w:p>
      <w:pPr>
        <w:pStyle w:val="15"/>
        <w:jc w:val="center"/>
        <w:rPr>
          <w:sz w:val="32"/>
          <w:szCs w:val="32"/>
        </w:rPr>
      </w:pPr>
    </w:p>
    <w:p>
      <w:pPr>
        <w:pStyle w:val="15"/>
        <w:jc w:val="center"/>
        <w:rPr>
          <w:sz w:val="32"/>
          <w:szCs w:val="32"/>
        </w:rPr>
      </w:pPr>
    </w:p>
    <w:p>
      <w:pPr>
        <w:pStyle w:val="15"/>
        <w:spacing w:line="500" w:lineRule="exact"/>
        <w:jc w:val="both"/>
        <w:rPr>
          <w:b/>
          <w:sz w:val="36"/>
          <w:szCs w:val="28"/>
        </w:rPr>
      </w:pPr>
    </w:p>
    <w:p>
      <w:pPr>
        <w:pStyle w:val="15"/>
        <w:spacing w:line="500" w:lineRule="exact"/>
        <w:jc w:val="both"/>
        <w:rPr>
          <w:b/>
          <w:sz w:val="36"/>
          <w:szCs w:val="28"/>
        </w:rPr>
      </w:pPr>
    </w:p>
    <w:p>
      <w:pPr>
        <w:pStyle w:val="15"/>
        <w:spacing w:line="500" w:lineRule="exact"/>
        <w:jc w:val="center"/>
        <w:rPr>
          <w:b/>
          <w:sz w:val="36"/>
          <w:szCs w:val="28"/>
        </w:rPr>
      </w:pPr>
      <w:r>
        <w:rPr>
          <w:rFonts w:hint="eastAsia"/>
          <w:b/>
          <w:sz w:val="36"/>
          <w:szCs w:val="28"/>
        </w:rPr>
        <w:t>目录</w:t>
      </w:r>
    </w:p>
    <w:p>
      <w:pPr>
        <w:pStyle w:val="15"/>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lang w:eastAsia="zh-CN"/>
        </w:rPr>
        <w:t>岳阳市农业科学研究院</w:t>
      </w:r>
      <w:r>
        <w:rPr>
          <w:rFonts w:hint="eastAsia" w:ascii="黑体" w:hAnsi="黑体" w:eastAsia="黑体" w:cs="黑体"/>
          <w:b w:val="0"/>
          <w:bCs/>
          <w:sz w:val="28"/>
          <w:szCs w:val="28"/>
        </w:rPr>
        <w:t>概况</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w:t>
      </w:r>
      <w:r>
        <w:rPr>
          <w:rFonts w:hint="eastAsia" w:ascii="仿宋_GB2312" w:hAnsi="仿宋_GB2312" w:eastAsia="仿宋_GB2312" w:cs="仿宋_GB2312"/>
          <w:sz w:val="28"/>
          <w:szCs w:val="28"/>
          <w:lang w:eastAsia="zh-CN"/>
        </w:rPr>
        <w:t>部门</w:t>
      </w:r>
      <w:r>
        <w:rPr>
          <w:rFonts w:hint="eastAsia" w:ascii="仿宋_GB2312" w:hAnsi="仿宋_GB2312" w:eastAsia="仿宋_GB2312" w:cs="仿宋_GB2312"/>
          <w:sz w:val="28"/>
          <w:szCs w:val="28"/>
        </w:rPr>
        <w:t>职责</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二、机构设置及决算单位构成</w:t>
      </w:r>
    </w:p>
    <w:p>
      <w:pPr>
        <w:pStyle w:val="15"/>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pPr>
        <w:pStyle w:val="15"/>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w:t>
      </w:r>
      <w:r>
        <w:rPr>
          <w:rFonts w:hint="eastAsia" w:ascii="仿宋_GB2312" w:hAnsi="仿宋_GB2312" w:eastAsia="仿宋_GB2312" w:cs="仿宋_GB2312"/>
          <w:sz w:val="28"/>
          <w:szCs w:val="28"/>
        </w:rPr>
        <w:t>国有资本经营预算财政拨款支出决算</w:t>
      </w:r>
      <w:r>
        <w:rPr>
          <w:rFonts w:hint="eastAsia" w:ascii="仿宋_GB2312" w:hAnsi="仿宋_GB2312" w:eastAsia="仿宋_GB2312" w:cs="仿宋_GB2312"/>
          <w:sz w:val="28"/>
          <w:szCs w:val="28"/>
          <w:lang w:eastAsia="zh-CN"/>
        </w:rPr>
        <w:t>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lang w:val="en-US" w:eastAsia="zh-CN" w:bidi="ar-SA"/>
        </w:rPr>
        <w:t>十四、</w:t>
      </w:r>
      <w:r>
        <w:rPr>
          <w:rFonts w:hint="eastAsia" w:ascii="仿宋_GB2312" w:hAnsi="仿宋_GB2312" w:eastAsia="仿宋_GB2312" w:cs="仿宋_GB2312"/>
          <w:sz w:val="28"/>
          <w:szCs w:val="28"/>
        </w:rPr>
        <w:t>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pPr>
        <w:pStyle w:val="15"/>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pPr>
        <w:pStyle w:val="15"/>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pPr>
        <w:pStyle w:val="15"/>
        <w:jc w:val="center"/>
        <w:rPr>
          <w:rFonts w:hint="eastAsia" w:ascii="方正小标宋_GBK" w:hAnsi="方正小标宋_GBK" w:eastAsia="方正小标宋_GBK" w:cs="方正小标宋_GBK"/>
          <w:sz w:val="84"/>
          <w:szCs w:val="84"/>
        </w:rPr>
      </w:pPr>
    </w:p>
    <w:p>
      <w:pPr>
        <w:pStyle w:val="15"/>
        <w:jc w:val="center"/>
        <w:rPr>
          <w:rFonts w:hint="eastAsia" w:ascii="方正小标宋_GBK" w:hAnsi="方正小标宋_GBK" w:eastAsia="方正小标宋_GBK" w:cs="方正小标宋_GBK"/>
          <w:sz w:val="84"/>
          <w:szCs w:val="84"/>
        </w:rPr>
      </w:pPr>
    </w:p>
    <w:p>
      <w:pPr>
        <w:pStyle w:val="15"/>
        <w:jc w:val="center"/>
        <w:rPr>
          <w:rFonts w:hint="eastAsia" w:ascii="方正小标宋_GBK" w:hAnsi="方正小标宋_GBK" w:eastAsia="方正小标宋_GBK" w:cs="方正小标宋_GBK"/>
          <w:sz w:val="84"/>
          <w:szCs w:val="84"/>
        </w:rPr>
      </w:pPr>
    </w:p>
    <w:p>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pPr>
        <w:pStyle w:val="15"/>
        <w:jc w:val="center"/>
        <w:rPr>
          <w:rFonts w:hint="eastAsia" w:ascii="方正小标宋_GBK" w:hAnsi="方正小标宋_GBK" w:eastAsia="方正小标宋_GBK" w:cs="方正小标宋_GBK"/>
          <w:sz w:val="84"/>
          <w:szCs w:val="84"/>
          <w:lang w:eastAsia="zh-CN"/>
        </w:rPr>
      </w:pPr>
      <w:r>
        <w:rPr>
          <w:rFonts w:hint="eastAsia" w:ascii="方正小标宋_GBK" w:hAnsi="方正小标宋_GBK" w:eastAsia="方正小标宋_GBK" w:cs="方正小标宋_GBK"/>
          <w:sz w:val="84"/>
          <w:szCs w:val="84"/>
          <w:lang w:eastAsia="zh-CN"/>
        </w:rPr>
        <w:t>岳阳市农业科学研究院</w:t>
      </w:r>
    </w:p>
    <w:p>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概况</w:t>
      </w:r>
    </w:p>
    <w:p>
      <w:pPr>
        <w:pStyle w:val="10"/>
        <w:rPr>
          <w:rFonts w:hint="eastAsia" w:ascii="方正小标宋_GBK" w:hAnsi="方正小标宋_GBK" w:eastAsia="方正小标宋_GBK" w:cs="方正小标宋_GBK"/>
          <w:sz w:val="84"/>
          <w:szCs w:val="84"/>
        </w:rPr>
      </w:pPr>
    </w:p>
    <w:p>
      <w:pPr>
        <w:pStyle w:val="6"/>
        <w:rPr>
          <w:rFonts w:hint="eastAsia" w:ascii="方正小标宋_GBK" w:hAnsi="方正小标宋_GBK" w:eastAsia="方正小标宋_GBK" w:cs="方正小标宋_GBK"/>
          <w:sz w:val="84"/>
          <w:szCs w:val="84"/>
        </w:rPr>
      </w:pPr>
    </w:p>
    <w:p>
      <w:pPr>
        <w:pStyle w:val="2"/>
        <w:ind w:left="0" w:leftChars="0" w:firstLine="0" w:firstLineChars="0"/>
        <w:rPr>
          <w:rFonts w:hint="eastAsia" w:ascii="方正小标宋_GBK" w:hAnsi="方正小标宋_GBK" w:eastAsia="方正小标宋_GBK" w:cs="方正小标宋_GBK"/>
          <w:sz w:val="84"/>
          <w:szCs w:val="84"/>
        </w:rPr>
      </w:pPr>
    </w:p>
    <w:p>
      <w:pPr>
        <w:rPr>
          <w:rFonts w:hint="eastAsia"/>
        </w:rPr>
      </w:pPr>
    </w:p>
    <w:p>
      <w:pPr>
        <w:rPr>
          <w:rFonts w:hint="eastAsia"/>
        </w:rPr>
      </w:pPr>
    </w:p>
    <w:p>
      <w:pPr>
        <w:pStyle w:val="2"/>
        <w:rPr>
          <w:rFonts w:hint="eastAsia"/>
        </w:rPr>
      </w:pPr>
    </w:p>
    <w:p>
      <w:pPr>
        <w:pStyle w:val="16"/>
        <w:numPr>
          <w:ilvl w:val="0"/>
          <w:numId w:val="1"/>
        </w:numPr>
        <w:ind w:left="1560" w:leftChars="0"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lang w:eastAsia="zh-CN"/>
        </w:rPr>
        <w:t>部门</w:t>
      </w:r>
      <w:r>
        <w:rPr>
          <w:rFonts w:hint="eastAsia" w:ascii="黑体" w:hAnsi="黑体" w:eastAsia="黑体" w:cs="黑体"/>
          <w:b w:val="0"/>
          <w:bCs w:val="0"/>
          <w:sz w:val="32"/>
          <w:szCs w:val="32"/>
        </w:rPr>
        <w:t>职责</w:t>
      </w:r>
    </w:p>
    <w:p>
      <w:pPr>
        <w:widowControl/>
        <w:numPr>
          <w:ilvl w:val="0"/>
          <w:numId w:val="0"/>
        </w:numPr>
        <w:spacing w:line="600" w:lineRule="exact"/>
        <w:ind w:firstLine="640" w:firstLineChars="200"/>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lang w:eastAsia="zh-CN"/>
        </w:rPr>
        <w:t>（一）</w:t>
      </w:r>
      <w:r>
        <w:rPr>
          <w:rFonts w:hint="eastAsia" w:ascii="Times New Roman" w:hAnsi="Times New Roman" w:eastAsia="仿宋_GB2312" w:cs="仿宋_GB2312"/>
          <w:bCs/>
          <w:kern w:val="0"/>
          <w:sz w:val="32"/>
          <w:szCs w:val="32"/>
          <w:lang w:val="en-US" w:eastAsia="zh-CN"/>
        </w:rPr>
        <w:t>负责地方特色品种资源的发掘与保护;负责组织开展水稻、经济作物、蔬菜、西甜瓜、畜牧业、渔业品种改良选育资源创新、生产技术研究以及新品种、新技术的引进、示范与推广。</w:t>
      </w:r>
    </w:p>
    <w:p>
      <w:pPr>
        <w:widowControl/>
        <w:numPr>
          <w:ilvl w:val="0"/>
          <w:numId w:val="0"/>
        </w:numPr>
        <w:spacing w:line="600" w:lineRule="exact"/>
        <w:ind w:firstLine="640" w:firstLineChars="200"/>
        <w:rPr>
          <w:rFonts w:hint="eastAsia" w:ascii="Times New Roman" w:hAnsi="Times New Roman" w:eastAsia="仿宋_GB2312" w:cs="仿宋_GB2312"/>
          <w:bCs/>
          <w:kern w:val="0"/>
          <w:sz w:val="32"/>
          <w:szCs w:val="32"/>
          <w:lang w:val="en-US" w:eastAsia="zh-CN"/>
        </w:rPr>
      </w:pPr>
      <w:r>
        <w:rPr>
          <w:rFonts w:hint="eastAsia" w:ascii="Times New Roman" w:hAnsi="Times New Roman" w:eastAsia="仿宋_GB2312" w:cs="仿宋_GB2312"/>
          <w:bCs/>
          <w:kern w:val="0"/>
          <w:sz w:val="32"/>
          <w:szCs w:val="32"/>
          <w:lang w:eastAsia="zh-CN"/>
        </w:rPr>
        <w:t>（二）</w:t>
      </w:r>
      <w:r>
        <w:rPr>
          <w:rFonts w:hint="eastAsia" w:ascii="Times New Roman" w:hAnsi="Times New Roman" w:eastAsia="仿宋_GB2312" w:cs="仿宋_GB2312"/>
          <w:bCs/>
          <w:kern w:val="0"/>
          <w:sz w:val="32"/>
          <w:szCs w:val="32"/>
          <w:lang w:val="en-US" w:eastAsia="zh-CN"/>
        </w:rPr>
        <w:t>负责开展植物新品种测试技术、农业生态环境、智慧农业与农机应用技术、植物保护技术、生物技术、农产品保鲜与加工技术、农业农村发展等研究与应用。</w:t>
      </w:r>
    </w:p>
    <w:p>
      <w:pPr>
        <w:widowControl/>
        <w:numPr>
          <w:ilvl w:val="0"/>
          <w:numId w:val="0"/>
        </w:numPr>
        <w:spacing w:line="600" w:lineRule="exact"/>
        <w:ind w:firstLine="640" w:firstLineChars="200"/>
        <w:rPr>
          <w:rFonts w:hint="eastAsia" w:ascii="Times New Roman" w:hAnsi="Times New Roman" w:eastAsia="仿宋_GB2312" w:cs="仿宋_GB2312"/>
          <w:bCs/>
          <w:kern w:val="0"/>
          <w:sz w:val="32"/>
          <w:szCs w:val="32"/>
          <w:lang w:val="en-US" w:eastAsia="zh-CN"/>
        </w:rPr>
      </w:pPr>
      <w:r>
        <w:rPr>
          <w:rFonts w:hint="eastAsia" w:ascii="Times New Roman" w:hAnsi="Times New Roman" w:eastAsia="仿宋_GB2312" w:cs="仿宋_GB2312"/>
          <w:bCs/>
          <w:kern w:val="0"/>
          <w:sz w:val="32"/>
          <w:szCs w:val="32"/>
          <w:lang w:val="en-US" w:eastAsia="zh-CN"/>
        </w:rPr>
        <w:t>（三）负责建立农业科技示范基地和农业高科技示范园，集成、熟化、推广农业技术成果。</w:t>
      </w:r>
    </w:p>
    <w:p>
      <w:pPr>
        <w:widowControl/>
        <w:numPr>
          <w:ilvl w:val="0"/>
          <w:numId w:val="0"/>
        </w:numPr>
        <w:spacing w:line="600" w:lineRule="exact"/>
        <w:ind w:firstLine="640" w:firstLineChars="200"/>
        <w:rPr>
          <w:rFonts w:hint="eastAsia" w:ascii="Times New Roman" w:hAnsi="Times New Roman" w:eastAsia="仿宋_GB2312" w:cs="仿宋_GB2312"/>
          <w:bCs/>
          <w:kern w:val="0"/>
          <w:sz w:val="32"/>
          <w:szCs w:val="32"/>
          <w:lang w:val="en-US" w:eastAsia="zh-CN"/>
        </w:rPr>
      </w:pPr>
      <w:r>
        <w:rPr>
          <w:rFonts w:hint="eastAsia" w:ascii="Times New Roman" w:hAnsi="Times New Roman" w:eastAsia="仿宋_GB2312" w:cs="仿宋_GB2312"/>
          <w:bCs/>
          <w:kern w:val="0"/>
          <w:sz w:val="32"/>
          <w:szCs w:val="32"/>
          <w:lang w:val="en-US" w:eastAsia="zh-CN"/>
        </w:rPr>
        <w:t>（四）承担国家、省、市级重大科技专项与重点研发项目的实施与管理;承担本地区重大农业项目的科学研究、技术实施和示范推广。</w:t>
      </w:r>
    </w:p>
    <w:p>
      <w:pPr>
        <w:widowControl/>
        <w:numPr>
          <w:ilvl w:val="0"/>
          <w:numId w:val="0"/>
        </w:numPr>
        <w:spacing w:line="600" w:lineRule="exact"/>
        <w:ind w:firstLine="640" w:firstLineChars="200"/>
        <w:rPr>
          <w:rFonts w:hint="eastAsia" w:ascii="Times New Roman" w:hAnsi="Times New Roman" w:eastAsia="仿宋_GB2312" w:cs="仿宋_GB2312"/>
          <w:bCs/>
          <w:kern w:val="0"/>
          <w:sz w:val="32"/>
          <w:szCs w:val="32"/>
          <w:lang w:val="en-US" w:eastAsia="zh-CN"/>
        </w:rPr>
      </w:pPr>
      <w:r>
        <w:rPr>
          <w:rFonts w:hint="eastAsia" w:ascii="Times New Roman" w:hAnsi="Times New Roman" w:eastAsia="仿宋_GB2312" w:cs="仿宋_GB2312"/>
          <w:bCs/>
          <w:kern w:val="0"/>
          <w:sz w:val="32"/>
          <w:szCs w:val="32"/>
          <w:lang w:val="en-US" w:eastAsia="zh-CN"/>
        </w:rPr>
        <w:t>（五）负责组织农业学术交流、技术合作与科研人才培养承担本地区农业技术培训、咨询和服务。</w:t>
      </w:r>
    </w:p>
    <w:p>
      <w:pPr>
        <w:widowControl/>
        <w:numPr>
          <w:ilvl w:val="0"/>
          <w:numId w:val="0"/>
        </w:numPr>
        <w:spacing w:line="600" w:lineRule="exact"/>
        <w:ind w:firstLine="640" w:firstLineChars="200"/>
        <w:rPr>
          <w:rFonts w:hint="eastAsia" w:ascii="Times New Roman" w:hAnsi="Times New Roman" w:eastAsia="仿宋_GB2312" w:cs="仿宋_GB2312"/>
          <w:bCs/>
          <w:kern w:val="0"/>
          <w:sz w:val="32"/>
          <w:szCs w:val="32"/>
          <w:lang w:val="en-US" w:eastAsia="zh-CN"/>
        </w:rPr>
      </w:pPr>
      <w:r>
        <w:rPr>
          <w:rFonts w:hint="eastAsia" w:ascii="Times New Roman" w:hAnsi="Times New Roman" w:eastAsia="仿宋_GB2312" w:cs="仿宋_GB2312"/>
          <w:bCs/>
          <w:kern w:val="0"/>
          <w:sz w:val="32"/>
          <w:szCs w:val="32"/>
          <w:lang w:val="en-US" w:eastAsia="zh-CN"/>
        </w:rPr>
        <w:t>（六）完成市委、市政府和上级主管部门交办的其它工作。</w:t>
      </w:r>
    </w:p>
    <w:p>
      <w:pPr>
        <w:widowControl/>
        <w:numPr>
          <w:ilvl w:val="0"/>
          <w:numId w:val="0"/>
        </w:numPr>
        <w:spacing w:line="600" w:lineRule="exact"/>
        <w:ind w:firstLine="640" w:firstLineChars="200"/>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lang w:val="en-US" w:eastAsia="zh-CN"/>
        </w:rPr>
        <w:t>（七）农业种质资源调查、鉴定、保护、利用和科普教育等职能。</w:t>
      </w:r>
    </w:p>
    <w:p>
      <w:pPr>
        <w:widowControl/>
        <w:spacing w:line="600" w:lineRule="exact"/>
        <w:ind w:left="420" w:leftChars="0" w:firstLine="420" w:firstLineChars="0"/>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pPr>
        <w:widowControl/>
        <w:numPr>
          <w:ilvl w:val="0"/>
          <w:numId w:val="0"/>
        </w:numPr>
        <w:spacing w:line="600" w:lineRule="exact"/>
        <w:ind w:firstLine="640" w:firstLineChars="200"/>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lang w:eastAsia="zh-CN"/>
        </w:rPr>
        <w:t>（一）内设机构设置。岳阳市农业科学研究院</w:t>
      </w:r>
      <w:r>
        <w:rPr>
          <w:rFonts w:hint="eastAsia" w:ascii="Times New Roman" w:hAnsi="Times New Roman" w:eastAsia="仿宋_GB2312" w:cs="仿宋_GB2312"/>
          <w:bCs/>
          <w:kern w:val="0"/>
          <w:sz w:val="32"/>
          <w:szCs w:val="32"/>
        </w:rPr>
        <w:t>内设机构包括：</w:t>
      </w:r>
      <w:r>
        <w:rPr>
          <w:rFonts w:hint="eastAsia" w:ascii="Times New Roman" w:hAnsi="Times New Roman" w:eastAsia="仿宋_GB2312" w:cs="仿宋_GB2312"/>
          <w:bCs/>
          <w:kern w:val="0"/>
          <w:sz w:val="32"/>
          <w:szCs w:val="32"/>
          <w:lang w:eastAsia="zh-CN"/>
        </w:rPr>
        <w:t>综合部、计划财务部、科研管理部、农业种质资源保护与利用部、人力资源部。</w:t>
      </w:r>
    </w:p>
    <w:p>
      <w:pPr>
        <w:widowControl/>
        <w:numPr>
          <w:ilvl w:val="0"/>
          <w:numId w:val="0"/>
        </w:numPr>
        <w:spacing w:line="600" w:lineRule="exact"/>
        <w:ind w:firstLine="640" w:firstLineChars="200"/>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lang w:eastAsia="zh-CN"/>
        </w:rPr>
        <w:t>分支机构包括：市农业科学研究院水稻研究所（市智慧农业与农机应用技术研究所）、市农业科学研究院经济作物研究所（市植物保护研究所）、市农业科学研究院蔬菜研究所（市西甜瓜研究所）、市农业科学研究院水产研究所（市农产品加工技术研究所）、市农业科学研究院畜牧研究所（市牛羊冷配总站）、市农业科学研究院生态环境研究所、市农业科学研究院植物新品种测算技术研究所、市农科院茶叶研究中心、市农科院农产品加工技术研究中心、农业经济研究中心。</w:t>
      </w:r>
    </w:p>
    <w:p>
      <w:pPr>
        <w:widowControl/>
        <w:numPr>
          <w:ilvl w:val="0"/>
          <w:numId w:val="0"/>
        </w:numPr>
        <w:spacing w:line="600" w:lineRule="exact"/>
        <w:ind w:firstLine="640" w:firstLineChars="200"/>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（二）决算单位构成。</w:t>
      </w:r>
      <w:r>
        <w:rPr>
          <w:rFonts w:hint="eastAsia" w:ascii="Times New Roman" w:hAnsi="Times New Roman" w:eastAsia="仿宋_GB2312" w:cs="仿宋_GB2312"/>
          <w:bCs/>
          <w:kern w:val="0"/>
          <w:sz w:val="32"/>
          <w:szCs w:val="32"/>
          <w:lang w:eastAsia="zh-CN"/>
        </w:rPr>
        <w:t>本单位无独立核算的下属单位，</w:t>
      </w:r>
      <w:r>
        <w:rPr>
          <w:rFonts w:hint="eastAsia" w:ascii="Times New Roman" w:hAnsi="Times New Roman" w:eastAsia="仿宋_GB2312" w:cs="仿宋_GB2312"/>
          <w:bCs/>
          <w:kern w:val="0"/>
          <w:sz w:val="32"/>
          <w:szCs w:val="32"/>
          <w:lang w:val="en-US" w:eastAsia="zh-CN"/>
        </w:rPr>
        <w:t>2023年度部门决算汇总公开单位仅包括</w:t>
      </w:r>
      <w:r>
        <w:rPr>
          <w:rFonts w:hint="eastAsia" w:ascii="Times New Roman" w:hAnsi="Times New Roman" w:eastAsia="仿宋_GB2312" w:cs="仿宋_GB2312"/>
          <w:bCs/>
          <w:kern w:val="0"/>
          <w:sz w:val="32"/>
          <w:szCs w:val="32"/>
          <w:lang w:eastAsia="zh-CN"/>
        </w:rPr>
        <w:t>岳阳市农业科学研究院本级。</w:t>
      </w:r>
    </w:p>
    <w:p>
      <w:pPr>
        <w:widowControl/>
        <w:numPr>
          <w:ilvl w:val="0"/>
          <w:numId w:val="0"/>
        </w:numPr>
        <w:spacing w:line="600" w:lineRule="exact"/>
        <w:ind w:firstLine="640" w:firstLineChars="200"/>
        <w:rPr>
          <w:rFonts w:hint="eastAsia" w:ascii="Times New Roman" w:hAnsi="Times New Roman" w:eastAsia="仿宋_GB2312" w:cs="仿宋_GB2312"/>
          <w:bCs/>
          <w:kern w:val="0"/>
          <w:sz w:val="32"/>
          <w:szCs w:val="32"/>
        </w:rPr>
      </w:pPr>
    </w:p>
    <w:p/>
    <w:p>
      <w:pPr>
        <w:pStyle w:val="10"/>
      </w:pPr>
    </w:p>
    <w:p>
      <w:pPr>
        <w:pStyle w:val="6"/>
      </w:pPr>
    </w:p>
    <w:p/>
    <w:p>
      <w:pPr>
        <w:pStyle w:val="10"/>
      </w:pPr>
    </w:p>
    <w:p>
      <w:pPr>
        <w:pStyle w:val="6"/>
      </w:pPr>
    </w:p>
    <w:p/>
    <w:p>
      <w:pPr>
        <w:pStyle w:val="10"/>
      </w:pPr>
    </w:p>
    <w:p>
      <w:pPr>
        <w:pStyle w:val="6"/>
      </w:pPr>
    </w:p>
    <w:p/>
    <w:p>
      <w:pPr>
        <w:pStyle w:val="10"/>
      </w:pPr>
    </w:p>
    <w:p>
      <w:pPr>
        <w:pStyle w:val="6"/>
      </w:pPr>
    </w:p>
    <w:p/>
    <w:p>
      <w:pPr>
        <w:pStyle w:val="10"/>
      </w:pPr>
    </w:p>
    <w:p>
      <w:pPr>
        <w:pStyle w:val="6"/>
      </w:pPr>
    </w:p>
    <w:p/>
    <w:p>
      <w:pPr>
        <w:pStyle w:val="10"/>
      </w:pPr>
    </w:p>
    <w:p>
      <w:pPr>
        <w:pStyle w:val="6"/>
      </w:pPr>
    </w:p>
    <w:p/>
    <w:p>
      <w:pPr>
        <w:pStyle w:val="10"/>
      </w:pPr>
    </w:p>
    <w:p>
      <w:pPr>
        <w:pStyle w:val="6"/>
      </w:pPr>
    </w:p>
    <w:p/>
    <w:p>
      <w:pPr>
        <w:pStyle w:val="15"/>
        <w:jc w:val="center"/>
        <w:rPr>
          <w:rFonts w:hint="eastAsia" w:ascii="方正小标宋_GBK" w:hAnsi="方正小标宋_GBK" w:eastAsia="方正小标宋_GBK" w:cs="方正小标宋_GBK"/>
          <w:sz w:val="84"/>
          <w:szCs w:val="84"/>
        </w:rPr>
      </w:pPr>
    </w:p>
    <w:p>
      <w:pPr>
        <w:pStyle w:val="15"/>
        <w:jc w:val="center"/>
        <w:rPr>
          <w:rFonts w:hint="eastAsia" w:ascii="方正小标宋_GBK" w:hAnsi="方正小标宋_GBK" w:eastAsia="方正小标宋_GBK" w:cs="方正小标宋_GBK"/>
          <w:sz w:val="84"/>
          <w:szCs w:val="84"/>
        </w:rPr>
      </w:pPr>
    </w:p>
    <w:p>
      <w:pPr>
        <w:pStyle w:val="15"/>
        <w:jc w:val="center"/>
        <w:rPr>
          <w:rFonts w:hint="eastAsia" w:ascii="方正小标宋_GBK" w:hAnsi="方正小标宋_GBK" w:eastAsia="方正小标宋_GBK" w:cs="方正小标宋_GBK"/>
          <w:sz w:val="84"/>
          <w:szCs w:val="84"/>
        </w:rPr>
      </w:pPr>
    </w:p>
    <w:p>
      <w:pPr>
        <w:pStyle w:val="15"/>
        <w:jc w:val="center"/>
        <w:rPr>
          <w:rFonts w:hint="eastAsia" w:ascii="方正小标宋_GBK" w:hAnsi="方正小标宋_GBK" w:eastAsia="方正小标宋_GBK" w:cs="方正小标宋_GBK"/>
          <w:sz w:val="84"/>
          <w:szCs w:val="84"/>
        </w:rPr>
      </w:pPr>
    </w:p>
    <w:p>
      <w:pPr>
        <w:pStyle w:val="15"/>
        <w:jc w:val="center"/>
        <w:rPr>
          <w:rFonts w:hint="eastAsia" w:ascii="方正小标宋_GBK" w:hAnsi="方正小标宋_GBK" w:eastAsia="方正小标宋_GBK" w:cs="方正小标宋_GBK"/>
          <w:sz w:val="84"/>
          <w:szCs w:val="84"/>
        </w:rPr>
      </w:pPr>
    </w:p>
    <w:p>
      <w:pPr>
        <w:pStyle w:val="15"/>
        <w:jc w:val="center"/>
        <w:rPr>
          <w:rFonts w:hint="eastAsia" w:ascii="方正小标宋_GBK" w:hAnsi="方正小标宋_GBK" w:eastAsia="方正小标宋_GBK" w:cs="方正小标宋_GBK"/>
          <w:sz w:val="84"/>
          <w:szCs w:val="84"/>
        </w:rPr>
      </w:pPr>
    </w:p>
    <w:p>
      <w:pPr>
        <w:pStyle w:val="15"/>
        <w:jc w:val="center"/>
        <w:rPr>
          <w:rFonts w:hint="eastAsia" w:ascii="方正小标宋_GBK" w:hAnsi="方正小标宋_GBK" w:eastAsia="方正小标宋_GBK" w:cs="方正小标宋_GBK"/>
          <w:sz w:val="84"/>
          <w:szCs w:val="84"/>
        </w:rPr>
      </w:pPr>
    </w:p>
    <w:p>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pPr>
        <w:pStyle w:val="15"/>
        <w:jc w:val="center"/>
        <w:rPr>
          <w:rFonts w:hint="eastAsia" w:ascii="方正小标宋_GBK" w:hAnsi="方正小标宋_GBK" w:eastAsia="方正小标宋_GBK" w:cs="方正小标宋_GBK"/>
          <w:sz w:val="84"/>
          <w:szCs w:val="84"/>
          <w:lang w:eastAsia="zh-CN"/>
        </w:rPr>
      </w:pPr>
      <w:r>
        <w:rPr>
          <w:rFonts w:hint="eastAsia" w:ascii="方正小标宋_GBK" w:hAnsi="方正小标宋_GBK" w:eastAsia="方正小标宋_GBK" w:cs="方正小标宋_GBK"/>
          <w:sz w:val="84"/>
          <w:szCs w:val="84"/>
          <w:lang w:eastAsia="zh-CN"/>
        </w:rPr>
        <w:t>（见附件）</w:t>
      </w:r>
    </w:p>
    <w:p>
      <w:pPr>
        <w:pStyle w:val="15"/>
        <w:jc w:val="center"/>
        <w:rPr>
          <w:rFonts w:hint="eastAsia" w:ascii="仿宋_GB2312" w:hAnsi="仿宋_GB2312" w:eastAsia="仿宋_GB2312" w:cs="仿宋_GB2312"/>
          <w:b w:val="0"/>
          <w:bCs w:val="0"/>
          <w:sz w:val="72"/>
          <w:szCs w:val="72"/>
          <w:lang w:eastAsia="zh-CN"/>
        </w:rPr>
      </w:pPr>
    </w:p>
    <w:p>
      <w:pPr>
        <w:pStyle w:val="15"/>
        <w:jc w:val="center"/>
        <w:rPr>
          <w:rFonts w:hint="eastAsia" w:ascii="仿宋_GB2312" w:hAnsi="仿宋_GB2312" w:eastAsia="仿宋_GB2312" w:cs="仿宋_GB2312"/>
          <w:b w:val="0"/>
          <w:bCs w:val="0"/>
          <w:sz w:val="72"/>
          <w:szCs w:val="72"/>
          <w:lang w:eastAsia="zh-CN"/>
        </w:rPr>
      </w:pPr>
    </w:p>
    <w:p>
      <w:pPr>
        <w:pStyle w:val="15"/>
        <w:jc w:val="center"/>
        <w:rPr>
          <w:rFonts w:hint="eastAsia" w:ascii="仿宋_GB2312" w:hAnsi="仿宋_GB2312" w:eastAsia="仿宋_GB2312" w:cs="仿宋_GB2312"/>
          <w:b w:val="0"/>
          <w:bCs w:val="0"/>
          <w:sz w:val="72"/>
          <w:szCs w:val="72"/>
          <w:lang w:eastAsia="zh-CN"/>
        </w:rPr>
      </w:pPr>
    </w:p>
    <w:p>
      <w:pPr>
        <w:pStyle w:val="15"/>
        <w:jc w:val="center"/>
        <w:rPr>
          <w:rFonts w:hint="eastAsia" w:ascii="仿宋_GB2312" w:hAnsi="仿宋_GB2312" w:eastAsia="仿宋_GB2312" w:cs="仿宋_GB2312"/>
          <w:b w:val="0"/>
          <w:bCs w:val="0"/>
          <w:sz w:val="72"/>
          <w:szCs w:val="72"/>
          <w:lang w:eastAsia="zh-CN"/>
        </w:rPr>
      </w:pPr>
    </w:p>
    <w:p>
      <w:pPr>
        <w:pStyle w:val="15"/>
        <w:jc w:val="center"/>
        <w:rPr>
          <w:rFonts w:hint="eastAsia" w:ascii="仿宋_GB2312" w:hAnsi="仿宋_GB2312" w:eastAsia="仿宋_GB2312" w:cs="仿宋_GB2312"/>
          <w:b w:val="0"/>
          <w:bCs w:val="0"/>
          <w:sz w:val="72"/>
          <w:szCs w:val="72"/>
          <w:lang w:eastAsia="zh-CN"/>
        </w:rPr>
      </w:pPr>
    </w:p>
    <w:p>
      <w:pPr>
        <w:pStyle w:val="15"/>
        <w:jc w:val="center"/>
        <w:rPr>
          <w:rFonts w:hint="eastAsia" w:ascii="仿宋_GB2312" w:hAnsi="仿宋_GB2312" w:eastAsia="仿宋_GB2312" w:cs="仿宋_GB2312"/>
          <w:b w:val="0"/>
          <w:bCs w:val="0"/>
          <w:sz w:val="72"/>
          <w:szCs w:val="72"/>
          <w:lang w:eastAsia="zh-CN"/>
        </w:rPr>
      </w:pPr>
    </w:p>
    <w:p>
      <w:pPr>
        <w:pStyle w:val="15"/>
        <w:jc w:val="center"/>
        <w:rPr>
          <w:rFonts w:hint="eastAsia" w:ascii="仿宋_GB2312" w:hAnsi="仿宋_GB2312" w:eastAsia="仿宋_GB2312" w:cs="仿宋_GB2312"/>
          <w:b w:val="0"/>
          <w:bCs w:val="0"/>
          <w:sz w:val="72"/>
          <w:szCs w:val="72"/>
          <w:lang w:eastAsia="zh-CN"/>
        </w:rPr>
      </w:pPr>
    </w:p>
    <w:p>
      <w:pPr>
        <w:pStyle w:val="15"/>
        <w:jc w:val="center"/>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p>
    <w:p>
      <w:pPr>
        <w:pStyle w:val="15"/>
        <w:jc w:val="both"/>
        <w:rPr>
          <w:rFonts w:hint="eastAsia" w:ascii="方正小标宋_GBK" w:hAnsi="方正小标宋_GBK" w:eastAsia="方正小标宋_GBK" w:cs="方正小标宋_GBK"/>
          <w:sz w:val="72"/>
          <w:szCs w:val="72"/>
        </w:rPr>
      </w:pPr>
    </w:p>
    <w:p>
      <w:pPr>
        <w:pStyle w:val="15"/>
        <w:jc w:val="both"/>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第三部分</w:t>
      </w:r>
    </w:p>
    <w:p>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年度部门决算情况说明</w:t>
      </w:r>
    </w:p>
    <w:p>
      <w:pPr>
        <w:pStyle w:val="15"/>
        <w:jc w:val="center"/>
        <w:rPr>
          <w:rFonts w:hint="eastAsia" w:ascii="方正小标宋_GBK" w:hAnsi="方正小标宋_GBK" w:eastAsia="方正小标宋_GBK" w:cs="方正小标宋_GBK"/>
          <w:sz w:val="70"/>
          <w:szCs w:val="70"/>
        </w:rPr>
      </w:pPr>
    </w:p>
    <w:p>
      <w:pPr>
        <w:pStyle w:val="15"/>
        <w:jc w:val="center"/>
        <w:rPr>
          <w:rFonts w:hint="eastAsia" w:ascii="方正小标宋_GBK" w:hAnsi="方正小标宋_GBK" w:eastAsia="方正小标宋_GBK" w:cs="方正小标宋_GBK"/>
          <w:sz w:val="70"/>
          <w:szCs w:val="70"/>
        </w:rPr>
      </w:pPr>
    </w:p>
    <w:p>
      <w:pPr>
        <w:pStyle w:val="15"/>
        <w:jc w:val="center"/>
        <w:rPr>
          <w:rFonts w:hint="eastAsia" w:ascii="方正小标宋_GBK" w:hAnsi="方正小标宋_GBK" w:eastAsia="方正小标宋_GBK" w:cs="方正小标宋_GBK"/>
          <w:sz w:val="70"/>
          <w:szCs w:val="70"/>
        </w:rPr>
      </w:pPr>
    </w:p>
    <w:p>
      <w:pPr>
        <w:pStyle w:val="15"/>
        <w:jc w:val="both"/>
        <w:rPr>
          <w:rFonts w:hint="eastAsia" w:ascii="方正小标宋_GBK" w:hAnsi="方正小标宋_GBK" w:eastAsia="方正小标宋_GBK" w:cs="方正小标宋_GBK"/>
          <w:sz w:val="70"/>
          <w:szCs w:val="70"/>
        </w:rPr>
      </w:pPr>
    </w:p>
    <w:p>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说明：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决算编制时</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明细</w:t>
      </w:r>
      <w:r>
        <w:rPr>
          <w:rFonts w:hint="eastAsia" w:ascii="仿宋_GB2312" w:hAnsi="仿宋_GB2312" w:eastAsia="仿宋_GB2312" w:cs="仿宋_GB2312"/>
          <w:sz w:val="32"/>
          <w:szCs w:val="32"/>
          <w:lang w:eastAsia="zh-CN"/>
        </w:rPr>
        <w:t>至“金额单位：元</w:t>
      </w:r>
      <w:r>
        <w:rPr>
          <w:rFonts w:hint="eastAsia" w:ascii="仿宋_GB2312" w:hAnsi="仿宋_GB2312" w:eastAsia="仿宋_GB2312" w:cs="仿宋_GB2312"/>
          <w:sz w:val="32"/>
          <w:szCs w:val="32"/>
        </w:rPr>
        <w:t>”，而</w:t>
      </w:r>
      <w:r>
        <w:rPr>
          <w:rFonts w:hint="eastAsia" w:ascii="仿宋_GB2312" w:hAnsi="仿宋_GB2312" w:eastAsia="仿宋_GB2312" w:cs="仿宋_GB2312"/>
          <w:sz w:val="32"/>
          <w:szCs w:val="32"/>
          <w:lang w:eastAsia="zh-CN"/>
        </w:rPr>
        <w:t>本套部门决算文字说明</w:t>
      </w:r>
      <w:r>
        <w:rPr>
          <w:rFonts w:hint="eastAsia" w:ascii="仿宋_GB2312" w:hAnsi="仿宋_GB2312" w:eastAsia="仿宋_GB2312" w:cs="仿宋_GB2312"/>
          <w:sz w:val="32"/>
          <w:szCs w:val="32"/>
        </w:rPr>
        <w:t>和公开表格</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取数</w:t>
      </w:r>
      <w:r>
        <w:rPr>
          <w:rFonts w:hint="eastAsia" w:ascii="仿宋_GB2312" w:hAnsi="仿宋_GB2312" w:eastAsia="仿宋_GB2312" w:cs="仿宋_GB2312"/>
          <w:sz w:val="32"/>
          <w:szCs w:val="32"/>
          <w:lang w:eastAsia="zh-CN"/>
        </w:rPr>
        <w:t>转换为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金额单位：</w:t>
      </w:r>
      <w:r>
        <w:rPr>
          <w:rFonts w:hint="eastAsia" w:ascii="仿宋_GB2312" w:hAnsi="仿宋_GB2312" w:eastAsia="仿宋_GB2312" w:cs="仿宋_GB2312"/>
          <w:sz w:val="32"/>
          <w:szCs w:val="32"/>
        </w:rPr>
        <w:t>万元”，可能导致</w:t>
      </w:r>
      <w:r>
        <w:rPr>
          <w:rFonts w:hint="eastAsia" w:ascii="仿宋_GB2312" w:hAnsi="仿宋_GB2312" w:eastAsia="仿宋_GB2312" w:cs="仿宋_GB2312"/>
          <w:sz w:val="32"/>
          <w:szCs w:val="32"/>
          <w:lang w:eastAsia="zh-CN"/>
        </w:rPr>
        <w:t>以下文字说明中的各项数据取数以及公开</w:t>
      </w:r>
      <w:r>
        <w:rPr>
          <w:rFonts w:hint="eastAsia" w:ascii="仿宋_GB2312" w:hAnsi="仿宋_GB2312" w:eastAsia="仿宋_GB2312" w:cs="仿宋_GB2312"/>
          <w:sz w:val="32"/>
          <w:szCs w:val="32"/>
        </w:rPr>
        <w:t>表格</w:t>
      </w:r>
      <w:r>
        <w:rPr>
          <w:rFonts w:hint="eastAsia" w:ascii="仿宋_GB2312" w:hAnsi="仿宋_GB2312" w:eastAsia="仿宋_GB2312" w:cs="仿宋_GB2312"/>
          <w:sz w:val="32"/>
          <w:szCs w:val="32"/>
          <w:lang w:eastAsia="zh-CN"/>
        </w:rPr>
        <w:t>中的各项数据取数之间存在</w:t>
      </w:r>
      <w:r>
        <w:rPr>
          <w:rFonts w:hint="eastAsia" w:ascii="仿宋_GB2312" w:hAnsi="仿宋_GB2312" w:eastAsia="仿宋_GB2312" w:cs="仿宋_GB2312"/>
          <w:sz w:val="32"/>
          <w:szCs w:val="32"/>
        </w:rPr>
        <w:t>0.01的尾数差异。</w:t>
      </w:r>
      <w:r>
        <w:rPr>
          <w:rFonts w:hint="eastAsia" w:ascii="仿宋_GB2312" w:hAnsi="仿宋_GB2312" w:eastAsia="仿宋_GB2312" w:cs="仿宋_GB2312"/>
          <w:sz w:val="32"/>
          <w:szCs w:val="32"/>
          <w:lang w:val="en-US" w:eastAsia="zh-CN"/>
        </w:rPr>
        <w:t>2、以下文字说明中，部分科目由于预算数为0，无法计算完成年初预算的百分比，故未描述“</w:t>
      </w:r>
      <w:r>
        <w:rPr>
          <w:rFonts w:hint="eastAsia" w:ascii="仿宋_GB2312" w:hAnsi="仿宋_GB2312" w:eastAsia="仿宋_GB2312" w:cs="仿宋_GB2312"/>
          <w:sz w:val="32"/>
          <w:szCs w:val="32"/>
        </w:rPr>
        <w:t>完成年初预算的XX%</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年度收、支总计</w:t>
      </w:r>
      <w:r>
        <w:rPr>
          <w:rFonts w:hint="eastAsia" w:ascii="仿宋_GB2312" w:hAnsi="仿宋_GB2312" w:eastAsia="仿宋_GB2312" w:cs="仿宋_GB2312"/>
          <w:sz w:val="32"/>
          <w:szCs w:val="32"/>
          <w:lang w:val="en-US" w:eastAsia="zh-CN"/>
        </w:rPr>
        <w:t>4376.11</w:t>
      </w:r>
      <w:r>
        <w:rPr>
          <w:rFonts w:hint="eastAsia" w:ascii="仿宋_GB2312" w:hAnsi="仿宋_GB2312" w:eastAsia="仿宋_GB2312" w:cs="仿宋_GB2312"/>
          <w:sz w:val="32"/>
          <w:szCs w:val="32"/>
        </w:rPr>
        <w:t>万元。与上年相比，减少</w:t>
      </w:r>
      <w:r>
        <w:rPr>
          <w:rFonts w:hint="eastAsia" w:ascii="仿宋_GB2312" w:hAnsi="仿宋_GB2312" w:eastAsia="仿宋_GB2312" w:cs="仿宋_GB2312"/>
          <w:sz w:val="32"/>
          <w:szCs w:val="32"/>
          <w:lang w:val="en-US" w:eastAsia="zh-CN"/>
        </w:rPr>
        <w:t>110.34</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2.46</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eastAsia="zh-CN"/>
        </w:rPr>
        <w:t>二次分配专项资金</w:t>
      </w:r>
      <w:r>
        <w:rPr>
          <w:rFonts w:hint="eastAsia" w:ascii="仿宋_GB2312" w:hAnsi="仿宋_GB2312" w:eastAsia="仿宋_GB2312" w:cs="仿宋_GB2312"/>
          <w:sz w:val="32"/>
          <w:szCs w:val="32"/>
          <w:lang w:val="en-US" w:eastAsia="zh-CN"/>
        </w:rPr>
        <w:t>2023年没有到位。</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年度收入合计</w:t>
      </w:r>
      <w:r>
        <w:rPr>
          <w:rFonts w:hint="eastAsia" w:ascii="仿宋_GB2312" w:hAnsi="仿宋_GB2312" w:eastAsia="仿宋_GB2312" w:cs="仿宋_GB2312"/>
          <w:sz w:val="32"/>
          <w:szCs w:val="32"/>
          <w:lang w:val="en-US" w:eastAsia="zh-CN"/>
        </w:rPr>
        <w:t>4367.4</w:t>
      </w:r>
      <w:r>
        <w:rPr>
          <w:rFonts w:hint="eastAsia" w:ascii="仿宋_GB2312" w:hAnsi="仿宋_GB2312" w:eastAsia="仿宋_GB2312" w:cs="仿宋_GB2312"/>
          <w:sz w:val="32"/>
          <w:szCs w:val="32"/>
        </w:rPr>
        <w:t>万元，其中：财政拨款收入</w:t>
      </w:r>
      <w:r>
        <w:rPr>
          <w:rFonts w:hint="eastAsia" w:ascii="仿宋_GB2312" w:hAnsi="仿宋_GB2312" w:eastAsia="仿宋_GB2312" w:cs="仿宋_GB2312"/>
          <w:sz w:val="32"/>
          <w:szCs w:val="32"/>
          <w:lang w:val="en-US" w:eastAsia="zh-CN"/>
        </w:rPr>
        <w:t>3357.31</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76.87</w:t>
      </w:r>
      <w:r>
        <w:rPr>
          <w:rFonts w:hint="eastAsia" w:ascii="仿宋_GB2312" w:hAnsi="仿宋_GB2312" w:eastAsia="仿宋_GB2312" w:cs="仿宋_GB2312"/>
          <w:sz w:val="32"/>
          <w:szCs w:val="32"/>
        </w:rPr>
        <w:t>%；上级补助收入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%；其他收入</w:t>
      </w:r>
      <w:r>
        <w:rPr>
          <w:rFonts w:hint="eastAsia" w:ascii="仿宋_GB2312" w:hAnsi="仿宋_GB2312" w:eastAsia="仿宋_GB2312" w:cs="仿宋_GB2312"/>
          <w:sz w:val="32"/>
          <w:szCs w:val="32"/>
          <w:lang w:val="en-US" w:eastAsia="zh-CN"/>
        </w:rPr>
        <w:t>1010.09</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23.13</w:t>
      </w:r>
      <w:r>
        <w:rPr>
          <w:rFonts w:hint="eastAsia" w:ascii="仿宋_GB2312" w:hAnsi="仿宋_GB2312" w:eastAsia="仿宋_GB2312" w:cs="仿宋_GB2312"/>
          <w:sz w:val="32"/>
          <w:szCs w:val="32"/>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年度支出合计</w:t>
      </w:r>
      <w:r>
        <w:rPr>
          <w:rFonts w:hint="eastAsia" w:ascii="仿宋_GB2312" w:hAnsi="仿宋_GB2312" w:eastAsia="仿宋_GB2312" w:cs="仿宋_GB2312"/>
          <w:sz w:val="32"/>
          <w:szCs w:val="32"/>
          <w:lang w:val="en-US" w:eastAsia="zh-CN"/>
        </w:rPr>
        <w:t>4376.11</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4110.98</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93.94</w:t>
      </w:r>
      <w:r>
        <w:rPr>
          <w:rFonts w:hint="eastAsia" w:ascii="仿宋_GB2312" w:hAnsi="仿宋_GB2312" w:eastAsia="仿宋_GB2312" w:cs="仿宋_GB2312"/>
          <w:sz w:val="32"/>
          <w:szCs w:val="32"/>
        </w:rPr>
        <w:t>%；项目支出</w:t>
      </w:r>
      <w:r>
        <w:rPr>
          <w:rFonts w:hint="eastAsia" w:ascii="仿宋_GB2312" w:hAnsi="仿宋_GB2312" w:eastAsia="仿宋_GB2312" w:cs="仿宋_GB2312"/>
          <w:sz w:val="32"/>
          <w:szCs w:val="32"/>
          <w:lang w:val="en-US" w:eastAsia="zh-CN"/>
        </w:rPr>
        <w:t>265.12</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6.06</w:t>
      </w:r>
      <w:r>
        <w:rPr>
          <w:rFonts w:hint="eastAsia" w:ascii="仿宋_GB2312" w:hAnsi="仿宋_GB2312" w:eastAsia="仿宋_GB2312" w:cs="仿宋_GB2312"/>
          <w:sz w:val="32"/>
          <w:szCs w:val="32"/>
        </w:rPr>
        <w:t>%；上缴上级支出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pPr>
        <w:pStyle w:val="15"/>
        <w:keepNext w:val="0"/>
        <w:keepLines w:val="0"/>
        <w:pageBreakBefore w:val="0"/>
        <w:widowControl w:val="0"/>
        <w:kinsoku/>
        <w:wordWrap/>
        <w:overflowPunct/>
        <w:topLinePunct w:val="0"/>
        <w:bidi w:val="0"/>
        <w:snapToGrid/>
        <w:spacing w:line="600" w:lineRule="exact"/>
        <w:textAlignment w:val="auto"/>
        <w:rPr>
          <w:rFonts w:hint="eastAsia" w:ascii="仿宋_GB2312" w:hAnsi="仿宋_GB2312" w:eastAsia="仿宋_GB2312" w:cs="仿宋_GB2312"/>
          <w:sz w:val="32"/>
          <w:szCs w:val="32"/>
          <w:lang w:val="en-US" w:eastAsia="zh-CN"/>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年度财政拨款收、支总计</w:t>
      </w:r>
      <w:r>
        <w:rPr>
          <w:rFonts w:hint="eastAsia" w:ascii="仿宋_GB2312" w:hAnsi="仿宋_GB2312" w:eastAsia="仿宋_GB2312" w:cs="仿宋_GB2312"/>
          <w:sz w:val="32"/>
          <w:szCs w:val="32"/>
          <w:lang w:val="en-US" w:eastAsia="zh-CN"/>
        </w:rPr>
        <w:t>3357.31</w:t>
      </w:r>
      <w:r>
        <w:rPr>
          <w:rFonts w:hint="eastAsia" w:ascii="仿宋_GB2312" w:hAnsi="仿宋_GB2312" w:eastAsia="仿宋_GB2312" w:cs="仿宋_GB2312"/>
          <w:sz w:val="32"/>
          <w:szCs w:val="32"/>
        </w:rPr>
        <w:t>万元，与上年相比，减少</w:t>
      </w:r>
      <w:r>
        <w:rPr>
          <w:rFonts w:hint="eastAsia" w:ascii="仿宋_GB2312" w:hAnsi="仿宋_GB2312" w:eastAsia="仿宋_GB2312" w:cs="仿宋_GB2312"/>
          <w:sz w:val="32"/>
          <w:szCs w:val="32"/>
          <w:lang w:val="en-US" w:eastAsia="zh-CN"/>
        </w:rPr>
        <w:t>157.74</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4.51</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eastAsia="zh-CN"/>
        </w:rPr>
        <w:t>二次分配专项资金</w:t>
      </w:r>
      <w:r>
        <w:rPr>
          <w:rFonts w:hint="eastAsia" w:ascii="仿宋_GB2312" w:hAnsi="仿宋_GB2312" w:eastAsia="仿宋_GB2312" w:cs="仿宋_GB2312"/>
          <w:sz w:val="32"/>
          <w:szCs w:val="32"/>
          <w:lang w:val="en-US" w:eastAsia="zh-CN"/>
        </w:rPr>
        <w:t>2023年没有到位。</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w:t>
      </w:r>
      <w:r>
        <w:rPr>
          <w:rFonts w:hint="eastAsia" w:ascii="仿宋_GB2312" w:hAnsi="仿宋_GB2312" w:eastAsia="仿宋_GB2312" w:cs="仿宋_GB2312"/>
          <w:sz w:val="32"/>
          <w:szCs w:val="32"/>
          <w:lang w:val="en-US" w:eastAsia="zh-CN"/>
        </w:rPr>
        <w:t>3357.31</w:t>
      </w:r>
      <w:r>
        <w:rPr>
          <w:rFonts w:hint="eastAsia" w:ascii="仿宋_GB2312" w:hAnsi="仿宋_GB2312" w:eastAsia="仿宋_GB2312" w:cs="仿宋_GB2312"/>
          <w:sz w:val="32"/>
          <w:szCs w:val="32"/>
        </w:rPr>
        <w:t>万元，占本年支出合计的</w:t>
      </w:r>
      <w:r>
        <w:rPr>
          <w:rFonts w:hint="eastAsia" w:ascii="仿宋_GB2312" w:hAnsi="仿宋_GB2312" w:eastAsia="仿宋_GB2312" w:cs="仿宋_GB2312"/>
          <w:sz w:val="32"/>
          <w:szCs w:val="32"/>
          <w:lang w:val="en-US" w:eastAsia="zh-CN"/>
        </w:rPr>
        <w:t>76.72</w:t>
      </w:r>
      <w:r>
        <w:rPr>
          <w:rFonts w:hint="eastAsia" w:ascii="仿宋_GB2312" w:hAnsi="仿宋_GB2312" w:eastAsia="仿宋_GB2312" w:cs="仿宋_GB2312"/>
          <w:sz w:val="32"/>
          <w:szCs w:val="32"/>
        </w:rPr>
        <w:t>%，与上年相比，财政拨款支出减少</w:t>
      </w:r>
      <w:r>
        <w:rPr>
          <w:rFonts w:hint="eastAsia" w:ascii="仿宋_GB2312" w:hAnsi="仿宋_GB2312" w:eastAsia="仿宋_GB2312" w:cs="仿宋_GB2312"/>
          <w:sz w:val="32"/>
          <w:szCs w:val="32"/>
          <w:lang w:val="en-US" w:eastAsia="zh-CN"/>
        </w:rPr>
        <w:t>157.74</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4.51</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eastAsia="zh-CN"/>
        </w:rPr>
        <w:t>二次分配专项资金</w:t>
      </w:r>
      <w:r>
        <w:rPr>
          <w:rFonts w:hint="eastAsia" w:ascii="仿宋_GB2312" w:hAnsi="仿宋_GB2312" w:eastAsia="仿宋_GB2312" w:cs="仿宋_GB2312"/>
          <w:sz w:val="32"/>
          <w:szCs w:val="32"/>
          <w:lang w:val="en-US" w:eastAsia="zh-CN"/>
        </w:rPr>
        <w:t>2023年没有到位。</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w:t>
      </w:r>
      <w:r>
        <w:rPr>
          <w:rFonts w:hint="eastAsia" w:ascii="仿宋_GB2312" w:hAnsi="仿宋_GB2312" w:eastAsia="仿宋_GB2312" w:cs="仿宋_GB2312"/>
          <w:sz w:val="32"/>
          <w:szCs w:val="32"/>
          <w:lang w:val="en-US" w:eastAsia="zh-CN"/>
        </w:rPr>
        <w:t>3357.31</w:t>
      </w:r>
      <w:r>
        <w:rPr>
          <w:rFonts w:hint="eastAsia" w:ascii="仿宋_GB2312" w:hAnsi="仿宋_GB2312" w:eastAsia="仿宋_GB2312" w:cs="仿宋_GB2312"/>
          <w:sz w:val="32"/>
          <w:szCs w:val="32"/>
        </w:rPr>
        <w:t>万元，主要用于以下方面：科学技术支出</w:t>
      </w:r>
      <w:r>
        <w:rPr>
          <w:rFonts w:hint="eastAsia" w:ascii="仿宋_GB2312" w:hAnsi="仿宋_GB2312" w:eastAsia="仿宋_GB2312" w:cs="仿宋_GB2312"/>
          <w:sz w:val="32"/>
          <w:szCs w:val="32"/>
          <w:lang w:val="en-US" w:eastAsia="zh-CN"/>
        </w:rPr>
        <w:t>9.26</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0.28</w:t>
      </w:r>
      <w:r>
        <w:rPr>
          <w:rFonts w:hint="eastAsia" w:ascii="仿宋_GB2312" w:hAnsi="仿宋_GB2312" w:eastAsia="仿宋_GB2312" w:cs="仿宋_GB2312"/>
          <w:sz w:val="32"/>
          <w:szCs w:val="32"/>
        </w:rPr>
        <w:t>%；社会保障和就业支出</w:t>
      </w:r>
      <w:r>
        <w:rPr>
          <w:rFonts w:hint="eastAsia" w:ascii="仿宋_GB2312" w:hAnsi="仿宋_GB2312" w:eastAsia="仿宋_GB2312" w:cs="仿宋_GB2312"/>
          <w:sz w:val="32"/>
          <w:szCs w:val="32"/>
          <w:lang w:val="en-US" w:eastAsia="zh-CN"/>
        </w:rPr>
        <w:t>215.37</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6.41</w:t>
      </w:r>
      <w:r>
        <w:rPr>
          <w:rFonts w:hint="eastAsia" w:ascii="仿宋_GB2312" w:hAnsi="仿宋_GB2312" w:eastAsia="仿宋_GB2312" w:cs="仿宋_GB2312"/>
          <w:sz w:val="32"/>
          <w:szCs w:val="32"/>
        </w:rPr>
        <w:t>%;卫生健康支出</w:t>
      </w:r>
      <w:r>
        <w:rPr>
          <w:rFonts w:hint="eastAsia" w:ascii="仿宋_GB2312" w:hAnsi="仿宋_GB2312" w:eastAsia="仿宋_GB2312" w:cs="仿宋_GB2312"/>
          <w:sz w:val="32"/>
          <w:szCs w:val="32"/>
          <w:lang w:val="en-US" w:eastAsia="zh-CN"/>
        </w:rPr>
        <w:t>176.99万元，占5.27%；农林水支出2774.53万元，占82.64%；社会保障支出181.16万元，占5.40%。</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年度财政拨款支出年初预算数为2733.84万元，支出决算数为</w:t>
      </w:r>
      <w:r>
        <w:rPr>
          <w:rFonts w:hint="eastAsia" w:ascii="仿宋_GB2312" w:hAnsi="仿宋_GB2312" w:eastAsia="仿宋_GB2312" w:cs="仿宋_GB2312"/>
          <w:sz w:val="32"/>
          <w:szCs w:val="32"/>
          <w:lang w:val="en-US" w:eastAsia="zh-CN"/>
        </w:rPr>
        <w:t>3357.31</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122.81</w:t>
      </w:r>
      <w:r>
        <w:rPr>
          <w:rFonts w:hint="eastAsia" w:ascii="仿宋_GB2312" w:hAnsi="仿宋_GB2312" w:eastAsia="仿宋_GB2312" w:cs="仿宋_GB2312"/>
          <w:sz w:val="32"/>
          <w:szCs w:val="32"/>
        </w:rPr>
        <w:t>%，其中：</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Times New Roman" w:hAnsi="Times New Roman" w:eastAsia="仿宋_GB2312"/>
          <w:sz w:val="32"/>
          <w:szCs w:val="32"/>
        </w:rPr>
        <w:t>科学技术支出</w:t>
      </w:r>
      <w:r>
        <w:rPr>
          <w:rFonts w:hint="eastAsia" w:ascii="仿宋_GB2312" w:hAnsi="仿宋_GB2312" w:eastAsia="仿宋_GB2312" w:cs="仿宋_GB2312"/>
          <w:sz w:val="32"/>
          <w:szCs w:val="32"/>
        </w:rPr>
        <w:t>（类）基础研究（款） 自然科学基金（项）。</w:t>
      </w:r>
    </w:p>
    <w:p>
      <w:pPr>
        <w:pStyle w:val="15"/>
        <w:ind w:firstLine="800" w:firstLineChars="250"/>
        <w:rPr>
          <w:rFonts w:hint="eastAsia" w:ascii="Times New Roman" w:hAnsi="Times New Roman" w:eastAsia="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1.13</w:t>
      </w:r>
      <w:r>
        <w:rPr>
          <w:rFonts w:hint="eastAsia" w:ascii="仿宋_GB2312" w:hAnsi="仿宋_GB2312" w:eastAsia="仿宋_GB2312" w:cs="仿宋_GB2312"/>
          <w:sz w:val="32"/>
          <w:szCs w:val="32"/>
        </w:rPr>
        <w:t>万元，</w:t>
      </w:r>
      <w:r>
        <w:rPr>
          <w:rFonts w:hint="eastAsia" w:ascii="Times New Roman" w:hAnsi="Times New Roman" w:eastAsia="仿宋_GB2312"/>
          <w:sz w:val="32"/>
          <w:szCs w:val="32"/>
        </w:rPr>
        <w:t>决算数大于年初预算数的主要原因是：</w:t>
      </w:r>
      <w:r>
        <w:rPr>
          <w:rFonts w:hint="eastAsia" w:ascii="Times New Roman" w:hAnsi="Times New Roman" w:eastAsia="仿宋_GB2312"/>
          <w:sz w:val="32"/>
          <w:szCs w:val="32"/>
          <w:lang w:val="en-US" w:eastAsia="zh-CN"/>
        </w:rPr>
        <w:t>本年度注重农产品品种等方面的研发，相关支出增加。</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Times New Roman" w:hAnsi="Times New Roman" w:eastAsia="仿宋_GB2312"/>
          <w:sz w:val="32"/>
          <w:szCs w:val="32"/>
        </w:rPr>
        <w:t>科学技术支出</w:t>
      </w:r>
      <w:r>
        <w:rPr>
          <w:rFonts w:hint="eastAsia" w:ascii="仿宋_GB2312" w:hAnsi="仿宋_GB2312" w:eastAsia="仿宋_GB2312" w:cs="仿宋_GB2312"/>
          <w:sz w:val="32"/>
          <w:szCs w:val="32"/>
        </w:rPr>
        <w:t>（类）科学技术普及（款）学术交流活动（项）。</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8.13</w:t>
      </w:r>
      <w:r>
        <w:rPr>
          <w:rFonts w:hint="eastAsia" w:ascii="仿宋_GB2312" w:hAnsi="仿宋_GB2312" w:eastAsia="仿宋_GB2312" w:cs="仿宋_GB2312"/>
          <w:sz w:val="32"/>
          <w:szCs w:val="32"/>
        </w:rPr>
        <w:t>万元，</w:t>
      </w:r>
      <w:r>
        <w:rPr>
          <w:rFonts w:hint="eastAsia" w:ascii="Times New Roman" w:hAnsi="Times New Roman" w:eastAsia="仿宋_GB2312"/>
          <w:sz w:val="32"/>
          <w:szCs w:val="32"/>
        </w:rPr>
        <w:t>决算数大于年初预算数的主要原因是：</w:t>
      </w:r>
      <w:r>
        <w:rPr>
          <w:rFonts w:hint="eastAsia" w:ascii="Times New Roman" w:hAnsi="Times New Roman" w:eastAsia="仿宋_GB2312"/>
          <w:sz w:val="32"/>
          <w:szCs w:val="32"/>
          <w:lang w:val="en-US" w:eastAsia="zh-CN"/>
        </w:rPr>
        <w:t>本年度注重农产品品种等方面的研发，相关支出增加。</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社会保障和就业支出（类）行政事业单位养老支出（款） 机关事业单位基本养老保险缴费支出（项）。</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189.81</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189.81</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预算数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预算执行得好。</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社会保障和就业支出（类）抚恤（款）其他优抚支出（项）。</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18.56</w:t>
      </w:r>
      <w:r>
        <w:rPr>
          <w:rFonts w:hint="eastAsia" w:ascii="仿宋_GB2312" w:hAnsi="仿宋_GB2312" w:eastAsia="仿宋_GB2312" w:cs="仿宋_GB2312"/>
          <w:sz w:val="32"/>
          <w:szCs w:val="32"/>
        </w:rPr>
        <w:t>万元，决算数大于年初预算数的主要原因是：</w:t>
      </w:r>
      <w:r>
        <w:rPr>
          <w:rFonts w:hint="eastAsia" w:ascii="仿宋_GB2312" w:hAnsi="仿宋_GB2312" w:eastAsia="仿宋_GB2312" w:cs="仿宋_GB2312"/>
          <w:sz w:val="32"/>
          <w:szCs w:val="32"/>
          <w:lang w:val="en-US" w:eastAsia="zh-CN"/>
        </w:rPr>
        <w:t>本年度单位有人死亡，支出增加。</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社会保障和就业支出（类）其他社会保障和就业支出（款）其他社会保障和就业支出（项）。</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5.8</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120.69</w:t>
      </w:r>
      <w:r>
        <w:rPr>
          <w:rFonts w:hint="eastAsia" w:ascii="仿宋_GB2312" w:hAnsi="仿宋_GB2312" w:eastAsia="仿宋_GB2312" w:cs="仿宋_GB2312"/>
          <w:sz w:val="32"/>
          <w:szCs w:val="32"/>
        </w:rPr>
        <w:t>%，决算数大于年初预算数的主要原因是：</w:t>
      </w:r>
      <w:r>
        <w:rPr>
          <w:rFonts w:hint="eastAsia" w:ascii="仿宋_GB2312" w:hAnsi="仿宋_GB2312" w:eastAsia="仿宋_GB2312" w:cs="仿宋_GB2312"/>
          <w:sz w:val="32"/>
          <w:szCs w:val="32"/>
          <w:lang w:eastAsia="zh-CN"/>
        </w:rPr>
        <w:t>本年度在职在编</w:t>
      </w:r>
      <w:r>
        <w:rPr>
          <w:rFonts w:hint="eastAsia" w:ascii="仿宋_GB2312" w:hAnsi="仿宋_GB2312" w:eastAsia="仿宋_GB2312" w:cs="仿宋_GB2312"/>
          <w:sz w:val="32"/>
          <w:szCs w:val="32"/>
          <w:lang w:val="en-US" w:eastAsia="zh-CN"/>
        </w:rPr>
        <w:t>人员增加，支出增多。</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卫生健康支出（类）行政事业单位医疗（款）  事业单位医疗（项）。</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176.99</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176.99</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预算数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预算执行得好。</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农林水支出（类）农业农村（款）事业运行（项）。</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2180.07</w:t>
      </w:r>
      <w:r>
        <w:rPr>
          <w:rFonts w:hint="eastAsia" w:ascii="仿宋_GB2312" w:hAnsi="仿宋_GB2312" w:eastAsia="仿宋_GB2312" w:cs="仿宋_GB2312"/>
          <w:sz w:val="32"/>
          <w:szCs w:val="32"/>
        </w:rPr>
        <w:t>万元，支出决算为21</w:t>
      </w:r>
      <w:r>
        <w:rPr>
          <w:rFonts w:hint="eastAsia" w:ascii="仿宋_GB2312" w:hAnsi="仿宋_GB2312" w:eastAsia="仿宋_GB2312" w:cs="仿宋_GB2312"/>
          <w:sz w:val="32"/>
          <w:szCs w:val="32"/>
          <w:lang w:val="en-US" w:eastAsia="zh-CN"/>
        </w:rPr>
        <w:t>56.5</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98.92</w:t>
      </w:r>
      <w:r>
        <w:rPr>
          <w:rFonts w:hint="eastAsia" w:ascii="仿宋_GB2312" w:hAnsi="仿宋_GB2312" w:eastAsia="仿宋_GB2312" w:cs="仿宋_GB2312"/>
          <w:sz w:val="32"/>
          <w:szCs w:val="32"/>
        </w:rPr>
        <w:t>%，决算数小于年初预算数的主要原因是：</w:t>
      </w:r>
      <w:r>
        <w:rPr>
          <w:rFonts w:hint="eastAsia" w:ascii="仿宋_GB2312" w:hAnsi="仿宋_GB2312" w:eastAsia="仿宋_GB2312" w:cs="仿宋_GB2312"/>
          <w:sz w:val="32"/>
          <w:szCs w:val="32"/>
          <w:lang w:val="en-US" w:eastAsia="zh-CN"/>
        </w:rPr>
        <w:t>认真贯彻落实中央“八项规定”精神和厉行节约要求。</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农林水支出（类）农业农村（款）科技转化与推广服务（项）。</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24.51</w:t>
      </w:r>
      <w:r>
        <w:rPr>
          <w:rFonts w:hint="eastAsia" w:ascii="仿宋_GB2312" w:hAnsi="仿宋_GB2312" w:eastAsia="仿宋_GB2312" w:cs="仿宋_GB2312"/>
          <w:sz w:val="32"/>
          <w:szCs w:val="32"/>
        </w:rPr>
        <w:t>万元，决算数大于年初预算数的主要原因是：</w:t>
      </w:r>
      <w:r>
        <w:rPr>
          <w:rFonts w:hint="eastAsia" w:ascii="仿宋_GB2312" w:hAnsi="仿宋_GB2312" w:eastAsia="仿宋_GB2312" w:cs="仿宋_GB2312"/>
          <w:sz w:val="32"/>
          <w:szCs w:val="32"/>
          <w:lang w:val="en-US" w:eastAsia="zh-CN"/>
        </w:rPr>
        <w:t>本年度使用上年结余资金。</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农林水支出（类）农业农村（款） 农业生产发展（项）。</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62.8</w:t>
      </w:r>
      <w:r>
        <w:rPr>
          <w:rFonts w:hint="eastAsia" w:ascii="仿宋_GB2312" w:hAnsi="仿宋_GB2312" w:eastAsia="仿宋_GB2312" w:cs="仿宋_GB2312"/>
          <w:sz w:val="32"/>
          <w:szCs w:val="32"/>
        </w:rPr>
        <w:t>万元，决算数大于年初预算数的主要原因是：</w:t>
      </w:r>
      <w:r>
        <w:rPr>
          <w:rFonts w:hint="eastAsia" w:ascii="仿宋_GB2312" w:hAnsi="仿宋_GB2312" w:eastAsia="仿宋_GB2312" w:cs="仿宋_GB2312"/>
          <w:sz w:val="32"/>
          <w:szCs w:val="32"/>
          <w:lang w:val="en-US" w:eastAsia="zh-CN"/>
        </w:rPr>
        <w:t>本年度注重农产品品种等方面的研发，相关支出增加。</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农林水支出（类）农业农村（款） 农业资源保护修复与利用（项）。</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2.65</w:t>
      </w:r>
      <w:r>
        <w:rPr>
          <w:rFonts w:hint="eastAsia" w:ascii="仿宋_GB2312" w:hAnsi="仿宋_GB2312" w:eastAsia="仿宋_GB2312" w:cs="仿宋_GB2312"/>
          <w:sz w:val="32"/>
          <w:szCs w:val="32"/>
        </w:rPr>
        <w:t>万元，决算数大于年初预算数的主要原因是：</w:t>
      </w:r>
      <w:r>
        <w:rPr>
          <w:rFonts w:hint="eastAsia" w:ascii="仿宋_GB2312" w:hAnsi="仿宋_GB2312" w:eastAsia="仿宋_GB2312" w:cs="仿宋_GB2312"/>
          <w:sz w:val="32"/>
          <w:szCs w:val="32"/>
          <w:lang w:val="en-US" w:eastAsia="zh-CN"/>
        </w:rPr>
        <w:t>本年度使用上级转移支付资金。</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农林水支出（类）农业农村（款） 渔业发展（项）。</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124.36</w:t>
      </w:r>
      <w:r>
        <w:rPr>
          <w:rFonts w:hint="eastAsia" w:ascii="仿宋_GB2312" w:hAnsi="仿宋_GB2312" w:eastAsia="仿宋_GB2312" w:cs="仿宋_GB2312"/>
          <w:sz w:val="32"/>
          <w:szCs w:val="32"/>
        </w:rPr>
        <w:t>万元，决算数大于年初预算数的主要原因是：</w:t>
      </w:r>
      <w:r>
        <w:rPr>
          <w:rFonts w:hint="eastAsia" w:ascii="仿宋_GB2312" w:hAnsi="仿宋_GB2312" w:eastAsia="仿宋_GB2312" w:cs="仿宋_GB2312"/>
          <w:sz w:val="32"/>
          <w:szCs w:val="32"/>
          <w:lang w:val="en-US" w:eastAsia="zh-CN"/>
        </w:rPr>
        <w:t>本年度使用上级转移支付资金。</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rPr>
        <w:t>农林水支出（类）农业农村（款）其他农业农村支出（项）。</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403.71</w:t>
      </w:r>
      <w:r>
        <w:rPr>
          <w:rFonts w:hint="eastAsia" w:ascii="仿宋_GB2312" w:hAnsi="仿宋_GB2312" w:eastAsia="仿宋_GB2312" w:cs="仿宋_GB2312"/>
          <w:sz w:val="32"/>
          <w:szCs w:val="32"/>
        </w:rPr>
        <w:t>万元，决算数大于年初预算数的主要原因是：</w:t>
      </w:r>
      <w:r>
        <w:rPr>
          <w:rFonts w:hint="eastAsia" w:ascii="仿宋_GB2312" w:hAnsi="仿宋_GB2312" w:eastAsia="仿宋_GB2312" w:cs="仿宋_GB2312"/>
          <w:sz w:val="32"/>
          <w:szCs w:val="32"/>
          <w:lang w:val="en-US" w:eastAsia="zh-CN"/>
        </w:rPr>
        <w:t>本年度使用上级转移支付资金。</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13、</w:t>
      </w:r>
      <w:r>
        <w:rPr>
          <w:rFonts w:hint="eastAsia" w:ascii="仿宋_GB2312" w:hAnsi="仿宋_GB2312" w:eastAsia="仿宋_GB2312" w:cs="仿宋_GB2312"/>
          <w:sz w:val="32"/>
          <w:szCs w:val="32"/>
        </w:rPr>
        <w:t>住房保障支出（类）住房改革支出（款）住房公积金（项）。</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181.16</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181.16</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预算数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预算执行得好。</w:t>
      </w:r>
    </w:p>
    <w:p>
      <w:pPr>
        <w:pStyle w:val="15"/>
        <w:keepNext w:val="0"/>
        <w:keepLines w:val="0"/>
        <w:pageBreakBefore w:val="0"/>
        <w:widowControl w:val="0"/>
        <w:kinsoku/>
        <w:wordWrap/>
        <w:overflowPunct/>
        <w:topLinePunct w:val="0"/>
        <w:bidi w:val="0"/>
        <w:snapToGrid/>
        <w:spacing w:line="600" w:lineRule="exact"/>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年度财政拨款基本支出</w:t>
      </w:r>
      <w:r>
        <w:rPr>
          <w:rFonts w:hint="eastAsia" w:ascii="仿宋_GB2312" w:hAnsi="仿宋_GB2312" w:eastAsia="仿宋_GB2312" w:cs="仿宋_GB2312"/>
          <w:sz w:val="32"/>
          <w:szCs w:val="32"/>
          <w:lang w:val="en-US" w:eastAsia="zh-CN"/>
        </w:rPr>
        <w:t>3144.12</w:t>
      </w:r>
      <w:r>
        <w:rPr>
          <w:rFonts w:hint="eastAsia" w:ascii="仿宋_GB2312" w:hAnsi="仿宋_GB2312" w:eastAsia="仿宋_GB2312" w:cs="仿宋_GB2312"/>
          <w:sz w:val="32"/>
          <w:szCs w:val="32"/>
        </w:rPr>
        <w:t>万元，其中：</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rPr>
        <w:t>2868.1</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万元，占基本支出的</w:t>
      </w:r>
      <w:r>
        <w:rPr>
          <w:rFonts w:hint="eastAsia" w:ascii="仿宋_GB2312" w:hAnsi="仿宋_GB2312" w:eastAsia="仿宋_GB2312" w:cs="仿宋_GB2312"/>
          <w:sz w:val="32"/>
          <w:szCs w:val="32"/>
          <w:lang w:val="en-US" w:eastAsia="zh-CN"/>
        </w:rPr>
        <w:t>91.22</w:t>
      </w:r>
      <w:r>
        <w:rPr>
          <w:rFonts w:hint="eastAsia" w:ascii="仿宋_GB2312" w:hAnsi="仿宋_GB2312" w:eastAsia="仿宋_GB2312" w:cs="仿宋_GB2312"/>
          <w:sz w:val="32"/>
          <w:szCs w:val="32"/>
        </w:rPr>
        <w:t>%,</w:t>
      </w:r>
      <w:r>
        <w:rPr>
          <w:rFonts w:hint="eastAsia" w:ascii="Times New Roman" w:hAnsi="Times New Roman" w:eastAsia="仿宋_GB2312"/>
          <w:sz w:val="32"/>
          <w:szCs w:val="32"/>
        </w:rPr>
        <w:t>主要包括基本工资、津贴补贴、奖金、伙食补助费</w:t>
      </w:r>
      <w:r>
        <w:rPr>
          <w:rFonts w:hint="eastAsia" w:ascii="Times New Roman" w:hAnsi="Times New Roman" w:eastAsia="仿宋_GB2312"/>
          <w:sz w:val="32"/>
          <w:szCs w:val="32"/>
          <w:lang w:eastAsia="zh-CN"/>
        </w:rPr>
        <w:t>、绩效工资、机关事业单位基本养老保险缴费、 职业年金缴费、职工基本医疗保险缴费、其他社会保障缴费、住房公积金、对个人和家庭的补助、退休费、抚恤金、奖励金、其他对个人和家庭的补助。</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highlight w:val="none"/>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lang w:val="en-US" w:eastAsia="zh-CN"/>
        </w:rPr>
        <w:t>276.02</w:t>
      </w:r>
      <w:r>
        <w:rPr>
          <w:rFonts w:hint="eastAsia" w:ascii="仿宋_GB2312" w:hAnsi="仿宋_GB2312" w:eastAsia="仿宋_GB2312" w:cs="仿宋_GB2312"/>
          <w:sz w:val="32"/>
          <w:szCs w:val="32"/>
        </w:rPr>
        <w:t>万元，占基本支出的</w:t>
      </w:r>
      <w:r>
        <w:rPr>
          <w:rFonts w:hint="eastAsia" w:ascii="仿宋_GB2312" w:hAnsi="仿宋_GB2312" w:eastAsia="仿宋_GB2312" w:cs="仿宋_GB2312"/>
          <w:sz w:val="32"/>
          <w:szCs w:val="32"/>
          <w:lang w:val="en-US" w:eastAsia="zh-CN"/>
        </w:rPr>
        <w:t>8.78</w:t>
      </w:r>
      <w:r>
        <w:rPr>
          <w:rFonts w:hint="eastAsia" w:ascii="仿宋_GB2312" w:hAnsi="仿宋_GB2312" w:eastAsia="仿宋_GB2312" w:cs="仿宋_GB2312"/>
          <w:sz w:val="32"/>
          <w:szCs w:val="32"/>
        </w:rPr>
        <w:t>%，</w:t>
      </w:r>
      <w:r>
        <w:rPr>
          <w:rFonts w:hint="eastAsia" w:ascii="Times New Roman" w:hAnsi="Times New Roman" w:eastAsia="仿宋_GB2312"/>
          <w:sz w:val="32"/>
          <w:szCs w:val="32"/>
        </w:rPr>
        <w:t>主要包括办公费、印刷费、</w:t>
      </w:r>
      <w:r>
        <w:rPr>
          <w:rFonts w:hint="eastAsia" w:ascii="Times New Roman" w:hAnsi="Times New Roman" w:eastAsia="仿宋_GB2312"/>
          <w:sz w:val="32"/>
          <w:szCs w:val="32"/>
          <w:highlight w:val="none"/>
          <w:lang w:eastAsia="zh-CN"/>
        </w:rPr>
        <w:t>水费、电费、邮电费、物业管理费、差旅费、 维修（护）费、租赁费、培训费、公务接待费、专用材料费、专用燃料费、 劳务费、 委托业务费、工会经费、 福利费、公务用车运行维护费、其他交通费用、税金及附加费用、其他商品和服务支出、资本性支出</w:t>
      </w:r>
      <w:r>
        <w:rPr>
          <w:rFonts w:hint="eastAsia" w:ascii="Times New Roman" w:hAnsi="Times New Roman" w:eastAsia="仿宋_GB2312"/>
          <w:sz w:val="32"/>
          <w:szCs w:val="32"/>
          <w:highlight w:val="none"/>
        </w:rPr>
        <w:t>。</w:t>
      </w:r>
    </w:p>
    <w:p>
      <w:pPr>
        <w:pStyle w:val="15"/>
        <w:keepNext w:val="0"/>
        <w:keepLines w:val="0"/>
        <w:pageBreakBefore w:val="0"/>
        <w:widowControl w:val="0"/>
        <w:kinsoku/>
        <w:wordWrap/>
        <w:overflowPunct/>
        <w:topLinePunct w:val="0"/>
        <w:bidi w:val="0"/>
        <w:snapToGrid/>
        <w:spacing w:line="600" w:lineRule="exact"/>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pPr>
        <w:keepNext w:val="0"/>
        <w:keepLines w:val="0"/>
        <w:pageBreakBefore w:val="0"/>
        <w:widowControl w:val="0"/>
        <w:kinsoku/>
        <w:wordWrap/>
        <w:overflowPunct/>
        <w:topLinePunct w:val="0"/>
        <w:autoSpaceDE w:val="0"/>
        <w:autoSpaceDN w:val="0"/>
        <w:bidi w:val="0"/>
        <w:adjustRightInd w:val="0"/>
        <w:snapToGrid/>
        <w:spacing w:line="600" w:lineRule="exact"/>
        <w:textAlignment w:val="auto"/>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sz w:val="32"/>
          <w:szCs w:val="32"/>
        </w:rPr>
        <w:t xml:space="preserve">   </w:t>
      </w:r>
      <w:r>
        <w:rPr>
          <w:rFonts w:hint="eastAsia" w:ascii="仿宋_GB2312" w:hAnsi="仿宋_GB2312" w:eastAsia="仿宋_GB2312" w:cs="仿宋_GB2312"/>
          <w:color w:val="000000"/>
          <w:kern w:val="0"/>
          <w:sz w:val="32"/>
          <w:szCs w:val="32"/>
          <w:lang w:val="en-US" w:eastAsia="zh-CN" w:bidi="ar-SA"/>
        </w:rPr>
        <w:t xml:space="preserve">  2023年度政府性基金预算财政拨款收入0万元；年初结转和结余0万元；支出0万元，其中基本支出0万元，项目支出0万元；年末结转和结余0万元。</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2023年度国有资本经营预算财政拨款收入0万元；年初结转和结余0万；支出0万元，其中：基本支出0万元，项目支出0万元；年末结转和结余0万元。</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“三公”经费财政拨款支出预算为9.71万元，支出决算为9.71万元，完成预算的100%，与上年相比减少1.26万元，减少11.49%,减少的主要原因是厉行节约。其中：</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因公出国（境）费支出预算为0万元，支出决算为0万元，</w:t>
      </w:r>
      <w:r>
        <w:rPr>
          <w:rFonts w:hint="eastAsia" w:ascii="仿宋_GB2312" w:hAnsi="仿宋_GB2312" w:eastAsia="仿宋_GB2312" w:cs="仿宋_GB2312"/>
          <w:color w:val="000000"/>
          <w:kern w:val="0"/>
          <w:sz w:val="32"/>
          <w:szCs w:val="32"/>
          <w:lang w:val="zh-CN" w:eastAsia="zh-CN" w:bidi="ar-SA"/>
        </w:rPr>
        <w:t>决算数与预算数一致，我单位严格按预算执行决算。</w:t>
      </w:r>
      <w:r>
        <w:rPr>
          <w:rFonts w:hint="eastAsia" w:ascii="仿宋_GB2312" w:hAnsi="仿宋_GB2312" w:eastAsia="仿宋_GB2312" w:cs="仿宋_GB2312"/>
          <w:color w:val="000000"/>
          <w:kern w:val="0"/>
          <w:sz w:val="32"/>
          <w:szCs w:val="32"/>
          <w:lang w:val="en-US" w:eastAsia="zh-CN" w:bidi="ar-SA"/>
        </w:rPr>
        <w:t>与上年一致，无增减变动，主要原因是未安排因公出国（境）活动。</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公务接待费支出预算为1.29万元，支出决算为1.29万元，完成预算的100%，决算数等于预算数,原因是</w:t>
      </w:r>
      <w:r>
        <w:rPr>
          <w:rFonts w:hint="eastAsia" w:ascii="仿宋_GB2312" w:hAnsi="仿宋_GB2312" w:eastAsia="仿宋_GB2312" w:cs="仿宋_GB2312"/>
          <w:color w:val="000000"/>
          <w:kern w:val="0"/>
          <w:sz w:val="32"/>
          <w:szCs w:val="32"/>
          <w:lang w:val="zh-CN" w:eastAsia="zh-CN" w:bidi="ar-SA"/>
        </w:rPr>
        <w:t>我单位严格按预算执行决算。</w:t>
      </w:r>
      <w:r>
        <w:rPr>
          <w:rFonts w:hint="eastAsia" w:ascii="仿宋_GB2312" w:hAnsi="仿宋_GB2312" w:eastAsia="仿宋_GB2312" w:cs="仿宋_GB2312"/>
          <w:color w:val="000000"/>
          <w:kern w:val="0"/>
          <w:sz w:val="32"/>
          <w:szCs w:val="32"/>
          <w:lang w:val="en-US" w:eastAsia="zh-CN" w:bidi="ar-SA"/>
        </w:rPr>
        <w:t>与上年相比减少0.12万元，减少8.51%,减少的主要原因是</w:t>
      </w:r>
      <w:r>
        <w:rPr>
          <w:rFonts w:hint="eastAsia" w:ascii="仿宋_GB2312" w:hAnsi="仿宋_GB2312" w:eastAsia="仿宋_GB2312" w:cs="仿宋_GB2312"/>
          <w:color w:val="000000"/>
          <w:kern w:val="0"/>
          <w:sz w:val="32"/>
          <w:szCs w:val="32"/>
          <w:lang w:val="zh-CN" w:eastAsia="zh-CN" w:bidi="ar-SA"/>
        </w:rPr>
        <w:t>认真贯彻落实中央</w:t>
      </w:r>
      <w:r>
        <w:rPr>
          <w:rFonts w:hint="default" w:ascii="仿宋_GB2312" w:hAnsi="仿宋_GB2312" w:eastAsia="仿宋_GB2312" w:cs="仿宋_GB2312"/>
          <w:color w:val="000000"/>
          <w:kern w:val="0"/>
          <w:sz w:val="32"/>
          <w:szCs w:val="32"/>
          <w:lang w:val="zh-CN" w:eastAsia="zh-CN" w:bidi="ar-SA"/>
        </w:rPr>
        <w:t>“</w:t>
      </w:r>
      <w:r>
        <w:rPr>
          <w:rFonts w:hint="eastAsia" w:ascii="仿宋_GB2312" w:hAnsi="仿宋_GB2312" w:eastAsia="仿宋_GB2312" w:cs="仿宋_GB2312"/>
          <w:color w:val="000000"/>
          <w:kern w:val="0"/>
          <w:sz w:val="32"/>
          <w:szCs w:val="32"/>
          <w:lang w:val="zh-CN" w:eastAsia="zh-CN" w:bidi="ar-SA"/>
        </w:rPr>
        <w:t>八项规定</w:t>
      </w:r>
      <w:r>
        <w:rPr>
          <w:rFonts w:hint="default" w:ascii="仿宋_GB2312" w:hAnsi="仿宋_GB2312" w:eastAsia="仿宋_GB2312" w:cs="仿宋_GB2312"/>
          <w:color w:val="000000"/>
          <w:kern w:val="0"/>
          <w:sz w:val="32"/>
          <w:szCs w:val="32"/>
          <w:lang w:val="zh-CN" w:eastAsia="zh-CN" w:bidi="ar-SA"/>
        </w:rPr>
        <w:t>”</w:t>
      </w:r>
      <w:r>
        <w:rPr>
          <w:rFonts w:hint="eastAsia" w:ascii="仿宋_GB2312" w:hAnsi="仿宋_GB2312" w:eastAsia="仿宋_GB2312" w:cs="仿宋_GB2312"/>
          <w:color w:val="000000"/>
          <w:kern w:val="0"/>
          <w:sz w:val="32"/>
          <w:szCs w:val="32"/>
          <w:lang w:val="zh-CN" w:eastAsia="zh-CN" w:bidi="ar-SA"/>
        </w:rPr>
        <w:t>精神和厉行节约要求，从严控制</w:t>
      </w:r>
      <w:r>
        <w:rPr>
          <w:rFonts w:hint="default" w:ascii="仿宋_GB2312" w:hAnsi="仿宋_GB2312" w:eastAsia="仿宋_GB2312" w:cs="仿宋_GB2312"/>
          <w:color w:val="000000"/>
          <w:kern w:val="0"/>
          <w:sz w:val="32"/>
          <w:szCs w:val="32"/>
          <w:lang w:val="zh-CN" w:eastAsia="zh-CN" w:bidi="ar-SA"/>
        </w:rPr>
        <w:t>“</w:t>
      </w:r>
      <w:r>
        <w:rPr>
          <w:rFonts w:hint="eastAsia" w:ascii="仿宋_GB2312" w:hAnsi="仿宋_GB2312" w:eastAsia="仿宋_GB2312" w:cs="仿宋_GB2312"/>
          <w:color w:val="000000"/>
          <w:kern w:val="0"/>
          <w:sz w:val="32"/>
          <w:szCs w:val="32"/>
          <w:lang w:val="zh-CN" w:eastAsia="zh-CN" w:bidi="ar-SA"/>
        </w:rPr>
        <w:t>三公</w:t>
      </w:r>
      <w:r>
        <w:rPr>
          <w:rFonts w:hint="default" w:ascii="仿宋_GB2312" w:hAnsi="仿宋_GB2312" w:eastAsia="仿宋_GB2312" w:cs="仿宋_GB2312"/>
          <w:color w:val="000000"/>
          <w:kern w:val="0"/>
          <w:sz w:val="32"/>
          <w:szCs w:val="32"/>
          <w:lang w:val="zh-CN" w:eastAsia="zh-CN" w:bidi="ar-SA"/>
        </w:rPr>
        <w:t>”</w:t>
      </w:r>
      <w:r>
        <w:rPr>
          <w:rFonts w:hint="eastAsia" w:ascii="仿宋_GB2312" w:hAnsi="仿宋_GB2312" w:eastAsia="仿宋_GB2312" w:cs="仿宋_GB2312"/>
          <w:color w:val="000000"/>
          <w:kern w:val="0"/>
          <w:sz w:val="32"/>
          <w:szCs w:val="32"/>
          <w:lang w:val="zh-CN" w:eastAsia="zh-CN" w:bidi="ar-SA"/>
        </w:rPr>
        <w:t>经费开支</w:t>
      </w:r>
      <w:r>
        <w:rPr>
          <w:rFonts w:hint="eastAsia" w:ascii="仿宋_GB2312" w:hAnsi="仿宋_GB2312" w:eastAsia="仿宋_GB2312" w:cs="仿宋_GB2312"/>
          <w:color w:val="000000"/>
          <w:kern w:val="0"/>
          <w:sz w:val="32"/>
          <w:szCs w:val="32"/>
          <w:lang w:val="en-US" w:eastAsia="zh-CN" w:bidi="ar-SA"/>
        </w:rPr>
        <w:t>。</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公务用车购置费支出预算为0万元，支出决算为0万元，决算数等于预算数，</w:t>
      </w:r>
      <w:r>
        <w:rPr>
          <w:rFonts w:hint="eastAsia" w:ascii="仿宋_GB2312" w:hAnsi="仿宋_GB2312" w:eastAsia="仿宋_GB2312" w:cs="仿宋_GB2312"/>
          <w:color w:val="000000"/>
          <w:kern w:val="0"/>
          <w:sz w:val="32"/>
          <w:szCs w:val="32"/>
          <w:lang w:val="zh-CN" w:eastAsia="zh-CN" w:bidi="ar-SA"/>
        </w:rPr>
        <w:t>决算数与预算数一致，我单位严格按预算执行决算。</w:t>
      </w:r>
      <w:r>
        <w:rPr>
          <w:rFonts w:hint="eastAsia" w:ascii="仿宋_GB2312" w:hAnsi="仿宋_GB2312" w:eastAsia="仿宋_GB2312" w:cs="仿宋_GB2312"/>
          <w:color w:val="000000"/>
          <w:kern w:val="0"/>
          <w:sz w:val="32"/>
          <w:szCs w:val="32"/>
          <w:lang w:val="en-US" w:eastAsia="zh-CN" w:bidi="ar-SA"/>
        </w:rPr>
        <w:t>与上年一致，无增减变动，主要原因是两年均未购置公务用车。”</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公务用车运行维护费支出预算为8.43万元，支出决算为8.43万元，完成预算的100%，</w:t>
      </w:r>
      <w:r>
        <w:rPr>
          <w:rFonts w:hint="eastAsia" w:ascii="仿宋_GB2312" w:hAnsi="仿宋_GB2312" w:eastAsia="仿宋_GB2312" w:cs="仿宋_GB2312"/>
          <w:color w:val="000000"/>
          <w:kern w:val="0"/>
          <w:sz w:val="32"/>
          <w:szCs w:val="32"/>
          <w:lang w:val="zh-CN" w:eastAsia="zh-CN" w:bidi="ar-SA"/>
        </w:rPr>
        <w:t>决算数与预算数一致，我单位严格按预算执行决算</w:t>
      </w:r>
      <w:r>
        <w:rPr>
          <w:rFonts w:hint="eastAsia" w:ascii="仿宋_GB2312" w:hAnsi="仿宋_GB2312" w:eastAsia="仿宋_GB2312" w:cs="仿宋_GB2312"/>
          <w:color w:val="000000"/>
          <w:kern w:val="0"/>
          <w:sz w:val="32"/>
          <w:szCs w:val="32"/>
          <w:lang w:val="en-US" w:eastAsia="zh-CN" w:bidi="ar-SA"/>
        </w:rPr>
        <w:t>，与上年相比减少1.13万元，减少11.82%,减少的主要原因是</w:t>
      </w:r>
      <w:r>
        <w:rPr>
          <w:rFonts w:hint="eastAsia" w:ascii="仿宋_GB2312" w:hAnsi="仿宋_GB2312" w:eastAsia="仿宋_GB2312" w:cs="仿宋_GB2312"/>
          <w:color w:val="000000"/>
          <w:kern w:val="0"/>
          <w:sz w:val="32"/>
          <w:szCs w:val="32"/>
          <w:lang w:val="zh-CN" w:eastAsia="zh-CN" w:bidi="ar-SA"/>
        </w:rPr>
        <w:t>认真贯彻落实中央</w:t>
      </w:r>
      <w:r>
        <w:rPr>
          <w:rFonts w:hint="default" w:ascii="仿宋_GB2312" w:hAnsi="仿宋_GB2312" w:eastAsia="仿宋_GB2312" w:cs="仿宋_GB2312"/>
          <w:color w:val="000000"/>
          <w:kern w:val="0"/>
          <w:sz w:val="32"/>
          <w:szCs w:val="32"/>
          <w:lang w:val="zh-CN" w:eastAsia="zh-CN" w:bidi="ar-SA"/>
        </w:rPr>
        <w:t>“</w:t>
      </w:r>
      <w:r>
        <w:rPr>
          <w:rFonts w:hint="eastAsia" w:ascii="仿宋_GB2312" w:hAnsi="仿宋_GB2312" w:eastAsia="仿宋_GB2312" w:cs="仿宋_GB2312"/>
          <w:color w:val="000000"/>
          <w:kern w:val="0"/>
          <w:sz w:val="32"/>
          <w:szCs w:val="32"/>
          <w:lang w:val="zh-CN" w:eastAsia="zh-CN" w:bidi="ar-SA"/>
        </w:rPr>
        <w:t>八项规定</w:t>
      </w:r>
      <w:r>
        <w:rPr>
          <w:rFonts w:hint="default" w:ascii="仿宋_GB2312" w:hAnsi="仿宋_GB2312" w:eastAsia="仿宋_GB2312" w:cs="仿宋_GB2312"/>
          <w:color w:val="000000"/>
          <w:kern w:val="0"/>
          <w:sz w:val="32"/>
          <w:szCs w:val="32"/>
          <w:lang w:val="zh-CN" w:eastAsia="zh-CN" w:bidi="ar-SA"/>
        </w:rPr>
        <w:t>”</w:t>
      </w:r>
      <w:r>
        <w:rPr>
          <w:rFonts w:hint="eastAsia" w:ascii="仿宋_GB2312" w:hAnsi="仿宋_GB2312" w:eastAsia="仿宋_GB2312" w:cs="仿宋_GB2312"/>
          <w:color w:val="000000"/>
          <w:kern w:val="0"/>
          <w:sz w:val="32"/>
          <w:szCs w:val="32"/>
          <w:lang w:val="zh-CN" w:eastAsia="zh-CN" w:bidi="ar-SA"/>
        </w:rPr>
        <w:t>精神和厉行节约要求，从严控制</w:t>
      </w:r>
      <w:r>
        <w:rPr>
          <w:rFonts w:hint="default" w:ascii="仿宋_GB2312" w:hAnsi="仿宋_GB2312" w:eastAsia="仿宋_GB2312" w:cs="仿宋_GB2312"/>
          <w:color w:val="000000"/>
          <w:kern w:val="0"/>
          <w:sz w:val="32"/>
          <w:szCs w:val="32"/>
          <w:lang w:val="zh-CN" w:eastAsia="zh-CN" w:bidi="ar-SA"/>
        </w:rPr>
        <w:t>“</w:t>
      </w:r>
      <w:r>
        <w:rPr>
          <w:rFonts w:hint="eastAsia" w:ascii="仿宋_GB2312" w:hAnsi="仿宋_GB2312" w:eastAsia="仿宋_GB2312" w:cs="仿宋_GB2312"/>
          <w:color w:val="000000"/>
          <w:kern w:val="0"/>
          <w:sz w:val="32"/>
          <w:szCs w:val="32"/>
          <w:lang w:val="zh-CN" w:eastAsia="zh-CN" w:bidi="ar-SA"/>
        </w:rPr>
        <w:t>三公</w:t>
      </w:r>
      <w:r>
        <w:rPr>
          <w:rFonts w:hint="default" w:ascii="仿宋_GB2312" w:hAnsi="仿宋_GB2312" w:eastAsia="仿宋_GB2312" w:cs="仿宋_GB2312"/>
          <w:color w:val="000000"/>
          <w:kern w:val="0"/>
          <w:sz w:val="32"/>
          <w:szCs w:val="32"/>
          <w:lang w:val="zh-CN" w:eastAsia="zh-CN" w:bidi="ar-SA"/>
        </w:rPr>
        <w:t>”</w:t>
      </w:r>
      <w:r>
        <w:rPr>
          <w:rFonts w:hint="eastAsia" w:ascii="仿宋_GB2312" w:hAnsi="仿宋_GB2312" w:eastAsia="仿宋_GB2312" w:cs="仿宋_GB2312"/>
          <w:color w:val="000000"/>
          <w:kern w:val="0"/>
          <w:sz w:val="32"/>
          <w:szCs w:val="32"/>
          <w:lang w:val="zh-CN" w:eastAsia="zh-CN" w:bidi="ar-SA"/>
        </w:rPr>
        <w:t>经费开支</w:t>
      </w:r>
      <w:r>
        <w:rPr>
          <w:rFonts w:hint="eastAsia" w:ascii="仿宋_GB2312" w:hAnsi="仿宋_GB2312" w:eastAsia="仿宋_GB2312" w:cs="仿宋_GB2312"/>
          <w:color w:val="000000"/>
          <w:kern w:val="0"/>
          <w:sz w:val="32"/>
          <w:szCs w:val="32"/>
          <w:lang w:val="en-US" w:eastAsia="zh-CN" w:bidi="ar-SA"/>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2023年度“三公”经费财政拨款支出决算中，公务接待费支出决算1.29万元，占13.18%,因公出国（境）费支出决算0万元，占0%,公务用车购置费及运行维护费支出决算8.43万元，占86.82%。其中：</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1、因公出国（境）费支出预算为0万元，支出决算为0万元，决算数等于预算数，主要原因是我单位严格按预算执行决算；与上年一致，无增减变动，主要原因是未安排因公出国（境）活动。</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2、公务接待费支出决算为1.29万元，全年共接待来访团组18个、来宾99人次，主要是</w:t>
      </w:r>
      <w:r>
        <w:rPr>
          <w:rFonts w:hint="eastAsia" w:ascii="仿宋_GB2312" w:hAnsi="仿宋_GB2312" w:eastAsia="仿宋_GB2312" w:cs="仿宋_GB2312"/>
          <w:color w:val="000000"/>
          <w:kern w:val="0"/>
          <w:sz w:val="32"/>
          <w:szCs w:val="32"/>
          <w:lang w:val="zh-CN" w:eastAsia="zh-CN" w:bidi="ar-SA"/>
        </w:rPr>
        <w:t>用于与地市州相关单位交流工作情况发生的接待支出</w:t>
      </w:r>
      <w:r>
        <w:rPr>
          <w:rFonts w:hint="eastAsia" w:ascii="仿宋_GB2312" w:hAnsi="仿宋_GB2312" w:eastAsia="仿宋_GB2312" w:cs="仿宋_GB2312"/>
          <w:color w:val="000000"/>
          <w:kern w:val="0"/>
          <w:sz w:val="32"/>
          <w:szCs w:val="32"/>
          <w:lang w:val="en-US" w:eastAsia="zh-CN" w:bidi="ar-SA"/>
        </w:rPr>
        <w:t>。</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3、公务用车购置费及运行维护费支出决算为8.43万元，其中：公务用车购置费0万元，当年没有购置公务用车。 公务用车运行维护费支出决算为8.43万元，</w:t>
      </w:r>
      <w:r>
        <w:rPr>
          <w:rFonts w:hint="eastAsia" w:ascii="仿宋_GB2312" w:hAnsi="仿宋_GB2312" w:eastAsia="仿宋_GB2312" w:cs="仿宋_GB2312"/>
          <w:color w:val="000000"/>
          <w:kern w:val="0"/>
          <w:sz w:val="32"/>
          <w:szCs w:val="32"/>
          <w:lang w:val="zh-CN" w:eastAsia="zh-CN" w:bidi="ar-SA"/>
        </w:rPr>
        <w:t>按规定保留的公务用车的燃料费、维修费、过桥过路费、保险费、安全奖励费用等支出</w:t>
      </w:r>
      <w:r>
        <w:rPr>
          <w:rFonts w:hint="eastAsia" w:ascii="仿宋_GB2312" w:hAnsi="仿宋_GB2312" w:eastAsia="仿宋_GB2312" w:cs="仿宋_GB2312"/>
          <w:color w:val="000000"/>
          <w:kern w:val="0"/>
          <w:sz w:val="32"/>
          <w:szCs w:val="32"/>
          <w:lang w:val="en-US" w:eastAsia="zh-CN" w:bidi="ar-SA"/>
        </w:rPr>
        <w:t>，截止2023年12月31日，我单位开支财政拨款的公务用车保有量为3辆。</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lang w:val="zh-CN" w:eastAsia="zh-CN" w:bidi="ar-SA"/>
        </w:rPr>
      </w:pPr>
      <w:r>
        <w:rPr>
          <w:rFonts w:hint="eastAsia" w:ascii="仿宋_GB2312" w:hAnsi="仿宋_GB2312" w:eastAsia="仿宋_GB2312" w:cs="仿宋_GB2312"/>
          <w:color w:val="000000"/>
          <w:kern w:val="0"/>
          <w:sz w:val="32"/>
          <w:szCs w:val="32"/>
          <w:lang w:val="en-US" w:eastAsia="zh-CN" w:bidi="ar-SA"/>
        </w:rPr>
        <w:t>本级和所属单位均为事业单位，按照机关运行经费的口径，本年度机关运行经费为0。</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pPr>
        <w:pStyle w:val="15"/>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2023年年度，会议费年初预算2万元，支出决算为3.21万元，完成年初预算的160.5%。用于召开国家水稻产业体系岳阳综合试验站现场观摩会议，人数45人，内容为2023年工作总结及优质高校水稻新品种现场观摩会。</w:t>
      </w:r>
    </w:p>
    <w:p>
      <w:pPr>
        <w:pStyle w:val="15"/>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培训费年初预算2万元，支出决算为0.68万元，完成年初预算的34%。用于用于开展业务相关培训，人数19人，内容为继续教育个职称升级等。</w:t>
      </w:r>
    </w:p>
    <w:p>
      <w:pPr>
        <w:pStyle w:val="15"/>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本单位无举办节庆、晚会、论坛、赛事等活动的预算和支出决算数。</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pPr>
        <w:pStyle w:val="15"/>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本部门2023年度政府采购支出总额206.62万元，其中：政府采购货物支出126.02万元、政府采购工程支出14.59万元、政府采购服务支出66.01万元。授予中小企业合同金额206.62万元，占政府采购支出总额的100%，其中：授予小微企业合同金额206.62万元，占授予中小企业合同金额的100%。货物采购授予中小企业合同金额占货物支出金额的100%，工程采购授予中小企业合同金额占工程支出金额的100%，服务采购授予中小企业合同金额占服务支出金额的100%。</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pPr>
        <w:pStyle w:val="15"/>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截至2023年12月31日，部门（单位）共有车辆3辆，其中，副部（省）级及以上领导用车0辆、主要负责人用车0辆、机要通信用车0辆、应急保障用车0辆、执法执勤用车0辆、特种专业技术用车0辆、离退休干部服务用车0辆、其他用车3辆，其他用车主要是用于机要通信和应急保障之外的公务用途的车辆；单位价值100万元以上设备（不含车辆）0台（套）。</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四</w:t>
      </w:r>
      <w:r>
        <w:rPr>
          <w:rFonts w:hint="eastAsia" w:ascii="黑体" w:hAnsi="黑体" w:eastAsia="黑体" w:cs="黑体"/>
          <w:b w:val="0"/>
          <w:bCs/>
          <w:color w:val="auto"/>
          <w:sz w:val="32"/>
          <w:szCs w:val="32"/>
        </w:rPr>
        <w:t>、关于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pPr>
        <w:pStyle w:val="15"/>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根据预算绩效管理要求，我们组织对2023年度整体支出和项目资金实施了全覆盖性的绩效评价，撰写了绩效自评报告。</w:t>
      </w:r>
    </w:p>
    <w:p>
      <w:pPr>
        <w:pStyle w:val="15"/>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组织开展整体支出绩效评价，涉及一般公共预算支出3428.38万元，政府性基金预算支出0万元，国有资本经营预算支出0万元。从评价情况来看，整体支出绩效评价中，2023年整体支出4374.5万元，其中：基本支出2685.96万元，项目支出1688.54万元，本单位整体支出绩效自评综合评分99.82分，评价结果等次为优。</w:t>
      </w:r>
    </w:p>
    <w:p>
      <w:pPr>
        <w:pStyle w:val="15"/>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组织对一般公共预算项目支出全面开展绩效自评，项目2个，共涉及资金289.42万元，占一般公共预算项目支出总额的135.75</w:t>
      </w:r>
      <w:r>
        <w:rPr>
          <w:rFonts w:hint="eastAsia" w:ascii="仿宋_GB2312" w:hAnsi="仿宋_GB2312" w:eastAsia="仿宋_GB2312" w:cs="仿宋_GB2312"/>
          <w:color w:val="000000"/>
          <w:kern w:val="0"/>
          <w:sz w:val="32"/>
          <w:szCs w:val="32"/>
          <w:lang w:val="en-US" w:eastAsia="zh-CN" w:bidi="ar-SA"/>
        </w:rPr>
        <w:t>%。组织对政府性基金预算项目支出开展绩效自评，项目0个，共涉及资金0</w:t>
      </w:r>
      <w:bookmarkStart w:id="0" w:name="_GoBack"/>
      <w:bookmarkEnd w:id="0"/>
      <w:r>
        <w:rPr>
          <w:rFonts w:hint="eastAsia" w:ascii="仿宋_GB2312" w:hAnsi="仿宋_GB2312" w:eastAsia="仿宋_GB2312" w:cs="仿宋_GB2312"/>
          <w:color w:val="000000"/>
          <w:kern w:val="0"/>
          <w:sz w:val="32"/>
          <w:szCs w:val="32"/>
          <w:lang w:val="en-US" w:eastAsia="zh-CN" w:bidi="ar-SA"/>
        </w:rPr>
        <w:t>万元（由于政府性基金预算项目支出总额为0，故无法计算占政府性基金预算项目支出总额的比重。）组织对国有资本经营预算项目支出开展绩效自评，项目0个，共涉及资金0万元，（由于国有资本经营预算项目支出总额为0，故无法计算占国有资本经营预算项目支出总额的比重）。从评价情况来看，项目绩效自评得分100分，评价结果等次为优。</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w:t>
      </w:r>
      <w:r>
        <w:rPr>
          <w:rFonts w:hint="eastAsia" w:ascii="楷体" w:hAnsi="楷体" w:eastAsia="楷体" w:cs="楷体"/>
          <w:b/>
          <w:bCs/>
          <w:sz w:val="32"/>
          <w:szCs w:val="32"/>
        </w:rPr>
        <w:t>部门</w:t>
      </w:r>
      <w:r>
        <w:rPr>
          <w:rFonts w:hint="eastAsia" w:ascii="楷体" w:hAnsi="楷体" w:eastAsia="楷体" w:cs="楷体"/>
          <w:b/>
          <w:bCs/>
          <w:sz w:val="32"/>
          <w:szCs w:val="32"/>
          <w:lang w:eastAsia="zh-CN"/>
        </w:rPr>
        <w:t>（单位）</w:t>
      </w:r>
      <w:r>
        <w:rPr>
          <w:rFonts w:hint="eastAsia" w:ascii="楷体" w:hAnsi="楷体" w:eastAsia="楷体" w:cs="楷体"/>
          <w:b/>
          <w:bCs/>
          <w:sz w:val="32"/>
          <w:szCs w:val="32"/>
        </w:rPr>
        <w:t>整体支出绩效情况</w:t>
      </w:r>
    </w:p>
    <w:p>
      <w:pPr>
        <w:pStyle w:val="15"/>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根据年初设定的绩效目标，绩效自评得分为99.82分。全年预算数为4445.58 万元，执行数为4374.5 万元，完成预算的98.4%。绩效目标完成情况：一是全面加强党的建设，凝聚市农科院发展强大合力；二是坚持科研立院之本，奋力打造岳阳农业科创高地；三是大力推进人才队伍建设，实施人才兴院战略。</w:t>
      </w:r>
    </w:p>
    <w:p>
      <w:pPr>
        <w:pStyle w:val="15"/>
        <w:keepNext w:val="0"/>
        <w:keepLines w:val="0"/>
        <w:pageBreakBefore w:val="0"/>
        <w:widowControl w:val="0"/>
        <w:numPr>
          <w:ilvl w:val="0"/>
          <w:numId w:val="2"/>
        </w:numPr>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rPr>
        <w:t>存在的问题及原因分析</w:t>
      </w:r>
    </w:p>
    <w:p>
      <w:pPr>
        <w:pStyle w:val="15"/>
        <w:ind w:firstLine="640" w:firstLineChars="200"/>
        <w:rPr>
          <w:rFonts w:hint="default"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存在的主要问题及原因：我院菜科所良种场为下属集体单位，有户籍人口一千多人，随着城镇化的进程，良种场现已面临经费严重紧张的问题，良种场禁违拆违治违工作压力日益加大。下一步改进措施：请求政府将良种场回归社会化管理，人员移交城市街道和社区实行属地管理，由社区服务组织提供相应管理服务。</w:t>
      </w:r>
    </w:p>
    <w:p>
      <w:pPr>
        <w:pStyle w:val="15"/>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预算绩效管理开展情况、绩效目标和绩效评价报告等，已在市政府部门财政预决算公开平台上向社会公开，详见附件。</w:t>
      </w:r>
    </w:p>
    <w:p>
      <w:pPr>
        <w:numPr>
          <w:ilvl w:val="0"/>
          <w:numId w:val="0"/>
        </w:numPr>
        <w:autoSpaceDE w:val="0"/>
        <w:autoSpaceDN w:val="0"/>
        <w:adjustRightInd w:val="0"/>
        <w:jc w:val="left"/>
        <w:rPr>
          <w:rFonts w:hint="eastAsia" w:ascii="楷体" w:hAnsi="楷体" w:eastAsia="楷体" w:cs="楷体"/>
          <w:b/>
          <w:bCs/>
          <w:i w:val="0"/>
          <w:iCs w:val="0"/>
          <w:color w:val="FF0000"/>
          <w:kern w:val="0"/>
          <w:sz w:val="36"/>
          <w:szCs w:val="36"/>
          <w:lang w:val="en-US" w:eastAsia="zh-CN"/>
        </w:rPr>
      </w:pPr>
    </w:p>
    <w:p>
      <w:pPr>
        <w:pStyle w:val="15"/>
        <w:jc w:val="both"/>
        <w:rPr>
          <w:sz w:val="72"/>
          <w:szCs w:val="72"/>
        </w:rPr>
      </w:pPr>
    </w:p>
    <w:p>
      <w:pPr>
        <w:pStyle w:val="15"/>
        <w:jc w:val="both"/>
        <w:rPr>
          <w:sz w:val="72"/>
          <w:szCs w:val="72"/>
        </w:rPr>
      </w:pPr>
    </w:p>
    <w:p>
      <w:pPr>
        <w:pStyle w:val="15"/>
        <w:jc w:val="both"/>
        <w:rPr>
          <w:sz w:val="72"/>
          <w:szCs w:val="72"/>
        </w:rPr>
      </w:pPr>
    </w:p>
    <w:p>
      <w:pPr>
        <w:pStyle w:val="15"/>
        <w:jc w:val="both"/>
        <w:rPr>
          <w:sz w:val="72"/>
          <w:szCs w:val="72"/>
        </w:rPr>
      </w:pPr>
    </w:p>
    <w:p>
      <w:pPr>
        <w:pStyle w:val="15"/>
        <w:jc w:val="both"/>
        <w:rPr>
          <w:sz w:val="72"/>
          <w:szCs w:val="72"/>
        </w:rPr>
      </w:pPr>
    </w:p>
    <w:p>
      <w:pPr>
        <w:pStyle w:val="15"/>
        <w:jc w:val="both"/>
        <w:rPr>
          <w:sz w:val="72"/>
          <w:szCs w:val="72"/>
        </w:rPr>
      </w:pPr>
    </w:p>
    <w:p>
      <w:pPr>
        <w:pStyle w:val="15"/>
        <w:jc w:val="center"/>
        <w:rPr>
          <w:sz w:val="72"/>
          <w:szCs w:val="72"/>
        </w:rPr>
      </w:pPr>
    </w:p>
    <w:p>
      <w:pPr>
        <w:pStyle w:val="15"/>
        <w:jc w:val="center"/>
        <w:rPr>
          <w:rFonts w:hint="eastAsia" w:ascii="方正小标宋_GBK" w:hAnsi="方正小标宋_GBK" w:eastAsia="方正小标宋_GBK" w:cs="方正小标宋_GBK"/>
          <w:sz w:val="70"/>
          <w:szCs w:val="70"/>
          <w:lang w:eastAsia="zh-CN"/>
        </w:rPr>
      </w:pPr>
    </w:p>
    <w:p>
      <w:pPr>
        <w:pStyle w:val="15"/>
        <w:jc w:val="center"/>
        <w:rPr>
          <w:rFonts w:hint="eastAsia" w:ascii="方正小标宋_GBK" w:hAnsi="方正小标宋_GBK" w:eastAsia="方正小标宋_GBK" w:cs="方正小标宋_GBK"/>
          <w:sz w:val="70"/>
          <w:szCs w:val="70"/>
          <w:lang w:eastAsia="zh-CN"/>
        </w:rPr>
      </w:pPr>
    </w:p>
    <w:p>
      <w:pPr>
        <w:pStyle w:val="15"/>
        <w:jc w:val="center"/>
        <w:rPr>
          <w:rFonts w:hint="eastAsia" w:ascii="方正小标宋_GBK" w:hAnsi="方正小标宋_GBK" w:eastAsia="方正小标宋_GBK" w:cs="方正小标宋_GBK"/>
          <w:sz w:val="72"/>
          <w:szCs w:val="72"/>
        </w:rPr>
      </w:pPr>
    </w:p>
    <w:p>
      <w:pPr>
        <w:pStyle w:val="15"/>
        <w:jc w:val="both"/>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color w:val="000000"/>
          <w:kern w:val="0"/>
          <w:sz w:val="70"/>
          <w:szCs w:val="70"/>
        </w:rPr>
      </w:pPr>
      <w:r>
        <w:rPr>
          <w:rFonts w:hint="eastAsia" w:ascii="方正小标宋_GBK" w:hAnsi="方正小标宋_GBK" w:eastAsia="方正小标宋_GBK" w:cs="方正小标宋_GBK"/>
          <w:sz w:val="72"/>
          <w:szCs w:val="72"/>
        </w:rPr>
        <w:t>第四部分</w:t>
      </w:r>
    </w:p>
    <w:p>
      <w:pPr>
        <w:pStyle w:val="15"/>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pPr>
        <w:pStyle w:val="10"/>
      </w:pPr>
    </w:p>
    <w:p>
      <w:pPr>
        <w:pStyle w:val="6"/>
      </w:pPr>
    </w:p>
    <w:p/>
    <w:p>
      <w:pPr>
        <w:pStyle w:val="10"/>
      </w:pPr>
    </w:p>
    <w:p>
      <w:pPr>
        <w:pStyle w:val="6"/>
      </w:pPr>
    </w:p>
    <w:p/>
    <w:p>
      <w:pPr>
        <w:pStyle w:val="10"/>
      </w:pPr>
    </w:p>
    <w:p>
      <w:pPr>
        <w:pStyle w:val="6"/>
      </w:pPr>
    </w:p>
    <w:p/>
    <w:p>
      <w:pPr>
        <w:pStyle w:val="10"/>
      </w:pPr>
    </w:p>
    <w:p/>
    <w:p>
      <w:pPr>
        <w:pStyle w:val="2"/>
      </w:pPr>
    </w:p>
    <w:p/>
    <w:p>
      <w:pPr>
        <w:pStyle w:val="2"/>
      </w:pPr>
    </w:p>
    <w:p/>
    <w:p>
      <w:pPr>
        <w:pStyle w:val="2"/>
      </w:pPr>
    </w:p>
    <w:p/>
    <w:p>
      <w:pPr>
        <w:pStyle w:val="2"/>
      </w:pPr>
    </w:p>
    <w:p/>
    <w:p>
      <w:pPr>
        <w:pStyle w:val="2"/>
      </w:pPr>
    </w:p>
    <w:p/>
    <w:p>
      <w:pPr>
        <w:pStyle w:val="2"/>
      </w:pP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财政拨款收入：指本级财政当年拨付的资金。</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其他收入：指除上述</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财政拨款收入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上级补助收入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事业收入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经营收入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附属单位上缴收入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等以外的收入。</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使用非财政拨款结余：指事业单位在当年的</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财政拨款收入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财政拨款结转和结余资金</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上级补助收入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事业收入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经营收入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附属单位上缴收入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其他收入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不足以安排当年支出情况下，使用以前年度积累的使用非财政拨款结余弥补收支差额的资金（事业单位当年收支相抵后按国家规定提取、用于弥补以后年度收支差额的非财政拨款结余）。</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年初结转和结余：指以前年度尚未完成、结转到本年按有关规定继续使用的资金。</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年末结转和结余资金：指本年度或以前年度预算安排、因客观条件发生变化无法按原计划实施，需要延迟到以后年度按有关规定继续使用的资金。</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科学技术支出（类）：是指用于科学技术方面的支出，包括保障机构正常运转、完成日常和特定的工作任务或事业发展目标的支出。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卫生健康支出（类）：是指用于医疗卫生与计划生育方面的支出，包括保障机构正常运转、完成日常和特定的工作任务或事业发展目标的支出。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节能环保支出（类）：是指用于节能环保支出，包括保障机构正常运转、完成日常和特定的工作任务或事业发展目标的支出。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农林水支出（类）：是指用于农林水事务支出，包括保障机构正常运转、完成日常和特定的工作任务或事业发展目标的支出。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资源勘探工业信息等支出（类）：是指用于资源勘探、制造业、建筑业、工业信息等方面支出，包括保障机构正常运转、完成日常和特定的工作任务或事业发展目标的支出。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自然资源海洋气象等支出（类）：是指用于自然资源、海洋、测绘、气象等公益服务事业方面的支出，包括保障机构正常运转、完成日常和特定的工作任务或事业发展目标的支出。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住房保障支出（类）：是指用于住房方面的支出，包括保障机构正常运转、完成日常和特定的工作任务或事业发展目标的支出。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其他支出（类）：是指用于反映除上述项目以外其他不能划分到具体功能科目中的支出项目，包括保障机构正常运转、完成日常和特定的工作任务或事业发展目标的支出。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基本支出：指保障机构正常运转、完成支日常工作任务而发生的人员支出和公用支出。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项目支出：指在基本支出之外为完成特定行政任务和事业发展目标所发生的支出。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三公</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机关运行经费：指为保障行政单位（包括参照公务员法管理的事业单位）运行用于购买货物和服务的各项资金，包括办公及印刷费、邮电费、差旅费、会议费、福利费、日常维修费、专用材料及一般设备购置费、办公用房水电费、办公用房取暖费、 办公用房物业管理费、 公务用车运行维护费以及其他费用。</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政府采购 ：是指国家各级政府为从事日常的政务活动或为了满足公共服务的目的，利用国家财政性资金和政府借款购买货物、工程和服务的行为。政府采购不仅是指具体的采购过程，而且是采购政策、采购程序、采购过程及采购管理的总称，是一种对公共采购管理的制度。</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工资福利支出：反映单位开支的在职职工和编制外长期聘用人员的各类劳动报酬，以及为上述人员缴纳的各项社会保险费等。</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基本工资：反映按规定发放的基本工资，包括公务员的职务工资、级别工资；机关工人的岗位工资、技术等级工资；事业单位工作人员的岗位工资、薪级工资；各类学校毕业生试用期(见习期)工资、新参加工作工人学徒期、熟练期工资；军队（武警）军官、文职干部的职务（专业技术等级）工资、军衔（级别）工资、基础工资和军龄工资；军队士官的军衔等级工资、基础工资和军龄工资等。</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津贴补贴：反映经国家批准建立的机关事业单位艰苦边远地区津贴、机关工作人员地区附加津贴、机关工作人员岗位津贴、事业单位工作人员特殊岗位津贴补贴等。</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奖金：反映机关工作人员年终一次性奖金。</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伙食补助费：反映单位发给职工的伙食补助费，如误餐补助等。</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绩效工资：反映事业单位工作人员的绩效工资。</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机关事业单位基本养老保险缴费：反映机关事业单位缴纳的基本养老保险费。由单位代扣的工作人员基本养老保险缴费，不在此科目反映。</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职工基本医疗保险缴费：反映单位为职工缴纳的基本医疗保险费。</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其他社会保障缴费：反映单位为职工缴纳的基本医疗、失业、工伤、生育等社会保险费，残疾人就业保障金，军队（含武警）为军人缴纳的伤亡、退役医疗等社会保险费。</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住房公积金：反映行政事业单位按人力资源和社会保障部、财政部规定的基本工资和津贴补贴以及规定比例为职工缴纳的住房公积金。</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医疗费：反映未参加医疗保险单位的医疗经费和单位按规定为职工支出的其他医疗费用。</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工资福利支出：反映上述项目未包括的人员支出，如各种加班工资、病假两个月以上期间的人员工资、编制外长期聘用人员，公务员及参照和依照公务员制度管理的单位工作人员转入企业工作并按规定参加企业职工基本养老保险后给予的一次性补贴等。</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商品和服务支出：反映单位购买商品和服务的支出（不包括用于购置固定资产的支出、战略性和应急储备支出）。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办公费：反映单位购买按财务会计制度规定不符合固定资产确认标准的日常办公用品、书报杂志等支出。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印刷费：反映单位的印刷费支出。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水费：反映单位支付的水费、污水处理费等支出。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电费：反映单位的电费支出。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邮电费：反映单位开支的信函、包裹、货物等物品的邮寄费及电话费、电报费、传真费、网络通讯费等。</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物业管理费：反映单位开支的办公用房以及未实行职工住宅物业服务改革的在职职工和离退休人员宿舍等的物业管理费，包括综合治理、绿化、卫生等方面的支出。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差旅费：反映单位工作人员出差发生的城市间交通费、住宿费、伙食补贴费和市内交通费。</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维修(护)费：反映单位日常开支的固定资产（不包括车船等交通工具）修理和维护费用，网络信息系统运行与维护费用，以及按规定提取的修购基金。</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租赁费：反映租赁办公用房、宿舍、专用通讯网以及其他设备等方面的费用。</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会议费：反映会议中按规定开支的住宿费、伙食费、会议室租金、交通费、文件印刷费、医药费等。</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培训费：反映除因公出国（境）培训费以外的各类培训支出。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公务接待费：反映单位按规定开支的各类公务接待（含外宾接待）费用。</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专用材料费：反映单位购买日常专用材料的支出。具体包括药品及医疗耗材，农用材料，兽医用品，实验室用品，专用服装，消耗性体育用品，专用工具和仪器，艺术部门专用材料和用品，广播电视台发射台发射机的电力、材料等方面的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专用燃料费：反映用作业务工作设备的车、船设施等的油料支出。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劳务费：反映支付给单位和个人的劳务费用，如临时聘用人员、钟点工工资，稿费、翻译费，评审费等。</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委托业务费：反映因委托外单位办理业务而支付的委托业务费。</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工会经费：反映单位按规定提取的工会经费。</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福利费：反映单位按规定提取的福利费。</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公务用车运行维护费：反映单位按规定保留的公务用车燃料费、维修费、过桥过路费、保险费、安全奖励费用等支出。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其他交通费用：反映单位除公务用车运行维护费以外的其他交通费用。如公务交通补贴，租车费用、出租车费用，飞机、船舶等的燃料费、维修费、保险费等。</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税金及附加费用：反映单位提供劳务或销售产品应负担的税金及附加费用，包括营业税、消费税、城市维护建设税、资源税和教育附加等。</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其他商品和服务支出：反映上述科目未包括的日常公用支出。如行政赔偿费和诉讼费、国内组织的会员费、来访费、广告宣传、其他劳务费及离休人员特需费、公用经费等。</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对个人和家庭的补助：反映政府用于对个人和家庭的补助支出。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离休费：反映行政事业单位和军队移交政府安置的离休人员的离休费、护理费和其他补贴。</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退休费：反映行政事业单位和军队移交政府安置的退休人员的退休费和其他补贴。</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抚恤金：反映按规定开支的烈士遗属、牺牲病故人员遗属的一次性和定期抚恤金，伤残人员的抚恤金，离退休人员等其他人员的各项抚恤金。</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生活补助：反映按规定开支的优抚对象定期定量生活补助费，退役军人生活补助费，行政事业单位职工和遗属生活补助，因公负伤等住院治疗、住疗养院期间的伙食补助费，长期赡养人员补助费，由于国家实行退耕还林禁牧舍饲政策补偿给农牧民的现金、粮食支出，对农村党员、复员军人以及村干部的补助支出，看守人员和犯人的伙食费、药费等。</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医疗费：反映行政事业单位在职职工、离退休人员的医疗费，军队移交政府安置的离退休人员的医疗费，学生医疗费，优抚对象医疗补助，以及按国家规定资助农民参加新型农村合作医疗和城镇居民参加城镇居民基本医疗保险的支出和对城乡贫困家庭的医疗救助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奖励金：反映政府各部门的奖励支出，如对个体私营经济的奖励、计划生育目标责任奖励、独生子女父母奖励等。</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其他对个人和家庭的补助支出：反映未包括在上述科目的对个人和家庭的补助支出，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办公设备购置：反映用于购置并按财务会计制度规定纳入固定资产核算范围的办公家具和办公设备的支出，以及按规定提取的修购基金。</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公务用车购置：反映公务用车车辆购置支出（含车辆购置税）。</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bCs/>
          <w:i/>
          <w:color w:val="FF0000"/>
          <w:kern w:val="0"/>
          <w:sz w:val="32"/>
          <w:szCs w:val="32"/>
          <w:lang w:val="en-US" w:eastAsia="zh-CN" w:bidi="ar-SA"/>
        </w:rPr>
      </w:pPr>
    </w:p>
    <w:p>
      <w:pPr>
        <w:pStyle w:val="10"/>
      </w:pPr>
    </w:p>
    <w:p>
      <w:pPr>
        <w:pStyle w:val="6"/>
      </w:pPr>
    </w:p>
    <w:p/>
    <w:p/>
    <w:p>
      <w:pPr>
        <w:pStyle w:val="10"/>
      </w:pPr>
    </w:p>
    <w:p>
      <w:pPr>
        <w:pStyle w:val="6"/>
      </w:pPr>
    </w:p>
    <w:p/>
    <w:p>
      <w:pPr>
        <w:pStyle w:val="2"/>
      </w:pPr>
    </w:p>
    <w:p/>
    <w:p>
      <w:pPr>
        <w:pStyle w:val="2"/>
      </w:pPr>
    </w:p>
    <w:p/>
    <w:p>
      <w:pPr>
        <w:pStyle w:val="2"/>
      </w:pPr>
    </w:p>
    <w:p/>
    <w:p>
      <w:pPr>
        <w:pStyle w:val="2"/>
      </w:pPr>
    </w:p>
    <w:p>
      <w:pPr>
        <w:pStyle w:val="15"/>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pPr>
        <w:pStyle w:val="15"/>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pPr>
        <w:ind w:firstLine="640" w:firstLineChars="200"/>
        <w:jc w:val="left"/>
        <w:rPr>
          <w:rFonts w:hint="eastAsia" w:ascii="宋体" w:hAnsi="宋体" w:eastAsia="宋体" w:cs="黑体"/>
          <w:b/>
          <w:color w:val="000000"/>
          <w:kern w:val="0"/>
          <w:sz w:val="32"/>
          <w:szCs w:val="32"/>
          <w:lang w:val="en-US" w:eastAsia="zh-CN"/>
        </w:rPr>
      </w:pPr>
    </w:p>
    <w:p>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1、2023年部门决算公开表格</w:t>
      </w:r>
    </w:p>
    <w:p>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rPr>
        <w:t>202</w:t>
      </w:r>
      <w:r>
        <w:rPr>
          <w:rFonts w:hint="eastAsia" w:ascii="宋体" w:hAnsi="宋体" w:eastAsia="宋体" w:cs="黑体"/>
          <w:b/>
          <w:color w:val="000000"/>
          <w:kern w:val="0"/>
          <w:sz w:val="32"/>
          <w:szCs w:val="32"/>
          <w:lang w:val="en-US" w:eastAsia="zh-CN"/>
        </w:rPr>
        <w:t>3</w:t>
      </w:r>
      <w:r>
        <w:rPr>
          <w:rFonts w:hint="eastAsia" w:ascii="宋体" w:hAnsi="宋体" w:eastAsia="宋体" w:cs="黑体"/>
          <w:b/>
          <w:color w:val="000000"/>
          <w:kern w:val="0"/>
          <w:sz w:val="32"/>
          <w:szCs w:val="32"/>
        </w:rPr>
        <w:t>年度部门整体支出绩效评价报告</w:t>
      </w:r>
    </w:p>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045A6B"/>
    <w:multiLevelType w:val="singleLevel"/>
    <w:tmpl w:val="F1045A6B"/>
    <w:lvl w:ilvl="0" w:tentative="0">
      <w:start w:val="3"/>
      <w:numFmt w:val="chineseCounting"/>
      <w:suff w:val="nothing"/>
      <w:lvlText w:val="（%1）"/>
      <w:lvlJc w:val="left"/>
      <w:rPr>
        <w:rFonts w:hint="eastAsia"/>
      </w:rPr>
    </w:lvl>
  </w:abstractNum>
  <w:abstractNum w:abstractNumId="1">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JlYjQxMzlmNTQ0ZmQ2M2ZlYjY0NzJmMDZhNjk1YmIifQ=="/>
  </w:docVars>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2750167"/>
    <w:rsid w:val="059958AD"/>
    <w:rsid w:val="0B433C11"/>
    <w:rsid w:val="0E6C6D0E"/>
    <w:rsid w:val="12583BA5"/>
    <w:rsid w:val="13BA5B9C"/>
    <w:rsid w:val="17B35180"/>
    <w:rsid w:val="1D97DEFF"/>
    <w:rsid w:val="1DFF72E5"/>
    <w:rsid w:val="1EFC6F07"/>
    <w:rsid w:val="21490FD2"/>
    <w:rsid w:val="22AC03C2"/>
    <w:rsid w:val="281657B1"/>
    <w:rsid w:val="2FDF85B8"/>
    <w:rsid w:val="2FFFEE04"/>
    <w:rsid w:val="31C95635"/>
    <w:rsid w:val="325F2669"/>
    <w:rsid w:val="34DF85B0"/>
    <w:rsid w:val="38107BD1"/>
    <w:rsid w:val="3B117EE8"/>
    <w:rsid w:val="3B8F36BC"/>
    <w:rsid w:val="40DC3DD3"/>
    <w:rsid w:val="443D139E"/>
    <w:rsid w:val="48531733"/>
    <w:rsid w:val="491FF225"/>
    <w:rsid w:val="4FFD214C"/>
    <w:rsid w:val="5352765A"/>
    <w:rsid w:val="5777D4F5"/>
    <w:rsid w:val="59DD8326"/>
    <w:rsid w:val="5AD0643A"/>
    <w:rsid w:val="5DEF592A"/>
    <w:rsid w:val="5E75501F"/>
    <w:rsid w:val="5FC6BB1E"/>
    <w:rsid w:val="5FF720F1"/>
    <w:rsid w:val="67CC6DC1"/>
    <w:rsid w:val="67FF5C0B"/>
    <w:rsid w:val="6BAA4A2F"/>
    <w:rsid w:val="6EFC0924"/>
    <w:rsid w:val="6FB74722"/>
    <w:rsid w:val="6FEF8B7E"/>
    <w:rsid w:val="71A6591B"/>
    <w:rsid w:val="737D59BA"/>
    <w:rsid w:val="737F32B1"/>
    <w:rsid w:val="762413FE"/>
    <w:rsid w:val="77C37683"/>
    <w:rsid w:val="79FF515B"/>
    <w:rsid w:val="7E9E1962"/>
    <w:rsid w:val="7E9F11B4"/>
    <w:rsid w:val="7F37EC1E"/>
    <w:rsid w:val="7F7DCD9D"/>
    <w:rsid w:val="7F970A6F"/>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0" w:semiHidden="0"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2">
    <w:name w:val="Default Paragraph Font"/>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w:basedOn w:val="3"/>
    <w:next w:val="1"/>
    <w:autoRedefine/>
    <w:unhideWhenUsed/>
    <w:qFormat/>
    <w:uiPriority w:val="0"/>
    <w:pPr>
      <w:ind w:firstLine="420" w:firstLineChars="100"/>
    </w:pPr>
  </w:style>
  <w:style w:type="paragraph" w:styleId="3">
    <w:name w:val="Body Text"/>
    <w:basedOn w:val="1"/>
    <w:next w:val="4"/>
    <w:autoRedefine/>
    <w:unhideWhenUsed/>
    <w:qFormat/>
    <w:uiPriority w:val="99"/>
    <w:pPr>
      <w:spacing w:after="120"/>
    </w:pPr>
  </w:style>
  <w:style w:type="paragraph" w:styleId="4">
    <w:name w:val="toc 2"/>
    <w:basedOn w:val="1"/>
    <w:next w:val="1"/>
    <w:autoRedefine/>
    <w:qFormat/>
    <w:uiPriority w:val="39"/>
    <w:pPr>
      <w:ind w:left="210"/>
      <w:jc w:val="left"/>
    </w:pPr>
    <w:rPr>
      <w:smallCaps/>
      <w:sz w:val="28"/>
    </w:rPr>
  </w:style>
  <w:style w:type="paragraph" w:styleId="5">
    <w:name w:val="Body Text Indent"/>
    <w:basedOn w:val="1"/>
    <w:next w:val="6"/>
    <w:autoRedefine/>
    <w:unhideWhenUsed/>
    <w:qFormat/>
    <w:uiPriority w:val="99"/>
    <w:pPr>
      <w:widowControl/>
      <w:spacing w:after="120"/>
      <w:ind w:left="420" w:leftChars="200"/>
      <w:jc w:val="left"/>
    </w:pPr>
    <w:rPr>
      <w:rFonts w:ascii="宋体" w:hAnsi="宋体" w:eastAsia="宋体" w:cs="宋体"/>
      <w:kern w:val="0"/>
      <w:sz w:val="24"/>
    </w:rPr>
  </w:style>
  <w:style w:type="paragraph" w:styleId="6">
    <w:name w:val="Body Text First Indent 2"/>
    <w:basedOn w:val="5"/>
    <w:next w:val="1"/>
    <w:autoRedefine/>
    <w:unhideWhenUsed/>
    <w:qFormat/>
    <w:uiPriority w:val="99"/>
    <w:pPr>
      <w:ind w:firstLine="420" w:firstLineChars="200"/>
    </w:pPr>
  </w:style>
  <w:style w:type="paragraph" w:styleId="7">
    <w:name w:val="Balloon Text"/>
    <w:basedOn w:val="1"/>
    <w:link w:val="17"/>
    <w:autoRedefine/>
    <w:semiHidden/>
    <w:unhideWhenUsed/>
    <w:qFormat/>
    <w:uiPriority w:val="99"/>
    <w:rPr>
      <w:sz w:val="18"/>
      <w:szCs w:val="18"/>
    </w:rPr>
  </w:style>
  <w:style w:type="paragraph" w:styleId="8">
    <w:name w:val="footer"/>
    <w:basedOn w:val="1"/>
    <w:link w:val="14"/>
    <w:autoRedefine/>
    <w:unhideWhenUsed/>
    <w:qFormat/>
    <w:uiPriority w:val="99"/>
    <w:pPr>
      <w:tabs>
        <w:tab w:val="center" w:pos="4153"/>
        <w:tab w:val="right" w:pos="8306"/>
      </w:tabs>
      <w:snapToGrid w:val="0"/>
      <w:jc w:val="left"/>
    </w:pPr>
    <w:rPr>
      <w:sz w:val="18"/>
      <w:szCs w:val="18"/>
    </w:rPr>
  </w:style>
  <w:style w:type="paragraph" w:styleId="9">
    <w:name w:val="header"/>
    <w:basedOn w:val="1"/>
    <w:link w:val="1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next w:val="6"/>
    <w:autoRedefine/>
    <w:semiHidden/>
    <w:qFormat/>
    <w:uiPriority w:val="0"/>
    <w:pPr>
      <w:snapToGrid w:val="0"/>
      <w:jc w:val="left"/>
    </w:pPr>
    <w:rPr>
      <w:sz w:val="18"/>
      <w:szCs w:val="18"/>
    </w:rPr>
  </w:style>
  <w:style w:type="character" w:customStyle="1" w:styleId="13">
    <w:name w:val="页眉 Char"/>
    <w:basedOn w:val="12"/>
    <w:link w:val="9"/>
    <w:autoRedefine/>
    <w:qFormat/>
    <w:uiPriority w:val="99"/>
    <w:rPr>
      <w:sz w:val="18"/>
      <w:szCs w:val="18"/>
    </w:rPr>
  </w:style>
  <w:style w:type="character" w:customStyle="1" w:styleId="14">
    <w:name w:val="页脚 Char"/>
    <w:basedOn w:val="12"/>
    <w:link w:val="8"/>
    <w:autoRedefine/>
    <w:qFormat/>
    <w:uiPriority w:val="99"/>
    <w:rPr>
      <w:sz w:val="18"/>
      <w:szCs w:val="18"/>
    </w:rPr>
  </w:style>
  <w:style w:type="paragraph" w:customStyle="1" w:styleId="15">
    <w:name w:val="Default"/>
    <w:autoRedefine/>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6">
    <w:name w:val="List Paragraph"/>
    <w:basedOn w:val="1"/>
    <w:autoRedefine/>
    <w:qFormat/>
    <w:uiPriority w:val="34"/>
    <w:pPr>
      <w:ind w:firstLine="420" w:firstLineChars="200"/>
    </w:pPr>
  </w:style>
  <w:style w:type="character" w:customStyle="1" w:styleId="17">
    <w:name w:val="批注框文本 Char"/>
    <w:basedOn w:val="12"/>
    <w:link w:val="7"/>
    <w:autoRedefine/>
    <w:semiHidden/>
    <w:qFormat/>
    <w:uiPriority w:val="99"/>
    <w:rPr>
      <w:sz w:val="18"/>
      <w:szCs w:val="18"/>
    </w:rPr>
  </w:style>
  <w:style w:type="character" w:customStyle="1" w:styleId="18">
    <w:name w:val="font01"/>
    <w:basedOn w:val="12"/>
    <w:autoRedefine/>
    <w:qFormat/>
    <w:uiPriority w:val="0"/>
    <w:rPr>
      <w:rFonts w:hint="eastAsia" w:ascii="宋体" w:hAnsi="宋体" w:eastAsia="宋体" w:cs="宋体"/>
      <w:color w:val="000000"/>
      <w:sz w:val="22"/>
      <w:szCs w:val="22"/>
      <w:u w:val="none"/>
    </w:rPr>
  </w:style>
  <w:style w:type="character" w:customStyle="1" w:styleId="19">
    <w:name w:val="font21"/>
    <w:basedOn w:val="12"/>
    <w:autoRedefine/>
    <w:qFormat/>
    <w:uiPriority w:val="0"/>
    <w:rPr>
      <w:rFonts w:hint="eastAsia" w:ascii="宋体" w:hAnsi="宋体" w:eastAsia="宋体" w:cs="宋体"/>
      <w:color w:val="000000"/>
      <w:sz w:val="24"/>
      <w:szCs w:val="24"/>
      <w:u w:val="none"/>
    </w:rPr>
  </w:style>
  <w:style w:type="character" w:customStyle="1" w:styleId="20">
    <w:name w:val="font11"/>
    <w:basedOn w:val="12"/>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24</Pages>
  <Words>1347</Words>
  <Characters>7679</Characters>
  <Lines>63</Lines>
  <Paragraphs>18</Paragraphs>
  <TotalTime>0</TotalTime>
  <ScaleCrop>false</ScaleCrop>
  <LinksUpToDate>false</LinksUpToDate>
  <CharactersWithSpaces>9008</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彭尧</cp:lastModifiedBy>
  <cp:lastPrinted>2024-08-08T10:20:00Z</cp:lastPrinted>
  <dcterms:modified xsi:type="dcterms:W3CDTF">2025-08-25T06:06:13Z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28936C8AE97B423ABF5519D1F68E979D_13</vt:lpwstr>
  </property>
</Properties>
</file>