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4687D">
      <w:pPr>
        <w:pStyle w:val="12"/>
        <w:jc w:val="center"/>
        <w:rPr>
          <w:sz w:val="56"/>
          <w:szCs w:val="56"/>
        </w:rPr>
      </w:pPr>
    </w:p>
    <w:p w14:paraId="6E415EB7">
      <w:pPr>
        <w:pStyle w:val="12"/>
        <w:jc w:val="center"/>
        <w:rPr>
          <w:sz w:val="56"/>
          <w:szCs w:val="56"/>
        </w:rPr>
      </w:pPr>
    </w:p>
    <w:p w14:paraId="589B8D08">
      <w:pPr>
        <w:pStyle w:val="12"/>
        <w:jc w:val="center"/>
        <w:rPr>
          <w:sz w:val="84"/>
          <w:szCs w:val="84"/>
        </w:rPr>
      </w:pPr>
    </w:p>
    <w:p w14:paraId="564CF52B">
      <w:pPr>
        <w:pStyle w:val="12"/>
        <w:jc w:val="center"/>
        <w:rPr>
          <w:sz w:val="84"/>
          <w:szCs w:val="84"/>
        </w:rPr>
      </w:pPr>
    </w:p>
    <w:p w14:paraId="5C82DE3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F14AD5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岳阳市生态环境局湘阴分局部门决算</w:t>
      </w:r>
    </w:p>
    <w:p w14:paraId="43683DD4">
      <w:pPr>
        <w:pStyle w:val="12"/>
        <w:jc w:val="center"/>
        <w:rPr>
          <w:sz w:val="56"/>
          <w:szCs w:val="56"/>
        </w:rPr>
      </w:pPr>
    </w:p>
    <w:p w14:paraId="47236786">
      <w:pPr>
        <w:pStyle w:val="12"/>
        <w:jc w:val="center"/>
        <w:rPr>
          <w:sz w:val="56"/>
          <w:szCs w:val="56"/>
        </w:rPr>
      </w:pPr>
    </w:p>
    <w:p w14:paraId="1E2E9DED">
      <w:pPr>
        <w:pStyle w:val="12"/>
        <w:jc w:val="center"/>
        <w:rPr>
          <w:sz w:val="32"/>
          <w:szCs w:val="32"/>
        </w:rPr>
      </w:pPr>
    </w:p>
    <w:p w14:paraId="34635988">
      <w:pPr>
        <w:pStyle w:val="12"/>
        <w:jc w:val="center"/>
        <w:rPr>
          <w:sz w:val="32"/>
          <w:szCs w:val="32"/>
        </w:rPr>
      </w:pPr>
    </w:p>
    <w:p w14:paraId="75BAA7C1">
      <w:pPr>
        <w:pStyle w:val="12"/>
        <w:jc w:val="center"/>
        <w:rPr>
          <w:sz w:val="32"/>
          <w:szCs w:val="32"/>
        </w:rPr>
      </w:pPr>
    </w:p>
    <w:p w14:paraId="2C4AC99B">
      <w:pPr>
        <w:pStyle w:val="12"/>
        <w:jc w:val="center"/>
        <w:rPr>
          <w:sz w:val="32"/>
          <w:szCs w:val="32"/>
        </w:rPr>
      </w:pPr>
    </w:p>
    <w:p w14:paraId="790BF4A4">
      <w:pPr>
        <w:pStyle w:val="12"/>
        <w:jc w:val="center"/>
        <w:rPr>
          <w:sz w:val="32"/>
          <w:szCs w:val="32"/>
        </w:rPr>
      </w:pPr>
    </w:p>
    <w:p w14:paraId="5BD03F05">
      <w:pPr>
        <w:pStyle w:val="12"/>
        <w:spacing w:line="540" w:lineRule="exact"/>
        <w:jc w:val="center"/>
        <w:rPr>
          <w:sz w:val="56"/>
          <w:szCs w:val="56"/>
        </w:rPr>
      </w:pPr>
    </w:p>
    <w:p w14:paraId="0C4F9353">
      <w:pPr>
        <w:pStyle w:val="12"/>
        <w:spacing w:line="500" w:lineRule="exact"/>
        <w:jc w:val="both"/>
        <w:rPr>
          <w:b/>
          <w:sz w:val="36"/>
          <w:szCs w:val="28"/>
        </w:rPr>
      </w:pPr>
    </w:p>
    <w:p w14:paraId="7B05C88C">
      <w:pPr>
        <w:pStyle w:val="12"/>
        <w:spacing w:line="500" w:lineRule="exact"/>
        <w:jc w:val="center"/>
        <w:rPr>
          <w:b/>
          <w:sz w:val="36"/>
          <w:szCs w:val="28"/>
        </w:rPr>
      </w:pPr>
      <w:r>
        <w:rPr>
          <w:rFonts w:hint="eastAsia"/>
          <w:b/>
          <w:sz w:val="36"/>
          <w:szCs w:val="28"/>
        </w:rPr>
        <w:t>目录</w:t>
      </w:r>
    </w:p>
    <w:p w14:paraId="0D1705A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岳阳市生态环境局湘阴分局概况</w:t>
      </w:r>
    </w:p>
    <w:p w14:paraId="5D60102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B6A160B">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7397A5F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04EE81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3B0F90E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175766B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885D66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0DFE5B4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E8539D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40CAB8D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7C9ACB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C4392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D140D6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57AEC29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A71EB8">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77CC366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079AA18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E94CCB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1D9DA2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33F9C6A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4A72414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89FD96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AAB538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ED32F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7A9D5A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3D4036F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41C3CB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DA8701E">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02131D5B">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66772214">
      <w:pPr>
        <w:pStyle w:val="12"/>
        <w:jc w:val="center"/>
        <w:rPr>
          <w:rFonts w:hint="eastAsia" w:ascii="方正小标宋_GBK" w:hAnsi="方正小标宋_GBK" w:eastAsia="方正小标宋_GBK" w:cs="方正小标宋_GBK"/>
          <w:sz w:val="84"/>
          <w:szCs w:val="84"/>
        </w:rPr>
      </w:pPr>
    </w:p>
    <w:p w14:paraId="6B2BA73E">
      <w:pPr>
        <w:pStyle w:val="12"/>
        <w:jc w:val="center"/>
        <w:rPr>
          <w:rFonts w:hint="eastAsia" w:ascii="方正小标宋_GBK" w:hAnsi="方正小标宋_GBK" w:eastAsia="方正小标宋_GBK" w:cs="方正小标宋_GBK"/>
          <w:sz w:val="84"/>
          <w:szCs w:val="84"/>
        </w:rPr>
      </w:pPr>
    </w:p>
    <w:p w14:paraId="1581EEA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049DAAE7">
      <w:pPr>
        <w:pStyle w:val="12"/>
        <w:jc w:val="center"/>
        <w:rPr>
          <w:rFonts w:hint="eastAsia" w:ascii="方正小标宋_GBK" w:hAnsi="方正小标宋_GBK" w:eastAsia="方正小标宋_GBK" w:cs="方正小标宋_GBK"/>
          <w:sz w:val="84"/>
          <w:szCs w:val="84"/>
        </w:rPr>
      </w:pPr>
    </w:p>
    <w:p w14:paraId="40FB30E4">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岳阳市生态环境局湘阴分局概况</w:t>
      </w:r>
    </w:p>
    <w:p w14:paraId="10D711FB">
      <w:pPr>
        <w:pStyle w:val="2"/>
        <w:rPr>
          <w:rFonts w:hint="eastAsia" w:ascii="方正小标宋_GBK" w:hAnsi="方正小标宋_GBK" w:eastAsia="方正小标宋_GBK" w:cs="方正小标宋_GBK"/>
          <w:sz w:val="84"/>
          <w:szCs w:val="84"/>
        </w:rPr>
      </w:pPr>
    </w:p>
    <w:p w14:paraId="3313141B">
      <w:pPr>
        <w:rPr>
          <w:rFonts w:hint="eastAsia" w:ascii="方正小标宋_GBK" w:hAnsi="方正小标宋_GBK" w:eastAsia="方正小标宋_GBK" w:cs="方正小标宋_GBK"/>
          <w:sz w:val="84"/>
          <w:szCs w:val="84"/>
        </w:rPr>
      </w:pPr>
    </w:p>
    <w:p w14:paraId="7B213542">
      <w:pPr>
        <w:pStyle w:val="2"/>
        <w:rPr>
          <w:rFonts w:hint="eastAsia" w:ascii="方正小标宋_GBK" w:hAnsi="方正小标宋_GBK" w:eastAsia="方正小标宋_GBK" w:cs="方正小标宋_GBK"/>
          <w:sz w:val="84"/>
          <w:szCs w:val="84"/>
        </w:rPr>
      </w:pPr>
    </w:p>
    <w:p w14:paraId="1F3669A7">
      <w:pPr>
        <w:pStyle w:val="3"/>
        <w:rPr>
          <w:rFonts w:hint="eastAsia" w:ascii="方正小标宋_GBK" w:hAnsi="方正小标宋_GBK" w:eastAsia="方正小标宋_GBK" w:cs="方正小标宋_GBK"/>
          <w:sz w:val="84"/>
          <w:szCs w:val="84"/>
        </w:rPr>
      </w:pPr>
    </w:p>
    <w:p w14:paraId="70C8E815">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430261F">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依照国家和省市有关法律、法规、政策，对全县环境保护工作实施统一监督管理，保护和改善生活环境与生态环境，防治污染和其他公害，保障公民身体健康，促进经济和社会持续、协调、健康的发展。</w:t>
      </w:r>
    </w:p>
    <w:p w14:paraId="355B946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789B459B">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湘阴分局内设机构包括：办公室、科财股、水生态环境股、人事股、法制股、党建办、工会、大气股、行政审批股、应急中心、土壤股、固废站、生态环境监督股、信息中心14个股室。下辖综合行政执法大队、环境监测站2个二级机构全部纳入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年决算编制范围。现有编制数10</w:t>
      </w: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个，其中行政编制</w:t>
      </w:r>
      <w:r>
        <w:rPr>
          <w:rFonts w:hint="eastAsia" w:ascii="Times New Roman" w:hAnsi="Times New Roman" w:eastAsia="仿宋_GB2312" w:cs="仿宋_GB2312"/>
          <w:bCs/>
          <w:kern w:val="0"/>
          <w:sz w:val="32"/>
          <w:szCs w:val="32"/>
          <w:lang w:val="en-US" w:eastAsia="zh-CN"/>
        </w:rPr>
        <w:t>37</w:t>
      </w:r>
      <w:r>
        <w:rPr>
          <w:rFonts w:hint="eastAsia" w:ascii="Times New Roman" w:hAnsi="Times New Roman" w:eastAsia="仿宋_GB2312" w:cs="仿宋_GB2312"/>
          <w:bCs/>
          <w:kern w:val="0"/>
          <w:sz w:val="32"/>
          <w:szCs w:val="32"/>
        </w:rPr>
        <w:t>个，全额事业编制6</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个。现有在职职工10</w:t>
      </w: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人，其中：行政人员</w:t>
      </w:r>
      <w:r>
        <w:rPr>
          <w:rFonts w:hint="eastAsia" w:ascii="Times New Roman" w:hAnsi="Times New Roman" w:eastAsia="仿宋_GB2312" w:cs="仿宋_GB2312"/>
          <w:bCs/>
          <w:kern w:val="0"/>
          <w:sz w:val="32"/>
          <w:szCs w:val="32"/>
          <w:lang w:val="en-US" w:eastAsia="zh-CN"/>
        </w:rPr>
        <w:t>37</w:t>
      </w:r>
      <w:r>
        <w:rPr>
          <w:rFonts w:hint="eastAsia" w:ascii="Times New Roman" w:hAnsi="Times New Roman" w:eastAsia="仿宋_GB2312" w:cs="仿宋_GB2312"/>
          <w:bCs/>
          <w:kern w:val="0"/>
          <w:sz w:val="32"/>
          <w:szCs w:val="32"/>
        </w:rPr>
        <w:t>人、事业人员6</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人（全额事业人员6</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人）；离退休人员2</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人（全额退休人员2</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人）。</w:t>
      </w:r>
    </w:p>
    <w:p w14:paraId="4615BD8F">
      <w:pPr>
        <w:widowControl/>
        <w:spacing w:line="600" w:lineRule="exact"/>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（二）决算单位构成。无独立核算的下属单位，岳阳市生态环境局湘阴分局202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年部门决算汇总公开单位构成包括：岳阳市生态环境局湘阴分局本级</w:t>
      </w:r>
      <w:r>
        <w:rPr>
          <w:rFonts w:hint="eastAsia" w:ascii="Times New Roman" w:hAnsi="Times New Roman" w:eastAsia="仿宋_GB2312" w:cs="仿宋_GB2312"/>
          <w:bCs/>
          <w:kern w:val="0"/>
          <w:sz w:val="32"/>
          <w:szCs w:val="32"/>
          <w:lang w:eastAsia="zh-CN"/>
        </w:rPr>
        <w:t>。</w:t>
      </w:r>
    </w:p>
    <w:p w14:paraId="41B214FD"/>
    <w:p w14:paraId="447E5049">
      <w:pPr>
        <w:pStyle w:val="2"/>
      </w:pPr>
    </w:p>
    <w:p w14:paraId="6056D354">
      <w:pPr>
        <w:pStyle w:val="3"/>
      </w:pPr>
    </w:p>
    <w:p w14:paraId="54F8BE1E"/>
    <w:p w14:paraId="685B160F">
      <w:pPr>
        <w:pStyle w:val="2"/>
      </w:pPr>
    </w:p>
    <w:p w14:paraId="3DE6069B">
      <w:pPr>
        <w:pStyle w:val="3"/>
      </w:pPr>
    </w:p>
    <w:p w14:paraId="5FD871FE"/>
    <w:p w14:paraId="0BBFC052">
      <w:pPr>
        <w:pStyle w:val="2"/>
      </w:pPr>
    </w:p>
    <w:p w14:paraId="6C685942">
      <w:pPr>
        <w:pStyle w:val="3"/>
      </w:pPr>
    </w:p>
    <w:p w14:paraId="4B25E44B"/>
    <w:p w14:paraId="58349CF4">
      <w:pPr>
        <w:pStyle w:val="2"/>
      </w:pPr>
    </w:p>
    <w:p w14:paraId="776EB122">
      <w:pPr>
        <w:pStyle w:val="3"/>
      </w:pPr>
    </w:p>
    <w:p w14:paraId="069D7883"/>
    <w:p w14:paraId="1F405F84">
      <w:pPr>
        <w:pStyle w:val="2"/>
      </w:pPr>
    </w:p>
    <w:p w14:paraId="0B842071">
      <w:pPr>
        <w:pStyle w:val="3"/>
      </w:pPr>
    </w:p>
    <w:p w14:paraId="004F985A"/>
    <w:p w14:paraId="0A4D95CE">
      <w:pPr>
        <w:pStyle w:val="2"/>
      </w:pPr>
    </w:p>
    <w:p w14:paraId="5871FC8F">
      <w:pPr>
        <w:pStyle w:val="3"/>
      </w:pPr>
    </w:p>
    <w:p w14:paraId="56C098E4"/>
    <w:p w14:paraId="103AD4AC">
      <w:pPr>
        <w:pStyle w:val="2"/>
      </w:pPr>
    </w:p>
    <w:p w14:paraId="2036D81E">
      <w:pPr>
        <w:pStyle w:val="3"/>
      </w:pPr>
    </w:p>
    <w:p w14:paraId="25E70B84"/>
    <w:p w14:paraId="65557A51">
      <w:pPr>
        <w:pStyle w:val="2"/>
      </w:pPr>
    </w:p>
    <w:p w14:paraId="50A56338">
      <w:pPr>
        <w:pStyle w:val="3"/>
      </w:pPr>
    </w:p>
    <w:p w14:paraId="5E42DD5D"/>
    <w:p w14:paraId="13E01BC0">
      <w:pPr>
        <w:pStyle w:val="12"/>
        <w:jc w:val="center"/>
        <w:rPr>
          <w:rFonts w:hint="eastAsia" w:ascii="方正小标宋_GBK" w:hAnsi="方正小标宋_GBK" w:eastAsia="方正小标宋_GBK" w:cs="方正小标宋_GBK"/>
          <w:sz w:val="84"/>
          <w:szCs w:val="84"/>
        </w:rPr>
      </w:pPr>
    </w:p>
    <w:p w14:paraId="03E3CE28">
      <w:pPr>
        <w:pStyle w:val="12"/>
        <w:jc w:val="center"/>
        <w:rPr>
          <w:rFonts w:hint="eastAsia" w:ascii="方正小标宋_GBK" w:hAnsi="方正小标宋_GBK" w:eastAsia="方正小标宋_GBK" w:cs="方正小标宋_GBK"/>
          <w:sz w:val="84"/>
          <w:szCs w:val="84"/>
        </w:rPr>
      </w:pPr>
    </w:p>
    <w:p w14:paraId="1783612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0EBFDA0">
      <w:pPr>
        <w:pStyle w:val="12"/>
        <w:jc w:val="center"/>
        <w:rPr>
          <w:rFonts w:hint="eastAsia" w:ascii="方正小标宋_GBK" w:hAnsi="方正小标宋_GBK" w:eastAsia="方正小标宋_GBK" w:cs="方正小标宋_GBK"/>
          <w:sz w:val="84"/>
          <w:szCs w:val="84"/>
        </w:rPr>
      </w:pPr>
    </w:p>
    <w:p w14:paraId="1B576EB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C4827CA">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088DC94E">
      <w:pPr>
        <w:pStyle w:val="12"/>
        <w:jc w:val="center"/>
        <w:rPr>
          <w:rFonts w:hint="eastAsia" w:ascii="仿宋_GB2312" w:hAnsi="仿宋_GB2312" w:eastAsia="仿宋_GB2312" w:cs="仿宋_GB2312"/>
          <w:b w:val="0"/>
          <w:bCs w:val="0"/>
          <w:sz w:val="72"/>
          <w:szCs w:val="72"/>
          <w:lang w:eastAsia="zh-CN"/>
        </w:rPr>
      </w:pPr>
    </w:p>
    <w:p w14:paraId="5E1FF3D3">
      <w:pPr>
        <w:pStyle w:val="12"/>
        <w:jc w:val="center"/>
        <w:rPr>
          <w:rFonts w:hint="eastAsia" w:ascii="仿宋_GB2312" w:hAnsi="仿宋_GB2312" w:eastAsia="仿宋_GB2312" w:cs="仿宋_GB2312"/>
          <w:b w:val="0"/>
          <w:bCs w:val="0"/>
          <w:sz w:val="72"/>
          <w:szCs w:val="72"/>
          <w:lang w:eastAsia="zh-CN"/>
        </w:rPr>
      </w:pPr>
    </w:p>
    <w:p w14:paraId="04A64270">
      <w:pPr>
        <w:pStyle w:val="12"/>
        <w:jc w:val="center"/>
        <w:rPr>
          <w:rFonts w:hint="eastAsia" w:ascii="仿宋_GB2312" w:hAnsi="仿宋_GB2312" w:eastAsia="仿宋_GB2312" w:cs="仿宋_GB2312"/>
          <w:b w:val="0"/>
          <w:bCs w:val="0"/>
          <w:sz w:val="72"/>
          <w:szCs w:val="72"/>
          <w:lang w:eastAsia="zh-CN"/>
        </w:rPr>
      </w:pPr>
    </w:p>
    <w:p w14:paraId="739129C5">
      <w:pPr>
        <w:pStyle w:val="12"/>
        <w:jc w:val="center"/>
        <w:rPr>
          <w:rFonts w:hint="eastAsia" w:ascii="仿宋_GB2312" w:hAnsi="仿宋_GB2312" w:eastAsia="仿宋_GB2312" w:cs="仿宋_GB2312"/>
          <w:b w:val="0"/>
          <w:bCs w:val="0"/>
          <w:sz w:val="72"/>
          <w:szCs w:val="72"/>
          <w:lang w:eastAsia="zh-CN"/>
        </w:rPr>
      </w:pPr>
    </w:p>
    <w:p w14:paraId="23B46FEF">
      <w:pPr>
        <w:pStyle w:val="12"/>
        <w:jc w:val="center"/>
        <w:rPr>
          <w:rFonts w:hint="eastAsia" w:ascii="仿宋_GB2312" w:hAnsi="仿宋_GB2312" w:eastAsia="仿宋_GB2312" w:cs="仿宋_GB2312"/>
          <w:b w:val="0"/>
          <w:bCs w:val="0"/>
          <w:sz w:val="72"/>
          <w:szCs w:val="72"/>
          <w:lang w:eastAsia="zh-CN"/>
        </w:rPr>
      </w:pPr>
    </w:p>
    <w:p w14:paraId="755970FA">
      <w:pPr>
        <w:pStyle w:val="12"/>
        <w:jc w:val="center"/>
        <w:rPr>
          <w:rFonts w:hint="eastAsia" w:ascii="仿宋_GB2312" w:hAnsi="仿宋_GB2312" w:eastAsia="仿宋_GB2312" w:cs="仿宋_GB2312"/>
          <w:b w:val="0"/>
          <w:bCs w:val="0"/>
          <w:sz w:val="72"/>
          <w:szCs w:val="72"/>
          <w:lang w:eastAsia="zh-CN"/>
        </w:rPr>
      </w:pPr>
    </w:p>
    <w:p w14:paraId="48DB997A">
      <w:pPr>
        <w:pStyle w:val="12"/>
        <w:jc w:val="center"/>
        <w:rPr>
          <w:rFonts w:hint="eastAsia" w:ascii="仿宋_GB2312" w:hAnsi="仿宋_GB2312" w:eastAsia="仿宋_GB2312" w:cs="仿宋_GB2312"/>
          <w:b w:val="0"/>
          <w:bCs w:val="0"/>
          <w:sz w:val="72"/>
          <w:szCs w:val="72"/>
          <w:lang w:eastAsia="zh-CN"/>
        </w:rPr>
      </w:pPr>
    </w:p>
    <w:p w14:paraId="4838A27F">
      <w:pPr>
        <w:pStyle w:val="12"/>
        <w:jc w:val="center"/>
        <w:rPr>
          <w:rFonts w:hint="eastAsia" w:ascii="方正小标宋_GBK" w:hAnsi="方正小标宋_GBK" w:eastAsia="方正小标宋_GBK" w:cs="方正小标宋_GBK"/>
          <w:sz w:val="72"/>
          <w:szCs w:val="72"/>
        </w:rPr>
      </w:pPr>
    </w:p>
    <w:p w14:paraId="34C06F84">
      <w:pPr>
        <w:pStyle w:val="12"/>
        <w:jc w:val="center"/>
        <w:rPr>
          <w:rFonts w:hint="eastAsia" w:ascii="方正小标宋_GBK" w:hAnsi="方正小标宋_GBK" w:eastAsia="方正小标宋_GBK" w:cs="方正小标宋_GBK"/>
          <w:sz w:val="72"/>
          <w:szCs w:val="72"/>
        </w:rPr>
      </w:pPr>
    </w:p>
    <w:p w14:paraId="09B7A928">
      <w:pPr>
        <w:pStyle w:val="12"/>
        <w:jc w:val="both"/>
        <w:rPr>
          <w:rFonts w:hint="eastAsia" w:ascii="方正小标宋_GBK" w:hAnsi="方正小标宋_GBK" w:eastAsia="方正小标宋_GBK" w:cs="方正小标宋_GBK"/>
          <w:sz w:val="72"/>
          <w:szCs w:val="72"/>
        </w:rPr>
      </w:pPr>
    </w:p>
    <w:p w14:paraId="2719162D">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D666BF4">
      <w:pPr>
        <w:pStyle w:val="12"/>
        <w:jc w:val="center"/>
        <w:rPr>
          <w:rFonts w:hint="eastAsia" w:ascii="方正小标宋_GBK" w:hAnsi="方正小标宋_GBK" w:eastAsia="方正小标宋_GBK" w:cs="方正小标宋_GBK"/>
          <w:sz w:val="70"/>
          <w:szCs w:val="70"/>
        </w:rPr>
      </w:pPr>
    </w:p>
    <w:p w14:paraId="52A365C7">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98445E9">
      <w:pPr>
        <w:pStyle w:val="12"/>
        <w:jc w:val="center"/>
        <w:rPr>
          <w:rFonts w:hint="eastAsia" w:ascii="方正小标宋_GBK" w:hAnsi="方正小标宋_GBK" w:eastAsia="方正小标宋_GBK" w:cs="方正小标宋_GBK"/>
          <w:sz w:val="70"/>
          <w:szCs w:val="70"/>
        </w:rPr>
      </w:pPr>
    </w:p>
    <w:p w14:paraId="2E23089C">
      <w:pPr>
        <w:pStyle w:val="12"/>
        <w:jc w:val="center"/>
        <w:rPr>
          <w:rFonts w:hint="eastAsia" w:ascii="方正小标宋_GBK" w:hAnsi="方正小标宋_GBK" w:eastAsia="方正小标宋_GBK" w:cs="方正小标宋_GBK"/>
          <w:sz w:val="70"/>
          <w:szCs w:val="70"/>
        </w:rPr>
      </w:pPr>
    </w:p>
    <w:p w14:paraId="07792232">
      <w:pPr>
        <w:pStyle w:val="12"/>
        <w:jc w:val="center"/>
        <w:rPr>
          <w:rFonts w:hint="eastAsia" w:ascii="方正小标宋_GBK" w:hAnsi="方正小标宋_GBK" w:eastAsia="方正小标宋_GBK" w:cs="方正小标宋_GBK"/>
          <w:sz w:val="70"/>
          <w:szCs w:val="70"/>
        </w:rPr>
      </w:pPr>
    </w:p>
    <w:p w14:paraId="0A397C3D">
      <w:pPr>
        <w:pStyle w:val="12"/>
        <w:jc w:val="center"/>
        <w:rPr>
          <w:rFonts w:hint="eastAsia" w:ascii="方正小标宋_GBK" w:hAnsi="方正小标宋_GBK" w:eastAsia="方正小标宋_GBK" w:cs="方正小标宋_GBK"/>
          <w:sz w:val="70"/>
          <w:szCs w:val="70"/>
        </w:rPr>
      </w:pPr>
    </w:p>
    <w:p w14:paraId="49A39BCB">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18FD12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7386C6F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年度收、支总计9,026.75万元。与上年相比，增加3870.11万元，增长75.05%，主要是因为南湖洲镇</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湘滨镇镉污染耕地安全利用</w:t>
      </w:r>
      <w:r>
        <w:rPr>
          <w:rFonts w:hint="eastAsia" w:ascii="仿宋_GB2312" w:hAnsi="仿宋_GB2312" w:eastAsia="仿宋_GB2312" w:cs="仿宋_GB2312"/>
          <w:sz w:val="32"/>
          <w:szCs w:val="32"/>
          <w:lang w:eastAsia="zh-CN"/>
        </w:rPr>
        <w:t>、生态环境综合整治、历史遗留污染源治理、</w:t>
      </w:r>
      <w:r>
        <w:rPr>
          <w:rFonts w:hint="eastAsia" w:ascii="仿宋_GB2312" w:hAnsi="仿宋_GB2312" w:eastAsia="仿宋_GB2312" w:cs="仿宋_GB2312"/>
          <w:sz w:val="32"/>
          <w:szCs w:val="32"/>
        </w:rPr>
        <w:t>人工湿地工程</w:t>
      </w:r>
      <w:r>
        <w:rPr>
          <w:rFonts w:hint="eastAsia" w:ascii="仿宋_GB2312" w:hAnsi="仿宋_GB2312" w:eastAsia="仿宋_GB2312" w:cs="仿宋_GB2312"/>
          <w:sz w:val="32"/>
          <w:szCs w:val="32"/>
          <w:lang w:eastAsia="zh-CN"/>
        </w:rPr>
        <w:t>等新增的项目支出。</w:t>
      </w:r>
    </w:p>
    <w:p w14:paraId="2D45F63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F6747B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年度收入合计9,026.75万元，其中：财政拨款收入1,890.95万元，占20.95%；上级补助收入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%；其他收入7,135.80万元，占79.05%。</w:t>
      </w:r>
    </w:p>
    <w:p w14:paraId="73E7DD7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E79D8B0">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年度支出合计8,946.75万元，其中：基本支出1,826.30万元，占20.41%；项目支出7,120.45万元，占79.59%；上缴上级支出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68BB335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6793266">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年度财政拨款收、支总计1,890.95万元，与上年相比，减少81.54万元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减少4.13%，主要是因为</w:t>
      </w:r>
      <w:r>
        <w:rPr>
          <w:rFonts w:hint="eastAsia" w:ascii="仿宋_GB2312" w:hAnsi="仿宋_GB2312" w:eastAsia="仿宋_GB2312" w:cs="仿宋_GB2312"/>
          <w:sz w:val="32"/>
          <w:szCs w:val="32"/>
          <w:lang w:eastAsia="zh-CN"/>
        </w:rPr>
        <w:t>人员工资福利减少，业务工作经费进行控制。</w:t>
      </w:r>
    </w:p>
    <w:p w14:paraId="36B767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0EE663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8D4452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年度财政拨款支出1,890.95万元，占本年支出合计的2</w:t>
      </w:r>
      <w:r>
        <w:rPr>
          <w:rFonts w:hint="eastAsia" w:ascii="仿宋_GB2312" w:hAnsi="仿宋_GB2312" w:eastAsia="仿宋_GB2312" w:cs="仿宋_GB2312"/>
          <w:sz w:val="32"/>
          <w:szCs w:val="32"/>
          <w:lang w:val="en-US" w:eastAsia="zh-CN"/>
        </w:rPr>
        <w:t>1.14</w:t>
      </w:r>
      <w:r>
        <w:rPr>
          <w:rFonts w:hint="eastAsia" w:ascii="仿宋_GB2312" w:hAnsi="仿宋_GB2312" w:eastAsia="仿宋_GB2312" w:cs="仿宋_GB2312"/>
          <w:sz w:val="32"/>
          <w:szCs w:val="32"/>
        </w:rPr>
        <w:t>%，与上年相比，财政拨款支出减少81.54万元，减少4.13%，主要是因为</w:t>
      </w:r>
      <w:r>
        <w:rPr>
          <w:rFonts w:hint="eastAsia" w:ascii="仿宋_GB2312" w:hAnsi="仿宋_GB2312" w:eastAsia="仿宋_GB2312" w:cs="仿宋_GB2312"/>
          <w:sz w:val="32"/>
          <w:szCs w:val="32"/>
          <w:lang w:eastAsia="zh-CN"/>
        </w:rPr>
        <w:t>人员工资福利减少，业务工作经费进行控制。</w:t>
      </w:r>
    </w:p>
    <w:p w14:paraId="7B652F7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808A47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年度财政拨款支出1,890.95万元，主要用于以下方面：社会保障和就业支出219.28万元，占11.60%；卫生健康支出89.12万元，占4.71%；节能环保支出1474.35万元，占77.97%；住房保障支出108.20万元，占5.72%</w:t>
      </w:r>
      <w:r>
        <w:rPr>
          <w:rFonts w:hint="eastAsia" w:ascii="仿宋_GB2312" w:hAnsi="仿宋_GB2312" w:eastAsia="仿宋_GB2312" w:cs="仿宋_GB2312"/>
          <w:sz w:val="32"/>
          <w:szCs w:val="32"/>
          <w:lang w:eastAsia="zh-CN"/>
        </w:rPr>
        <w:t>。</w:t>
      </w:r>
    </w:p>
    <w:p w14:paraId="348F8F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7D4FF21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年度财政拨款支出年初预算数为1,716.19万元，支出决算数为1,890.95万元，完成年初预算的110.18%，其中：</w:t>
      </w:r>
    </w:p>
    <w:p w14:paraId="1C8A48F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51AFCB8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年初预算为106.96万元，支出决算为106.96万元，完成年初预算的100.00%，决算数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50EE3FA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2、社会保障和就业支出（类）抚恤（款）其他优抚支出（项）</w:t>
      </w:r>
      <w:r>
        <w:rPr>
          <w:rFonts w:hint="eastAsia" w:ascii="仿宋_GB2312" w:hAnsi="仿宋_GB2312" w:eastAsia="仿宋_GB2312" w:cs="仿宋_GB2312"/>
          <w:sz w:val="32"/>
          <w:szCs w:val="32"/>
          <w:lang w:eastAsia="zh-CN"/>
        </w:rPr>
        <w:t>。</w:t>
      </w:r>
    </w:p>
    <w:p w14:paraId="3B3BC2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年初预算为0.00万元，支出决算为14.93万元，决算数大于年初预算数的主要原因是：</w:t>
      </w:r>
      <w:r>
        <w:rPr>
          <w:rFonts w:hint="eastAsia" w:ascii="仿宋_GB2312" w:hAnsi="仿宋_GB2312" w:eastAsia="仿宋_GB2312" w:cs="仿宋_GB2312"/>
          <w:sz w:val="32"/>
          <w:szCs w:val="32"/>
          <w:lang w:eastAsia="zh-CN"/>
        </w:rPr>
        <w:t>年初未做</w:t>
      </w:r>
      <w:r>
        <w:rPr>
          <w:rFonts w:hint="eastAsia" w:ascii="仿宋_GB2312" w:hAnsi="仿宋_GB2312" w:eastAsia="仿宋_GB2312" w:cs="仿宋_GB2312"/>
          <w:sz w:val="32"/>
          <w:szCs w:val="32"/>
        </w:rPr>
        <w:t>优抚</w:t>
      </w:r>
      <w:r>
        <w:rPr>
          <w:rFonts w:hint="eastAsia" w:ascii="仿宋_GB2312" w:hAnsi="仿宋_GB2312" w:eastAsia="仿宋_GB2312" w:cs="仿宋_GB2312"/>
          <w:sz w:val="32"/>
          <w:szCs w:val="32"/>
          <w:lang w:eastAsia="zh-CN"/>
        </w:rPr>
        <w:t>支出预算，年中追加。</w:t>
      </w:r>
    </w:p>
    <w:p w14:paraId="72A7A04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407F40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年初预算为0.00万元，支出决算为97.39万元，决算数大于年初预算数的主要原因是：</w:t>
      </w:r>
      <w:r>
        <w:rPr>
          <w:rFonts w:hint="eastAsia" w:ascii="仿宋_GB2312" w:hAnsi="仿宋_GB2312" w:eastAsia="仿宋_GB2312" w:cs="仿宋_GB2312"/>
          <w:sz w:val="32"/>
          <w:szCs w:val="32"/>
          <w:lang w:eastAsia="zh-CN"/>
        </w:rPr>
        <w:t>年初未做</w:t>
      </w:r>
    </w:p>
    <w:p w14:paraId="0AF7230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4、卫生健康支出（类）行政事业单位医疗（款）行政单位医疗（项）</w:t>
      </w:r>
      <w:r>
        <w:rPr>
          <w:rFonts w:hint="eastAsia" w:ascii="仿宋_GB2312" w:hAnsi="仿宋_GB2312" w:eastAsia="仿宋_GB2312" w:cs="仿宋_GB2312"/>
          <w:sz w:val="32"/>
          <w:szCs w:val="32"/>
          <w:lang w:eastAsia="zh-CN"/>
        </w:rPr>
        <w:t>。</w:t>
      </w:r>
    </w:p>
    <w:p w14:paraId="65514FB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年初预算为56.18万元，支出决算为56.18万元，完成年初预算的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124E071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5、卫生健康支出（类）行政事业单位医疗（款）公务员医疗补助（项）</w:t>
      </w:r>
      <w:r>
        <w:rPr>
          <w:rFonts w:hint="eastAsia" w:ascii="仿宋_GB2312" w:hAnsi="仿宋_GB2312" w:eastAsia="仿宋_GB2312" w:cs="仿宋_GB2312"/>
          <w:sz w:val="32"/>
          <w:szCs w:val="32"/>
          <w:lang w:eastAsia="zh-CN"/>
        </w:rPr>
        <w:t>。</w:t>
      </w:r>
    </w:p>
    <w:p w14:paraId="11B7901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年初预算为12.86万元，支出决算为0.00万元，完成年初预算的0.00%，决算数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会计核算未细化，计入其他项目。</w:t>
      </w:r>
    </w:p>
    <w:p w14:paraId="16F66D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6、卫生健康支出（类）医疗保障管理事务（款）其他医疗保障管理事务支出（项）</w:t>
      </w:r>
      <w:r>
        <w:rPr>
          <w:rFonts w:hint="eastAsia" w:ascii="仿宋_GB2312" w:hAnsi="仿宋_GB2312" w:eastAsia="仿宋_GB2312" w:cs="仿宋_GB2312"/>
          <w:sz w:val="32"/>
          <w:szCs w:val="32"/>
          <w:lang w:eastAsia="zh-CN"/>
        </w:rPr>
        <w:t>。</w:t>
      </w:r>
    </w:p>
    <w:p w14:paraId="16F258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年初预算为32.94万元，支出决算为32.94万元，完成年初预算的100.00%，决算数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7E49982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7、节能环保支出（类）环境保护管理事务（款）行政运行（项）</w:t>
      </w:r>
      <w:r>
        <w:rPr>
          <w:rFonts w:hint="eastAsia" w:ascii="仿宋_GB2312" w:hAnsi="仿宋_GB2312" w:eastAsia="仿宋_GB2312" w:cs="仿宋_GB2312"/>
          <w:sz w:val="32"/>
          <w:szCs w:val="32"/>
          <w:lang w:eastAsia="zh-CN"/>
        </w:rPr>
        <w:t>。</w:t>
      </w:r>
    </w:p>
    <w:p w14:paraId="08382E0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年初预算为1399.04万元，支出决算为1363.26万元，完成年初预算的97.44%，决算数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合理控制办公经费支出。</w:t>
      </w:r>
    </w:p>
    <w:p w14:paraId="4A5713F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8、节能环保支出（类）环境保护管理事务（款）其他环境保护管理事务支出（项）</w:t>
      </w:r>
      <w:r>
        <w:rPr>
          <w:rFonts w:hint="eastAsia" w:ascii="仿宋_GB2312" w:hAnsi="仿宋_GB2312" w:eastAsia="仿宋_GB2312" w:cs="仿宋_GB2312"/>
          <w:sz w:val="32"/>
          <w:szCs w:val="32"/>
          <w:lang w:eastAsia="zh-CN"/>
        </w:rPr>
        <w:t>。</w:t>
      </w:r>
    </w:p>
    <w:p w14:paraId="62531E2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年初预算为0.00万元，支出决算为11.88万元，决算数大于年初预算数的主要原因是：</w:t>
      </w:r>
      <w:r>
        <w:rPr>
          <w:rFonts w:hint="eastAsia" w:ascii="仿宋_GB2312" w:hAnsi="仿宋_GB2312" w:eastAsia="仿宋_GB2312" w:cs="仿宋_GB2312"/>
          <w:sz w:val="32"/>
          <w:szCs w:val="32"/>
          <w:lang w:eastAsia="zh-CN"/>
        </w:rPr>
        <w:t>年初未做此项预算，年中追加。</w:t>
      </w:r>
    </w:p>
    <w:p w14:paraId="05B0908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9、节能环保支出（类）环境监测与监察（款）其他环境监测与监察支出（项）</w:t>
      </w:r>
      <w:r>
        <w:rPr>
          <w:rFonts w:hint="eastAsia" w:ascii="仿宋_GB2312" w:hAnsi="仿宋_GB2312" w:eastAsia="仿宋_GB2312" w:cs="仿宋_GB2312"/>
          <w:sz w:val="32"/>
          <w:szCs w:val="32"/>
          <w:lang w:eastAsia="zh-CN"/>
        </w:rPr>
        <w:t>。</w:t>
      </w:r>
    </w:p>
    <w:p w14:paraId="4029774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年初预算为0.00万元，支出决算为8.65万元，决算数大于年初预算数的主要原因是：</w:t>
      </w:r>
      <w:r>
        <w:rPr>
          <w:rFonts w:hint="eastAsia" w:ascii="仿宋_GB2312" w:hAnsi="仿宋_GB2312" w:eastAsia="仿宋_GB2312" w:cs="仿宋_GB2312"/>
          <w:sz w:val="32"/>
          <w:szCs w:val="32"/>
          <w:lang w:eastAsia="zh-CN"/>
        </w:rPr>
        <w:t>年初未做此项预算，年中追加。</w:t>
      </w:r>
    </w:p>
    <w:p w14:paraId="4B586FB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10、节能环保支出（类）污染防治（款）其他污染防治支出（项）</w:t>
      </w:r>
      <w:r>
        <w:rPr>
          <w:rFonts w:hint="eastAsia" w:ascii="仿宋_GB2312" w:hAnsi="仿宋_GB2312" w:eastAsia="仿宋_GB2312" w:cs="仿宋_GB2312"/>
          <w:sz w:val="32"/>
          <w:szCs w:val="32"/>
          <w:lang w:eastAsia="zh-CN"/>
        </w:rPr>
        <w:t>。</w:t>
      </w:r>
    </w:p>
    <w:p w14:paraId="0FDB83C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年初预算为0.00万元，支出决算为13.94万元，决算数大于年初预算数的主要原因是：</w:t>
      </w:r>
      <w:r>
        <w:rPr>
          <w:rFonts w:hint="eastAsia" w:ascii="仿宋_GB2312" w:hAnsi="仿宋_GB2312" w:eastAsia="仿宋_GB2312" w:cs="仿宋_GB2312"/>
          <w:sz w:val="32"/>
          <w:szCs w:val="32"/>
          <w:lang w:eastAsia="zh-CN"/>
        </w:rPr>
        <w:t>年初未做此项预算，年中追加。</w:t>
      </w:r>
    </w:p>
    <w:p w14:paraId="035695D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11、节能环保支出（类）自然生态保护（款）农村环境保护（项）</w:t>
      </w:r>
      <w:r>
        <w:rPr>
          <w:rFonts w:hint="eastAsia" w:ascii="仿宋_GB2312" w:hAnsi="仿宋_GB2312" w:eastAsia="仿宋_GB2312" w:cs="仿宋_GB2312"/>
          <w:sz w:val="32"/>
          <w:szCs w:val="32"/>
          <w:lang w:eastAsia="zh-CN"/>
        </w:rPr>
        <w:t>。</w:t>
      </w:r>
    </w:p>
    <w:p w14:paraId="55F31FC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年初预算为0.00万元，支出决算为56.00万元，决算数大于年初预算数的主要原因是：</w:t>
      </w:r>
      <w:r>
        <w:rPr>
          <w:rFonts w:hint="eastAsia" w:ascii="仿宋_GB2312" w:hAnsi="仿宋_GB2312" w:eastAsia="仿宋_GB2312" w:cs="仿宋_GB2312"/>
          <w:sz w:val="32"/>
          <w:szCs w:val="32"/>
          <w:lang w:eastAsia="zh-CN"/>
        </w:rPr>
        <w:t>年初未做此项预算，年中追加。</w:t>
      </w:r>
    </w:p>
    <w:p w14:paraId="3CE243C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12、节能环保支出（类）其他节能环保支出（款）其他节能环保支出（项）</w:t>
      </w:r>
      <w:r>
        <w:rPr>
          <w:rFonts w:hint="eastAsia" w:ascii="仿宋_GB2312" w:hAnsi="仿宋_GB2312" w:eastAsia="仿宋_GB2312" w:cs="仿宋_GB2312"/>
          <w:sz w:val="32"/>
          <w:szCs w:val="32"/>
          <w:lang w:eastAsia="zh-CN"/>
        </w:rPr>
        <w:t>。</w:t>
      </w:r>
    </w:p>
    <w:p w14:paraId="6EFA59B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年初预算为0.00万元，支出决算为20.62万元，决算数大于年初预算数的主要原因是：</w:t>
      </w:r>
      <w:r>
        <w:rPr>
          <w:rFonts w:hint="eastAsia" w:ascii="仿宋_GB2312" w:hAnsi="仿宋_GB2312" w:eastAsia="仿宋_GB2312" w:cs="仿宋_GB2312"/>
          <w:sz w:val="32"/>
          <w:szCs w:val="32"/>
          <w:lang w:eastAsia="zh-CN"/>
        </w:rPr>
        <w:t>年初未做此项预算，年中追加。</w:t>
      </w:r>
    </w:p>
    <w:p w14:paraId="3F83A64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13、住房保障支出（类）住房改革支出（款）住房公积金（项）</w:t>
      </w:r>
      <w:r>
        <w:rPr>
          <w:rFonts w:hint="eastAsia" w:ascii="仿宋_GB2312" w:hAnsi="仿宋_GB2312" w:eastAsia="仿宋_GB2312" w:cs="仿宋_GB2312"/>
          <w:sz w:val="32"/>
          <w:szCs w:val="32"/>
          <w:lang w:eastAsia="zh-CN"/>
        </w:rPr>
        <w:t>。</w:t>
      </w:r>
    </w:p>
    <w:p w14:paraId="6C7781C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年初预算为108.20万元，支出决算为108.20万元，完成年初预算的100.00%，决算数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严格按照预算数执行。</w:t>
      </w:r>
    </w:p>
    <w:p w14:paraId="28D2C4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24B62E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年度财政拨款基本支出1,826.30万元，其中：</w:t>
      </w:r>
    </w:p>
    <w:p w14:paraId="086CAC5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1,480.02万元，占基本支出的81.04%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18E32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346.27万元，占基本支出的</w:t>
      </w:r>
      <w:r>
        <w:rPr>
          <w:rFonts w:hint="eastAsia" w:ascii="仿宋_GB2312" w:hAnsi="仿宋_GB2312" w:eastAsia="仿宋_GB2312" w:cs="仿宋_GB2312"/>
          <w:sz w:val="32"/>
          <w:szCs w:val="32"/>
          <w:lang w:val="en-US" w:eastAsia="zh-CN"/>
        </w:rPr>
        <w:t>18.96</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p>
    <w:p w14:paraId="20D28B5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E34921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62C06E7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0A811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14:paraId="505F6B0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054D6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05D89D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7.00</w:t>
      </w:r>
      <w:r>
        <w:rPr>
          <w:rFonts w:hint="eastAsia" w:ascii="仿宋_GB2312" w:hAnsi="仿宋_GB2312" w:eastAsia="仿宋_GB2312" w:cs="仿宋_GB2312"/>
          <w:sz w:val="32"/>
          <w:szCs w:val="32"/>
        </w:rPr>
        <w:t>万元，支出决算为2.51万元，完成预算的35.86%，决算数小于预算数的主要原因是认真贯彻落实中央“八项规定”精神和厉行节约要求，从严控制“三公”经费开支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与上年相比减少1.74万元，减少40.94%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sz w:val="32"/>
          <w:szCs w:val="32"/>
        </w:rPr>
        <w:t>。其中：</w:t>
      </w:r>
    </w:p>
    <w:p w14:paraId="77F3E0A0">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4782C73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公务接待费支出预算为4.00万元，支出决算为2.51万元，完成预算的62.75%，决算数小于预算数的主要原因是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color w:val="000000"/>
          <w:kern w:val="0"/>
          <w:sz w:val="32"/>
          <w:szCs w:val="32"/>
          <w:lang w:val="en-US" w:eastAsia="zh-CN" w:bidi="ar-SA"/>
        </w:rPr>
        <w:t>，与上年相比减少0.04万元，减少1.57%，减少的主要原因是</w:t>
      </w:r>
      <w:r>
        <w:rPr>
          <w:rFonts w:hint="eastAsia" w:ascii="Times New Roman" w:hAnsi="Times New Roman" w:eastAsia="仿宋_GB2312"/>
          <w:sz w:val="32"/>
          <w:szCs w:val="32"/>
          <w:lang w:eastAsia="zh-CN"/>
        </w:rPr>
        <w:t>认真贯彻落实中央“八项规定”精神和厉行节约要求，从严控制“三公”经费开支</w:t>
      </w:r>
      <w:r>
        <w:rPr>
          <w:rFonts w:hint="eastAsia" w:ascii="仿宋_GB2312" w:hAnsi="仿宋_GB2312" w:eastAsia="仿宋_GB2312" w:cs="仿宋_GB2312"/>
          <w:color w:val="000000"/>
          <w:kern w:val="0"/>
          <w:sz w:val="32"/>
          <w:szCs w:val="32"/>
          <w:lang w:val="en-US" w:eastAsia="zh-CN" w:bidi="ar-SA"/>
        </w:rPr>
        <w:t>。</w:t>
      </w:r>
    </w:p>
    <w:p w14:paraId="4178AA9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公务用车购置费支出预算为0万元，支出决算为0万元，决算数等于预算数，主要原因是我单位严格按预算执行决算；与上年一致，无增减变动，主要原因是两年均未购置公务用车。</w:t>
      </w:r>
    </w:p>
    <w:p w14:paraId="6F2FEF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无公务用车需要运行维护；</w:t>
      </w:r>
      <w:r>
        <w:rPr>
          <w:rFonts w:hint="eastAsia" w:ascii="仿宋_GB2312" w:hAnsi="仿宋_GB2312" w:eastAsia="仿宋_GB2312" w:cs="仿宋_GB2312"/>
          <w:color w:val="000000"/>
          <w:kern w:val="0"/>
          <w:sz w:val="32"/>
          <w:szCs w:val="32"/>
          <w:lang w:val="en-US" w:eastAsia="zh-CN" w:bidi="ar-SA"/>
        </w:rPr>
        <w:t>与上年相比减少1.70万元，减少100.00%，减少的</w:t>
      </w:r>
      <w:r>
        <w:rPr>
          <w:rFonts w:hint="eastAsia" w:ascii="仿宋_GB2312" w:hAnsi="仿宋_GB2312" w:eastAsia="仿宋_GB2312" w:cs="仿宋_GB2312"/>
          <w:sz w:val="32"/>
          <w:szCs w:val="32"/>
          <w:lang w:val="en-US" w:eastAsia="zh-CN"/>
        </w:rPr>
        <w:t>主要原因是本年无公务用车需要运行维护。</w:t>
      </w:r>
    </w:p>
    <w:p w14:paraId="77A0CBE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A1E49E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2.51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w:t>
      </w:r>
    </w:p>
    <w:p w14:paraId="0389B51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sz w:val="32"/>
          <w:szCs w:val="32"/>
        </w:rPr>
      </w:pPr>
      <w:r>
        <w:rPr>
          <w:rFonts w:hint="default" w:ascii="仿宋_GB2312" w:hAnsi="仿宋_GB2312" w:eastAsia="仿宋_GB2312" w:cs="仿宋_GB2312"/>
          <w:b w:val="0"/>
          <w:bCs/>
          <w:color w:val="auto"/>
          <w:kern w:val="0"/>
          <w:sz w:val="32"/>
          <w:szCs w:val="32"/>
          <w:lang w:val="en-US" w:eastAsia="zh-CN" w:bidi="ar-SA"/>
        </w:rPr>
        <w:t>1、</w:t>
      </w:r>
      <w:r>
        <w:rPr>
          <w:rFonts w:hint="eastAsia" w:ascii="仿宋_GB2312" w:hAnsi="仿宋_GB2312" w:eastAsia="仿宋_GB2312" w:cs="仿宋_GB2312"/>
          <w:b w:val="0"/>
          <w:bCs/>
          <w:color w:val="auto"/>
          <w:kern w:val="0"/>
          <w:sz w:val="32"/>
          <w:szCs w:val="32"/>
          <w:lang w:val="en-US" w:eastAsia="zh-CN" w:bidi="ar-SA"/>
        </w:rPr>
        <w:t>因公出国（境）费支出决算为0万元，全年安排因公出国（境）团组0个，累计0人次，我单位2023年度无因公出国（境）费支出。</w:t>
      </w:r>
    </w:p>
    <w:p w14:paraId="7A975A6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2.51</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人次，主要是</w:t>
      </w:r>
      <w:r>
        <w:rPr>
          <w:rFonts w:hint="eastAsia" w:ascii="Times New Roman" w:hAnsi="Times New Roman" w:eastAsia="仿宋_GB2312"/>
          <w:sz w:val="32"/>
          <w:szCs w:val="32"/>
          <w:lang w:eastAsia="zh-CN"/>
        </w:rPr>
        <w:t>上级生态环保督察</w:t>
      </w:r>
      <w:r>
        <w:rPr>
          <w:rFonts w:hint="eastAsia" w:ascii="仿宋_GB2312" w:hAnsi="仿宋_GB2312" w:eastAsia="仿宋_GB2312" w:cs="仿宋_GB2312"/>
          <w:sz w:val="32"/>
          <w:szCs w:val="32"/>
        </w:rPr>
        <w:t>发生的接待支出。</w:t>
      </w:r>
    </w:p>
    <w:p w14:paraId="3D73524F">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color w:val="000000"/>
          <w:kern w:val="0"/>
          <w:sz w:val="32"/>
          <w:szCs w:val="32"/>
          <w:lang w:val="en-US" w:eastAsia="zh-CN" w:bidi="ar-SA"/>
        </w:rPr>
      </w:pPr>
      <w:r>
        <w:rPr>
          <w:rFonts w:hint="default"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公务用车购置费及运行维护费支出决算为0万元，其中：公务用车购置费0万元，当年没有购置公务用车。公务用车运行维护费0万元，截至2023年12月31日，我单位开支财政拨款的公务用车保有量为0辆。</w:t>
      </w:r>
    </w:p>
    <w:p w14:paraId="75A178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A63FF85">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年度机关运行经费支出346.27万元，比上年决算数减少111.53万元，减少24.36%。主要原因是：办公费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减少</w:t>
      </w:r>
      <w:r>
        <w:rPr>
          <w:rFonts w:hint="eastAsia" w:ascii="楷体" w:hAnsi="楷体" w:eastAsia="楷体" w:cs="楷体"/>
          <w:sz w:val="32"/>
          <w:szCs w:val="32"/>
        </w:rPr>
        <w:t>。</w:t>
      </w:r>
    </w:p>
    <w:p w14:paraId="7031EC3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472E580D">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3年度，会议费年初预算1.00万元，支出决算为0.81万元，完成年初预算的81.00%。用于召开3次会议，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人，内容为生态环境保护会议</w:t>
      </w:r>
      <w:r>
        <w:rPr>
          <w:rFonts w:hint="eastAsia" w:ascii="仿宋_GB2312" w:hAnsi="仿宋_GB2312" w:eastAsia="仿宋_GB2312" w:cs="仿宋_GB2312"/>
          <w:sz w:val="32"/>
          <w:szCs w:val="32"/>
          <w:lang w:eastAsia="zh-CN"/>
        </w:rPr>
        <w:t>。</w:t>
      </w:r>
    </w:p>
    <w:p w14:paraId="6FCF894F">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培训费年初预算2.00万元，支出决算为2.89万元，完成年初预算的144.5%。用于开展3次培训，人数120人，内容为生态环境保护培训。</w:t>
      </w:r>
    </w:p>
    <w:p w14:paraId="3AF1EFCE">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举办节庆、晚会、论坛、赛事活动年初预算0.00万元，支出决算为0.00万元。本单位无举办节庆、晚会、论坛、赛事等活动的预算和支出决算数。</w:t>
      </w:r>
    </w:p>
    <w:p w14:paraId="5466B4D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BA7FDC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年度政府采购支出总额571.75万元，其中：政府采购货物支出120.43万元、政府采购工程支出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万元、政府采购服务支出451.32万元。授予中小企业合同金额571.75万元，占政府采购支出总额的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%，其中：授予小微企业合同金额571.75万元，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w:t>
      </w:r>
    </w:p>
    <w:p w14:paraId="5F718F2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7871E4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60CE34E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0EDD3757">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2C2DAFD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B0545D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1,890.95万元，政府性基金预算支出0.00万元，国有资本经营预算支出0.00万元。从评价情况来看，整体支出绩效评价中，2023年整体支出8,946.75万元，其中：基本支出1,826.30万元，项目支出7,120.45万元，本单位整体支出绩效自评综合评分99.91分，评价结果等次为优秀。</w:t>
      </w:r>
    </w:p>
    <w:p w14:paraId="59EA2E2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目1个，共涉及资金1,480.02万元，占一般公共预算项目支出总额的2289.28%。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p>
    <w:p w14:paraId="1A91363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0BA065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99.91分。全年预算数为9,026.75万元，执行数为9,026.75万元，完成预算的100.00%。绩效目标完成情况：一是从整体上看，2023年我局资金运行维护决策正确，资金管理规范，项目管理到位，政策执行有力，有效发挥了财政资金的使用效率。二是我局各项项目资金其主要用途是确保了各项工作顺利进行；在人员经费支出、公用支出按照制度严格执行；在项目经费的使用上，在保证各项任务顺利完成的同时，严格落实厉行节约的原则；三公经费的使用严格控制在预算申报的范围内。</w:t>
      </w:r>
    </w:p>
    <w:p w14:paraId="01302821">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2DC4F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预算编制不够明确和细化，预算编制的合理性需要提高，预算执行力度还要进一步加强。绩效管理水平有待提高，特别是绩效指标设置的科学性、合理性有待进一步改善。二是虽然近年来我县整改了一大批突出环境问题，个性问题上呈现下降趋势，但环境问题仍然在不同层面、不同程度存在，短时期内难以根治。如秸秆露天焚烧屡禁不止，建筑施工和道路扬尘、餐饮油烟污染仍然存在。三是技术装备严重不足，目前执法人员仅有部分移动执法箱、执法记录仪，环境执法缺乏视频监控、现场执法辅助设备等科技技术监管手段，无执法车辆；环境监测在仪器设备配置无法满足县级生态环境监测站丙类机构创建及验收工作要求。</w:t>
      </w:r>
    </w:p>
    <w:p w14:paraId="1FA59A05">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仿宋_GB2312"/>
          <w:color w:val="000000"/>
          <w:kern w:val="2"/>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三是</w:t>
      </w:r>
      <w:r>
        <w:rPr>
          <w:rFonts w:hint="eastAsia" w:ascii="仿宋_GB2312" w:hAnsi="仿宋_GB2312" w:eastAsia="仿宋_GB2312" w:cs="仿宋_GB2312"/>
          <w:color w:val="000000"/>
          <w:kern w:val="2"/>
          <w:sz w:val="32"/>
          <w:szCs w:val="32"/>
          <w:lang w:val="en-US" w:eastAsia="zh-CN"/>
        </w:rPr>
        <w:t>建议市财政进一步加大环境保护资金力度，保障水、气、土攻坚“三大战役”持续推进，促进本辖区环境总体质量稳步提升。</w:t>
      </w:r>
    </w:p>
    <w:p w14:paraId="06C5BE0A">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44550F93">
      <w:pPr>
        <w:rPr>
          <w:rFonts w:hint="eastAsia" w:ascii="楷体" w:hAnsi="楷体" w:eastAsia="楷体" w:cs="楷体"/>
          <w:b/>
          <w:bCs/>
          <w:i w:val="0"/>
          <w:iCs w:val="0"/>
          <w:color w:val="FF0000"/>
          <w:kern w:val="0"/>
          <w:sz w:val="36"/>
          <w:szCs w:val="36"/>
          <w:lang w:val="en-US" w:eastAsia="zh-CN"/>
        </w:rPr>
      </w:pPr>
      <w:r>
        <w:rPr>
          <w:rFonts w:hint="eastAsia" w:ascii="楷体" w:hAnsi="楷体" w:eastAsia="楷体" w:cs="楷体"/>
          <w:b/>
          <w:bCs/>
          <w:i w:val="0"/>
          <w:iCs w:val="0"/>
          <w:color w:val="FF0000"/>
          <w:kern w:val="0"/>
          <w:sz w:val="36"/>
          <w:szCs w:val="36"/>
          <w:lang w:val="en-US" w:eastAsia="zh-CN"/>
        </w:rPr>
        <w:br w:type="page"/>
      </w:r>
    </w:p>
    <w:p w14:paraId="2FF5ADB7">
      <w:pPr>
        <w:pStyle w:val="2"/>
        <w:rPr>
          <w:rFonts w:hint="eastAsia"/>
          <w:lang w:val="en-US" w:eastAsia="zh-CN"/>
        </w:rPr>
      </w:pPr>
    </w:p>
    <w:p w14:paraId="11CBBE88">
      <w:pPr>
        <w:pStyle w:val="12"/>
        <w:jc w:val="center"/>
        <w:rPr>
          <w:sz w:val="72"/>
          <w:szCs w:val="72"/>
        </w:rPr>
      </w:pPr>
    </w:p>
    <w:p w14:paraId="2791F6BD">
      <w:pPr>
        <w:pStyle w:val="12"/>
        <w:jc w:val="center"/>
        <w:rPr>
          <w:rFonts w:hint="eastAsia" w:ascii="方正小标宋_GBK" w:hAnsi="方正小标宋_GBK" w:eastAsia="方正小标宋_GBK" w:cs="方正小标宋_GBK"/>
          <w:sz w:val="70"/>
          <w:szCs w:val="70"/>
          <w:lang w:eastAsia="zh-CN"/>
        </w:rPr>
      </w:pPr>
    </w:p>
    <w:p w14:paraId="27CAD6DE">
      <w:pPr>
        <w:pStyle w:val="12"/>
        <w:jc w:val="center"/>
        <w:rPr>
          <w:rFonts w:hint="eastAsia" w:ascii="方正小标宋_GBK" w:hAnsi="方正小标宋_GBK" w:eastAsia="方正小标宋_GBK" w:cs="方正小标宋_GBK"/>
          <w:sz w:val="70"/>
          <w:szCs w:val="70"/>
          <w:lang w:eastAsia="zh-CN"/>
        </w:rPr>
      </w:pPr>
    </w:p>
    <w:p w14:paraId="338F540E">
      <w:pPr>
        <w:pStyle w:val="12"/>
        <w:jc w:val="center"/>
        <w:rPr>
          <w:rFonts w:hint="eastAsia" w:ascii="方正小标宋_GBK" w:hAnsi="方正小标宋_GBK" w:eastAsia="方正小标宋_GBK" w:cs="方正小标宋_GBK"/>
          <w:sz w:val="72"/>
          <w:szCs w:val="72"/>
        </w:rPr>
      </w:pPr>
    </w:p>
    <w:p w14:paraId="05F2AC57">
      <w:pPr>
        <w:pStyle w:val="12"/>
        <w:jc w:val="center"/>
        <w:rPr>
          <w:rFonts w:hint="eastAsia" w:ascii="方正小标宋_GBK" w:hAnsi="方正小标宋_GBK" w:eastAsia="方正小标宋_GBK" w:cs="方正小标宋_GBK"/>
          <w:sz w:val="72"/>
          <w:szCs w:val="72"/>
        </w:rPr>
      </w:pPr>
    </w:p>
    <w:p w14:paraId="6EC8A58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0C6184CC">
      <w:pPr>
        <w:jc w:val="center"/>
        <w:rPr>
          <w:rFonts w:hint="eastAsia" w:ascii="方正小标宋_GBK" w:hAnsi="方正小标宋_GBK" w:eastAsia="方正小标宋_GBK" w:cs="方正小标宋_GBK"/>
          <w:color w:val="000000"/>
          <w:kern w:val="0"/>
          <w:sz w:val="70"/>
          <w:szCs w:val="70"/>
        </w:rPr>
      </w:pPr>
    </w:p>
    <w:p w14:paraId="15186C6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A50679D">
      <w:pPr>
        <w:pStyle w:val="2"/>
      </w:pPr>
    </w:p>
    <w:p w14:paraId="585C9A10">
      <w:pPr>
        <w:pStyle w:val="3"/>
      </w:pPr>
    </w:p>
    <w:p w14:paraId="778E9831"/>
    <w:p w14:paraId="5158B54B">
      <w:pPr>
        <w:pStyle w:val="2"/>
      </w:pPr>
    </w:p>
    <w:p w14:paraId="6ABF98EB">
      <w:pPr>
        <w:pStyle w:val="3"/>
      </w:pPr>
    </w:p>
    <w:p w14:paraId="7B348F27"/>
    <w:p w14:paraId="4F7EADE2">
      <w:pPr>
        <w:pStyle w:val="2"/>
      </w:pPr>
    </w:p>
    <w:p w14:paraId="21CFD443">
      <w:pPr>
        <w:pStyle w:val="3"/>
      </w:pPr>
    </w:p>
    <w:p w14:paraId="1237583B"/>
    <w:p w14:paraId="61CE190A">
      <w:pPr>
        <w:pStyle w:val="2"/>
      </w:pPr>
    </w:p>
    <w:p w14:paraId="7A43393B">
      <w:pPr>
        <w:pStyle w:val="3"/>
      </w:pPr>
    </w:p>
    <w:p w14:paraId="0B1B0F4E"/>
    <w:p w14:paraId="1140249E">
      <w:pPr>
        <w:pStyle w:val="2"/>
      </w:pPr>
    </w:p>
    <w:p w14:paraId="77095AC8">
      <w:pPr>
        <w:pStyle w:val="3"/>
      </w:pPr>
    </w:p>
    <w:p w14:paraId="22242195">
      <w:pPr>
        <w:pStyle w:val="3"/>
      </w:pPr>
    </w:p>
    <w:p w14:paraId="269BD6F2"/>
    <w:p w14:paraId="72E07402">
      <w:pPr>
        <w:pStyle w:val="2"/>
      </w:pPr>
    </w:p>
    <w:p w14:paraId="068FA407">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一、财政拨款收入：指本级财政当年拨付的资金。其他收入：指除上述“财政拨款收入”、“上级补助收入”、“事业收入”、“经营收入”、“附属单位上缴收入”等以外的收入。</w:t>
      </w:r>
    </w:p>
    <w:p w14:paraId="6567AA3C">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二、上年结转和结余：指以前年度尚未完成、结转到本年按有关规定继续使用的资金。</w:t>
      </w:r>
    </w:p>
    <w:p w14:paraId="3F348F27">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070FB06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76763C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五、卫生健康支出（类）：是指用于医疗卫生与计划生育方面的支出，包括保障机构正常运转、完成日常和特定的工作任务或事业发展目标的支出。</w:t>
      </w:r>
    </w:p>
    <w:p w14:paraId="166AEF0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六、节能环保支出（类）：是指用于节能环保支出，包括保障机构正常运转、完成日常和特定的工作任务或事业发展目标的支出。</w:t>
      </w:r>
    </w:p>
    <w:p w14:paraId="4E5F6BB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七、其他支出（类）：是指用于反映除上述项目以外其他不能划分到具体功能科目中的支出项目，包括保障机构正常运转、完成日常和特定的工作任务或事业发展目标的支出。</w:t>
      </w:r>
    </w:p>
    <w:p w14:paraId="3115C7C8">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八、基本支出：指保障机构正常运转、完成支日常工作任务而发生的人员支出和公用支出。</w:t>
      </w:r>
    </w:p>
    <w:p w14:paraId="72AF3DC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九、项目支出：指在基本支出之外为完成特定行政任务和事业发展目标所发生的支出。</w:t>
      </w:r>
    </w:p>
    <w:p w14:paraId="252B745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18B56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1A44F8A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十二、工资福利支出：反映单位开支的在职职工和编制外长期聘用人员的各类劳动报酬，以及为上述人员缴纳的各项社会保险费等。</w:t>
      </w:r>
    </w:p>
    <w:p w14:paraId="1FA3C40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FD66D1C">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十四、津贴补贴：反映经国家批准建立的机关事业单位艰苦边远地区津贴、机关工作人员地区附加津贴、机关工作人员岗位津贴、事业单位工作人员特殊岗位津贴补贴等。</w:t>
      </w:r>
    </w:p>
    <w:p w14:paraId="083FDE6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46224B4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十六、伙食补助费：反映单位发给职工的伙食补助费，如误餐补助等。绩效工资：反映事业单位工作人员的绩效工资。</w:t>
      </w:r>
    </w:p>
    <w:p w14:paraId="774A6C8F">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十七、机关事业单位基本养老保险缴费：反映机关事业单位缴纳的基本养老保险费。由单位代扣的工作人员基本养老保险缴费，不在此科目反映。</w:t>
      </w:r>
    </w:p>
    <w:p w14:paraId="00A7AD35">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十八、职业年金缴费：反映机关事业单位实际缴纳的职业年金支出。由单位代扣的工作人员职业年金缴费，不在此科目反映。</w:t>
      </w:r>
    </w:p>
    <w:p w14:paraId="4ABC2DD3">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十九、职工基本医疗保险缴费：反映单位为职工缴纳的基本医疗保险费。</w:t>
      </w:r>
    </w:p>
    <w:p w14:paraId="20E2D87A">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二十、其他社会保障缴费：反映单位为职工缴纳的基本医疗、失业、工伤、生育等社会保险费，残疾人就业保障金，军队（含武警）为军人缴纳的伤亡、退役医疗等社会保险费。</w:t>
      </w:r>
    </w:p>
    <w:p w14:paraId="5A3B0CA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二十一、住房公积金：反映行政事业单位按人力资源和社会保障部、财政部规定的基本工资和津贴补贴以及规定比例为职工缴纳的住房公积金。</w:t>
      </w:r>
    </w:p>
    <w:p w14:paraId="6382A31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二十二、医疗费：反映未参加医疗保险单位的医疗经费和单位按规定为职工支出的其他医疗费用。</w:t>
      </w:r>
    </w:p>
    <w:p w14:paraId="0AC54D2E">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218C91E">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二十四、商品和服务支出：反映单位购买商品和服务的支出（不包括用于购置固定资产的支出、战略性和应急储备支出）。</w:t>
      </w:r>
    </w:p>
    <w:p w14:paraId="50BAEFBA">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二十五、办公费：反映单位购买按财务会计制度规定不符合固定资产确认标准的日常办公用品、书报杂志等支出。</w:t>
      </w:r>
    </w:p>
    <w:p w14:paraId="693DB09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二十六、印刷费：反映单位的印刷费支出。</w:t>
      </w:r>
    </w:p>
    <w:p w14:paraId="7BE5968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二十七、咨询费：反映单位咨询方面的支出。</w:t>
      </w:r>
    </w:p>
    <w:p w14:paraId="3E09DF5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二十八、水费：反映单位支付的水费、污水处理费等支出。</w:t>
      </w:r>
    </w:p>
    <w:p w14:paraId="70EB5182">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二十九、电费：反映单位的电费支出。</w:t>
      </w:r>
    </w:p>
    <w:p w14:paraId="755E063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三十、邮电费：反映单位开支的信函、包裹、货物等物品的邮寄费及电话费、电报费、传真费、网络通讯费等。</w:t>
      </w:r>
    </w:p>
    <w:p w14:paraId="1321AFDA">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三十一、差旅费：反映单位工作人员出差发生的城市间交通费、住宿费、伙食补贴费和市内交通费。</w:t>
      </w:r>
    </w:p>
    <w:p w14:paraId="6E455B2D">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三十二、维修(护)费：反映单位日常开支的固定资产（不包括车船等交通工具）修理和维护费用，网络信息系统运行与维护费用，以及按规定提取的修购基金。</w:t>
      </w:r>
    </w:p>
    <w:p w14:paraId="3077E47B">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三十三、会议费：反映会议中按规定开支的住宿费、伙食费、会议室租金、交通费、文件印刷费、医药费等。</w:t>
      </w:r>
    </w:p>
    <w:p w14:paraId="0F329467">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三十四、培训费：反映除因公出国（境）培训费以外的各类培训支出。</w:t>
      </w:r>
    </w:p>
    <w:p w14:paraId="1A6C7F61">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三十五、公务接待费：反映单位按规定开支的各类公务接待（含外宾接待）费用。</w:t>
      </w:r>
    </w:p>
    <w:p w14:paraId="61E29E3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三十六、专用燃料费：反映用作业务工作设备的车、船设施等的油料支出。</w:t>
      </w:r>
    </w:p>
    <w:p w14:paraId="4081D819">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三十七、劳务费：反映支付给单位和个人的劳务费用，如临时聘用人员、钟点工工资，稿费、翻译费，评审费等。</w:t>
      </w:r>
    </w:p>
    <w:p w14:paraId="2C521395">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三十八、工会经费：反映单位按规定提取的工会经费。</w:t>
      </w:r>
    </w:p>
    <w:p w14:paraId="59895D88">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三十九、公务用车运行维护费：反映单位按规定保留的公务用车燃料费、维修费、过桥过路费、保险费、安全奖励费用等支出。</w:t>
      </w:r>
    </w:p>
    <w:p w14:paraId="5E49AD7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四十、其他交通费用：反映单位除公务用车运行维护费以外的其他交通费用。如公务交通补贴，租车费用、出租车费用，飞机、船舶等的燃料费、维修费、保险费等。</w:t>
      </w:r>
    </w:p>
    <w:p w14:paraId="784CAE5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四十一、其他商品和服务支出：反映上述科目未包括的日常公用支出。如行政赔偿费和诉讼费、国内组织的会员费、来访费、广告宣传、其他劳务费及离休人员特需费、公用经费等。</w:t>
      </w:r>
    </w:p>
    <w:p w14:paraId="5193B964">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四十二、对个人和家庭的补助：反映政府用于对个人和家庭的补助支出。</w:t>
      </w:r>
    </w:p>
    <w:p w14:paraId="16F62B10">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四十三、退休费：反映行政事业单位和军队移交政府安置的退休人员的退休费和其他补贴。</w:t>
      </w:r>
    </w:p>
    <w:p w14:paraId="140849E6">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四十四、抚恤金：反映按规定开支的烈士遗属、牺牲病故人员遗属的一次性和定期抚恤金，伤残人员的抚恤金，离退休人员等其他人员的各项抚恤金。</w:t>
      </w:r>
    </w:p>
    <w:p w14:paraId="2FE9FA75">
      <w:pPr>
        <w:pStyle w:val="3"/>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010D8230">
      <w:pPr>
        <w:pStyle w:val="3"/>
      </w:pPr>
      <w:r>
        <w:rPr>
          <w:rFonts w:hint="eastAsia" w:ascii="仿宋_GB2312" w:hAnsi="仿宋_GB2312" w:eastAsia="仿宋_GB2312" w:cs="仿宋_GB2312"/>
          <w:color w:val="000000"/>
          <w:kern w:val="0"/>
          <w:sz w:val="32"/>
          <w:szCs w:val="32"/>
        </w:rPr>
        <w:t>四十六、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0D40AFC2"/>
    <w:p w14:paraId="4A229BF3">
      <w:r>
        <w:br w:type="page"/>
      </w:r>
    </w:p>
    <w:p w14:paraId="16F2B54B">
      <w:pPr>
        <w:pStyle w:val="3"/>
      </w:pPr>
    </w:p>
    <w:p w14:paraId="4F15C43F">
      <w:pPr>
        <w:pStyle w:val="3"/>
      </w:pPr>
    </w:p>
    <w:p w14:paraId="3CE8DB06"/>
    <w:p w14:paraId="22E584D2">
      <w:pPr>
        <w:pStyle w:val="2"/>
      </w:pPr>
    </w:p>
    <w:p w14:paraId="0E78C0E0">
      <w:pPr>
        <w:pStyle w:val="3"/>
      </w:pPr>
    </w:p>
    <w:p w14:paraId="048BA2A4"/>
    <w:p w14:paraId="5C8EA3A7">
      <w:pPr>
        <w:pStyle w:val="2"/>
      </w:pPr>
    </w:p>
    <w:p w14:paraId="7863EB46">
      <w:pPr>
        <w:pStyle w:val="3"/>
      </w:pPr>
    </w:p>
    <w:p w14:paraId="258AF11A"/>
    <w:p w14:paraId="7FF720C1">
      <w:pPr>
        <w:pStyle w:val="2"/>
      </w:pPr>
    </w:p>
    <w:p w14:paraId="5B6DA846">
      <w:pPr>
        <w:pStyle w:val="3"/>
      </w:pPr>
    </w:p>
    <w:p w14:paraId="67FFDAA0"/>
    <w:p w14:paraId="62A1BE06">
      <w:pPr>
        <w:pStyle w:val="2"/>
      </w:pPr>
    </w:p>
    <w:p w14:paraId="21BA7AA7">
      <w:pPr>
        <w:pStyle w:val="3"/>
      </w:pPr>
    </w:p>
    <w:p w14:paraId="6804B83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B06D91A">
      <w:pPr>
        <w:pStyle w:val="12"/>
        <w:jc w:val="both"/>
        <w:rPr>
          <w:rFonts w:hint="eastAsia" w:ascii="方正小标宋_GBK" w:hAnsi="方正小标宋_GBK" w:eastAsia="方正小标宋_GBK" w:cs="方正小标宋_GBK"/>
          <w:sz w:val="70"/>
          <w:szCs w:val="70"/>
          <w:lang w:eastAsia="zh-CN"/>
        </w:rPr>
      </w:pPr>
    </w:p>
    <w:p w14:paraId="07D56E19">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DA10F77">
      <w:pPr>
        <w:ind w:firstLine="640" w:firstLineChars="200"/>
        <w:jc w:val="left"/>
        <w:rPr>
          <w:rFonts w:hint="eastAsia" w:ascii="宋体" w:hAnsi="宋体" w:eastAsia="宋体" w:cs="黑体"/>
          <w:b/>
          <w:color w:val="000000"/>
          <w:kern w:val="0"/>
          <w:sz w:val="32"/>
          <w:szCs w:val="32"/>
          <w:lang w:val="en-US" w:eastAsia="zh-CN"/>
        </w:rPr>
      </w:pPr>
    </w:p>
    <w:p w14:paraId="648D170C">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0142F551">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682D2D14"/>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6234C"/>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4B08FF"/>
    <w:rsid w:val="01D32DCE"/>
    <w:rsid w:val="04665430"/>
    <w:rsid w:val="04B30C95"/>
    <w:rsid w:val="059958AD"/>
    <w:rsid w:val="068F658C"/>
    <w:rsid w:val="06C857E7"/>
    <w:rsid w:val="07D000A4"/>
    <w:rsid w:val="08C24A73"/>
    <w:rsid w:val="0A797225"/>
    <w:rsid w:val="0AE62115"/>
    <w:rsid w:val="0B097861"/>
    <w:rsid w:val="0C0864C4"/>
    <w:rsid w:val="0E4017EB"/>
    <w:rsid w:val="0E425FEA"/>
    <w:rsid w:val="0F6634D4"/>
    <w:rsid w:val="116A6B7F"/>
    <w:rsid w:val="12326DC2"/>
    <w:rsid w:val="1232711B"/>
    <w:rsid w:val="12583BA5"/>
    <w:rsid w:val="12A55421"/>
    <w:rsid w:val="138E4FB6"/>
    <w:rsid w:val="13BA5B9C"/>
    <w:rsid w:val="16141B01"/>
    <w:rsid w:val="16775FC6"/>
    <w:rsid w:val="19434886"/>
    <w:rsid w:val="19B4308D"/>
    <w:rsid w:val="1A2975D8"/>
    <w:rsid w:val="1A42491C"/>
    <w:rsid w:val="1AE76B27"/>
    <w:rsid w:val="1B572B6D"/>
    <w:rsid w:val="1B997728"/>
    <w:rsid w:val="1CE02090"/>
    <w:rsid w:val="1D97DEFF"/>
    <w:rsid w:val="1DFF72E5"/>
    <w:rsid w:val="1E5F5CBE"/>
    <w:rsid w:val="1EFC6F07"/>
    <w:rsid w:val="1F0527A6"/>
    <w:rsid w:val="1F0D30A9"/>
    <w:rsid w:val="202B4C0B"/>
    <w:rsid w:val="22AC03C2"/>
    <w:rsid w:val="25583467"/>
    <w:rsid w:val="25754019"/>
    <w:rsid w:val="26DF4DEB"/>
    <w:rsid w:val="271C3220"/>
    <w:rsid w:val="27923736"/>
    <w:rsid w:val="29164D24"/>
    <w:rsid w:val="2A695F39"/>
    <w:rsid w:val="2A7D06D5"/>
    <w:rsid w:val="2C8B4C52"/>
    <w:rsid w:val="2D7124F1"/>
    <w:rsid w:val="2D74105A"/>
    <w:rsid w:val="2D8172D3"/>
    <w:rsid w:val="2FDF85B8"/>
    <w:rsid w:val="2FFFEE04"/>
    <w:rsid w:val="316B2774"/>
    <w:rsid w:val="31C95635"/>
    <w:rsid w:val="31DD5420"/>
    <w:rsid w:val="34DF85B0"/>
    <w:rsid w:val="365A6A30"/>
    <w:rsid w:val="36914A2B"/>
    <w:rsid w:val="37F708BD"/>
    <w:rsid w:val="392C4597"/>
    <w:rsid w:val="3A3A5061"/>
    <w:rsid w:val="3A886145"/>
    <w:rsid w:val="3A923D0A"/>
    <w:rsid w:val="3AB57F4E"/>
    <w:rsid w:val="3B703148"/>
    <w:rsid w:val="3B8F36BC"/>
    <w:rsid w:val="3BD038FF"/>
    <w:rsid w:val="3E6F38A3"/>
    <w:rsid w:val="3F3F7DC2"/>
    <w:rsid w:val="41BA42CD"/>
    <w:rsid w:val="44044A8E"/>
    <w:rsid w:val="44974855"/>
    <w:rsid w:val="44DD0E3B"/>
    <w:rsid w:val="45CD3B61"/>
    <w:rsid w:val="491FF225"/>
    <w:rsid w:val="49A81BEF"/>
    <w:rsid w:val="4CD45888"/>
    <w:rsid w:val="4CE216E4"/>
    <w:rsid w:val="4D153868"/>
    <w:rsid w:val="4E6F6FA8"/>
    <w:rsid w:val="4EB60C93"/>
    <w:rsid w:val="4FFD214C"/>
    <w:rsid w:val="52911BF2"/>
    <w:rsid w:val="5352765A"/>
    <w:rsid w:val="5777D4F5"/>
    <w:rsid w:val="58CC62FA"/>
    <w:rsid w:val="58F20F01"/>
    <w:rsid w:val="59DD8326"/>
    <w:rsid w:val="5C1B126D"/>
    <w:rsid w:val="5C447CC6"/>
    <w:rsid w:val="5DEF592A"/>
    <w:rsid w:val="5EF05EE3"/>
    <w:rsid w:val="5FC6BB1E"/>
    <w:rsid w:val="5FF720F1"/>
    <w:rsid w:val="60330383"/>
    <w:rsid w:val="604B777D"/>
    <w:rsid w:val="62E775FD"/>
    <w:rsid w:val="66652ED8"/>
    <w:rsid w:val="67FF5C0B"/>
    <w:rsid w:val="68E5013A"/>
    <w:rsid w:val="69015A74"/>
    <w:rsid w:val="6A4964A7"/>
    <w:rsid w:val="6A8F4802"/>
    <w:rsid w:val="6BAA4A2F"/>
    <w:rsid w:val="6C563B87"/>
    <w:rsid w:val="6D355F15"/>
    <w:rsid w:val="6EFC0924"/>
    <w:rsid w:val="6FB74722"/>
    <w:rsid w:val="6FEF8B7E"/>
    <w:rsid w:val="705A492B"/>
    <w:rsid w:val="70E80021"/>
    <w:rsid w:val="71A6591B"/>
    <w:rsid w:val="737D59BA"/>
    <w:rsid w:val="737F32B1"/>
    <w:rsid w:val="739C6873"/>
    <w:rsid w:val="74387230"/>
    <w:rsid w:val="74611500"/>
    <w:rsid w:val="77C37683"/>
    <w:rsid w:val="77FE4D75"/>
    <w:rsid w:val="79184923"/>
    <w:rsid w:val="79FF515B"/>
    <w:rsid w:val="7A2F5B40"/>
    <w:rsid w:val="7ACD6C80"/>
    <w:rsid w:val="7AEC00ED"/>
    <w:rsid w:val="7B4A56E6"/>
    <w:rsid w:val="7C453C8F"/>
    <w:rsid w:val="7DA57A41"/>
    <w:rsid w:val="7DED1A9A"/>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9027</Words>
  <Characters>9841</Characters>
  <Lines>63</Lines>
  <Paragraphs>18</Paragraphs>
  <TotalTime>2</TotalTime>
  <ScaleCrop>false</ScaleCrop>
  <LinksUpToDate>false</LinksUpToDate>
  <CharactersWithSpaces>9849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2025-08-25T07:40:15Z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CCF504A8DB434C6094A6B889309630F2_13</vt:lpwstr>
  </property>
  <property fmtid="{D5CDD505-2E9C-101B-9397-08002B2CF9AE}" pid="4" name="KSOTemplateDocerSaveRecord">
    <vt:lpwstr>eyJoZGlkIjoiNjgxZmIyZGM1NjlmYzFmNTczZGVkNWYyNWIwMGFjMmUiLCJ1c2VySWQiOiIyOTMyNjEyNDMifQ==</vt:lpwstr>
  </property>
</Properties>
</file>