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D86AB">
      <w:pPr>
        <w:pStyle w:val="13"/>
        <w:jc w:val="center"/>
        <w:rPr>
          <w:sz w:val="56"/>
          <w:szCs w:val="56"/>
        </w:rPr>
      </w:pPr>
    </w:p>
    <w:p w14:paraId="46F17A78">
      <w:pPr>
        <w:pStyle w:val="13"/>
        <w:jc w:val="center"/>
        <w:rPr>
          <w:sz w:val="56"/>
          <w:szCs w:val="56"/>
        </w:rPr>
      </w:pPr>
    </w:p>
    <w:p w14:paraId="3823173C">
      <w:pPr>
        <w:pStyle w:val="13"/>
        <w:jc w:val="center"/>
        <w:rPr>
          <w:sz w:val="84"/>
          <w:szCs w:val="84"/>
        </w:rPr>
      </w:pPr>
    </w:p>
    <w:p w14:paraId="15D1FB55">
      <w:pPr>
        <w:pStyle w:val="13"/>
        <w:jc w:val="center"/>
        <w:rPr>
          <w:sz w:val="84"/>
          <w:szCs w:val="84"/>
        </w:rPr>
      </w:pPr>
    </w:p>
    <w:p w14:paraId="3891B5E7">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63934CBC">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岳阳市生态环境局岳阳楼</w:t>
      </w:r>
    </w:p>
    <w:p w14:paraId="15994664">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单位部门决算</w:t>
      </w:r>
    </w:p>
    <w:p w14:paraId="0903EB68">
      <w:pPr>
        <w:pStyle w:val="13"/>
        <w:jc w:val="center"/>
        <w:rPr>
          <w:rFonts w:hint="eastAsia" w:ascii="方正小标宋_GBK" w:hAnsi="方正小标宋_GBK" w:eastAsia="方正小标宋_GBK" w:cs="方正小标宋_GBK"/>
          <w:sz w:val="56"/>
          <w:szCs w:val="56"/>
        </w:rPr>
      </w:pPr>
    </w:p>
    <w:p w14:paraId="29B25FD3">
      <w:pPr>
        <w:pStyle w:val="13"/>
        <w:jc w:val="center"/>
        <w:rPr>
          <w:sz w:val="56"/>
          <w:szCs w:val="56"/>
        </w:rPr>
      </w:pPr>
    </w:p>
    <w:p w14:paraId="68D7A8D2">
      <w:pPr>
        <w:pStyle w:val="13"/>
        <w:jc w:val="center"/>
        <w:rPr>
          <w:sz w:val="56"/>
          <w:szCs w:val="56"/>
        </w:rPr>
      </w:pPr>
    </w:p>
    <w:p w14:paraId="1D77FA7B">
      <w:pPr>
        <w:pStyle w:val="13"/>
        <w:jc w:val="center"/>
        <w:rPr>
          <w:sz w:val="56"/>
          <w:szCs w:val="56"/>
        </w:rPr>
      </w:pPr>
    </w:p>
    <w:p w14:paraId="175C3368">
      <w:pPr>
        <w:pStyle w:val="13"/>
        <w:jc w:val="center"/>
        <w:rPr>
          <w:sz w:val="32"/>
          <w:szCs w:val="32"/>
        </w:rPr>
      </w:pPr>
    </w:p>
    <w:p w14:paraId="5918D2B7">
      <w:pPr>
        <w:pStyle w:val="13"/>
        <w:spacing w:line="540" w:lineRule="exact"/>
        <w:jc w:val="both"/>
        <w:rPr>
          <w:sz w:val="56"/>
          <w:szCs w:val="56"/>
        </w:rPr>
      </w:pPr>
    </w:p>
    <w:p w14:paraId="33979F0A">
      <w:pPr>
        <w:pStyle w:val="13"/>
        <w:spacing w:line="540" w:lineRule="exact"/>
        <w:jc w:val="both"/>
        <w:rPr>
          <w:sz w:val="56"/>
          <w:szCs w:val="56"/>
        </w:rPr>
      </w:pPr>
    </w:p>
    <w:p w14:paraId="3E5176E3">
      <w:pPr>
        <w:pStyle w:val="13"/>
        <w:spacing w:line="500" w:lineRule="exact"/>
        <w:jc w:val="both"/>
        <w:rPr>
          <w:b/>
          <w:sz w:val="36"/>
          <w:szCs w:val="28"/>
        </w:rPr>
      </w:pPr>
    </w:p>
    <w:p w14:paraId="7C3E12E4">
      <w:pPr>
        <w:pStyle w:val="13"/>
        <w:spacing w:line="500" w:lineRule="exact"/>
        <w:jc w:val="center"/>
        <w:rPr>
          <w:b/>
          <w:sz w:val="36"/>
          <w:szCs w:val="28"/>
        </w:rPr>
      </w:pPr>
      <w:r>
        <w:rPr>
          <w:rFonts w:hint="eastAsia"/>
          <w:b/>
          <w:sz w:val="36"/>
          <w:szCs w:val="28"/>
        </w:rPr>
        <w:t>目录</w:t>
      </w:r>
    </w:p>
    <w:p w14:paraId="191C20E8">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岳阳市生态环境局岳阳楼单位概况</w:t>
      </w:r>
    </w:p>
    <w:p w14:paraId="08C2C16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53CCD73F">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F8F47E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BF4892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75DFAB30">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0CAA95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089128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6C8DA58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13350F0">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94B3DB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0775477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09D9AA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68A66B5">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29E44EF">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DAA7BE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0A9B64E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22BD2A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34262E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F84517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E1AF4D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C17CD6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55B1FCC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F8A61F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58565DF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358CB15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861B20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40E4116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17EA289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EA7AFB9">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5EBD9AC2">
      <w:pPr>
        <w:pStyle w:val="13"/>
        <w:jc w:val="center"/>
        <w:rPr>
          <w:rFonts w:hint="eastAsia" w:ascii="方正小标宋_GBK" w:hAnsi="方正小标宋_GBK" w:eastAsia="方正小标宋_GBK" w:cs="方正小标宋_GBK"/>
          <w:sz w:val="84"/>
          <w:szCs w:val="84"/>
        </w:rPr>
      </w:pPr>
    </w:p>
    <w:p w14:paraId="296D0685">
      <w:pPr>
        <w:pStyle w:val="13"/>
        <w:jc w:val="center"/>
        <w:rPr>
          <w:rFonts w:hint="eastAsia" w:ascii="方正小标宋_GBK" w:hAnsi="方正小标宋_GBK" w:eastAsia="方正小标宋_GBK" w:cs="方正小标宋_GBK"/>
          <w:sz w:val="84"/>
          <w:szCs w:val="84"/>
        </w:rPr>
      </w:pPr>
    </w:p>
    <w:p w14:paraId="46203427">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256B4015">
      <w:pPr>
        <w:pStyle w:val="13"/>
        <w:jc w:val="center"/>
        <w:rPr>
          <w:rFonts w:hint="eastAsia" w:ascii="方正小标宋_GBK" w:hAnsi="方正小标宋_GBK" w:eastAsia="方正小标宋_GBK" w:cs="方正小标宋_GBK"/>
          <w:sz w:val="84"/>
          <w:szCs w:val="84"/>
        </w:rPr>
      </w:pPr>
    </w:p>
    <w:p w14:paraId="659DECB3">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岳阳市生态环境局岳阳楼</w:t>
      </w:r>
    </w:p>
    <w:p w14:paraId="3C852AF1">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14:paraId="55B21ABF">
      <w:pPr>
        <w:pStyle w:val="8"/>
        <w:rPr>
          <w:rFonts w:hint="eastAsia" w:ascii="方正小标宋_GBK" w:hAnsi="方正小标宋_GBK" w:eastAsia="方正小标宋_GBK" w:cs="方正小标宋_GBK"/>
          <w:sz w:val="84"/>
          <w:szCs w:val="84"/>
        </w:rPr>
      </w:pPr>
    </w:p>
    <w:p w14:paraId="436CA0A3">
      <w:pPr>
        <w:pStyle w:val="4"/>
        <w:rPr>
          <w:rFonts w:hint="eastAsia" w:ascii="方正小标宋_GBK" w:hAnsi="方正小标宋_GBK" w:eastAsia="方正小标宋_GBK" w:cs="方正小标宋_GBK"/>
          <w:sz w:val="84"/>
          <w:szCs w:val="84"/>
        </w:rPr>
      </w:pPr>
    </w:p>
    <w:p w14:paraId="384B9EFE">
      <w:pPr>
        <w:pStyle w:val="4"/>
        <w:ind w:left="0" w:leftChars="0" w:firstLine="0" w:firstLineChars="0"/>
        <w:rPr>
          <w:rFonts w:hint="eastAsia" w:ascii="方正小标宋_GBK" w:hAnsi="方正小标宋_GBK" w:eastAsia="方正小标宋_GBK" w:cs="方正小标宋_GBK"/>
          <w:sz w:val="84"/>
          <w:szCs w:val="84"/>
        </w:rPr>
      </w:pPr>
    </w:p>
    <w:p w14:paraId="01EE83A6">
      <w:pPr>
        <w:rPr>
          <w:rFonts w:hint="eastAsia"/>
        </w:rPr>
      </w:pPr>
    </w:p>
    <w:p w14:paraId="3AEA8CAE">
      <w:pPr>
        <w:pStyle w:val="4"/>
        <w:ind w:left="0" w:leftChars="0" w:firstLine="0" w:firstLineChars="0"/>
        <w:rPr>
          <w:rFonts w:hint="eastAsia"/>
        </w:rPr>
      </w:pPr>
    </w:p>
    <w:p w14:paraId="2FE55AB9">
      <w:pPr>
        <w:rPr>
          <w:rFonts w:hint="eastAsia"/>
        </w:rPr>
      </w:pPr>
    </w:p>
    <w:p w14:paraId="4855B14C">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5C4FA20">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53214A9F">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（二）负责岳阳楼区生态环境问题的统筹协调和监督管理。</w:t>
      </w:r>
    </w:p>
    <w:p w14:paraId="31D42B07">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2E859548">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29520FFD">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16588685">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360B551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0C0D771D">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1A99F88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1821946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6E1C75C3">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2FF0F655">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4A52D0CE">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（十三）完成市生态环境局、岳阳楼区党委、政府交办的其他事项。</w:t>
      </w:r>
    </w:p>
    <w:p w14:paraId="5D757FD4">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0C95947F">
      <w:pPr>
        <w:keepNext w:val="0"/>
        <w:keepLines w:val="0"/>
        <w:pageBreakBefore w:val="0"/>
        <w:kinsoku/>
        <w:wordWrap/>
        <w:overflowPunct/>
        <w:topLinePunct w:val="0"/>
        <w:autoSpaceDE/>
        <w:autoSpaceDN/>
        <w:bidi w:val="0"/>
        <w:adjustRightInd w:val="0"/>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（一）内设机构设置。岳阳市生态环境局岳阳楼分局内设机构包括：办公室、水污染防治股、大气土壤污染防治股、法</w:t>
      </w:r>
      <w:r>
        <w:rPr>
          <w:rFonts w:hint="eastAsia" w:ascii="Times New Roman" w:hAnsi="Times New Roman" w:eastAsia="仿宋_GB2312" w:cs="仿宋_GB2312"/>
          <w:bCs/>
          <w:kern w:val="0"/>
          <w:sz w:val="32"/>
          <w:szCs w:val="32"/>
          <w:lang w:eastAsia="zh-CN"/>
        </w:rPr>
        <w:t>治</w:t>
      </w:r>
      <w:r>
        <w:rPr>
          <w:rFonts w:hint="eastAsia" w:ascii="Times New Roman" w:hAnsi="Times New Roman" w:eastAsia="仿宋_GB2312" w:cs="仿宋_GB2312"/>
          <w:bCs/>
          <w:kern w:val="0"/>
          <w:sz w:val="32"/>
          <w:szCs w:val="32"/>
        </w:rPr>
        <w:t>股、行政审批股</w:t>
      </w:r>
      <w:r>
        <w:rPr>
          <w:rFonts w:hint="eastAsia" w:ascii="Times New Roman" w:hAnsi="Times New Roman" w:eastAsia="仿宋_GB2312" w:cs="仿宋_GB2312"/>
          <w:bCs/>
          <w:kern w:val="0"/>
          <w:sz w:val="32"/>
          <w:szCs w:val="32"/>
          <w:lang w:eastAsia="zh-CN"/>
        </w:rPr>
        <w:t>、人事财务股、生态股、执法</w:t>
      </w:r>
      <w:r>
        <w:rPr>
          <w:rFonts w:hint="eastAsia" w:ascii="Times New Roman" w:hAnsi="Times New Roman" w:eastAsia="仿宋_GB2312" w:cs="仿宋_GB2312"/>
          <w:bCs/>
          <w:kern w:val="0"/>
          <w:sz w:val="32"/>
          <w:szCs w:val="32"/>
        </w:rPr>
        <w:t>大队</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个股室。属岳阳市生态环境局二级机构，独立编制、核算机构数1个，分局目前实有人数43人，其中在编人员2</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人，退休</w:t>
      </w:r>
      <w:r>
        <w:rPr>
          <w:rFonts w:hint="eastAsia" w:ascii="Times New Roman" w:hAnsi="Times New Roman" w:eastAsia="仿宋_GB2312" w:cs="仿宋_GB2312"/>
          <w:bCs/>
          <w:kern w:val="0"/>
          <w:sz w:val="32"/>
          <w:szCs w:val="32"/>
          <w:lang w:val="en-US" w:eastAsia="zh-CN"/>
        </w:rPr>
        <w:t>14</w:t>
      </w:r>
      <w:r>
        <w:rPr>
          <w:rFonts w:hint="eastAsia" w:ascii="Times New Roman" w:hAnsi="Times New Roman" w:eastAsia="仿宋_GB2312" w:cs="仿宋_GB2312"/>
          <w:bCs/>
          <w:kern w:val="0"/>
          <w:sz w:val="32"/>
          <w:szCs w:val="32"/>
        </w:rPr>
        <w:t>人，临聘人员3人。</w:t>
      </w:r>
    </w:p>
    <w:p w14:paraId="6F854521">
      <w:pPr>
        <w:keepNext w:val="0"/>
        <w:keepLines w:val="0"/>
        <w:pageBreakBefore w:val="0"/>
        <w:kinsoku/>
        <w:wordWrap/>
        <w:overflowPunct/>
        <w:topLinePunct w:val="0"/>
        <w:autoSpaceDE/>
        <w:autoSpaceDN/>
        <w:bidi w:val="0"/>
        <w:adjustRightInd w:val="0"/>
        <w:ind w:firstLine="640" w:firstLineChars="200"/>
        <w:textAlignment w:val="auto"/>
      </w:pPr>
      <w:r>
        <w:rPr>
          <w:rFonts w:hint="eastAsia" w:ascii="Times New Roman" w:hAnsi="Times New Roman" w:eastAsia="仿宋_GB2312" w:cs="仿宋_GB2312"/>
          <w:bCs/>
          <w:kern w:val="0"/>
          <w:sz w:val="32"/>
          <w:szCs w:val="32"/>
        </w:rPr>
        <w:t>（二）决算单位构成。岳阳市生态环境局岳阳楼分局202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年部门决算汇总公开单位构成包括：岳阳市生态环境局岳阳楼分局本级，无独立核算的下属单位。</w:t>
      </w:r>
    </w:p>
    <w:p w14:paraId="4F1ED9A1">
      <w:pPr>
        <w:pStyle w:val="8"/>
        <w:keepNext w:val="0"/>
        <w:keepLines w:val="0"/>
        <w:pageBreakBefore w:val="0"/>
        <w:kinsoku/>
        <w:wordWrap/>
        <w:overflowPunct/>
        <w:topLinePunct w:val="0"/>
        <w:autoSpaceDE/>
        <w:autoSpaceDN/>
        <w:bidi w:val="0"/>
        <w:adjustRightInd w:val="0"/>
        <w:ind w:firstLine="360" w:firstLineChars="200"/>
        <w:textAlignment w:val="auto"/>
      </w:pPr>
    </w:p>
    <w:p w14:paraId="08D53ADE">
      <w:pPr>
        <w:pStyle w:val="4"/>
        <w:keepNext w:val="0"/>
        <w:keepLines w:val="0"/>
        <w:pageBreakBefore w:val="0"/>
        <w:kinsoku/>
        <w:wordWrap/>
        <w:overflowPunct/>
        <w:topLinePunct w:val="0"/>
        <w:autoSpaceDE/>
        <w:autoSpaceDN/>
        <w:bidi w:val="0"/>
        <w:adjustRightInd w:val="0"/>
        <w:ind w:firstLine="480" w:firstLineChars="200"/>
        <w:textAlignment w:val="auto"/>
      </w:pPr>
    </w:p>
    <w:p w14:paraId="437F97DC"/>
    <w:p w14:paraId="58D7F64F">
      <w:pPr>
        <w:pStyle w:val="8"/>
      </w:pPr>
    </w:p>
    <w:p w14:paraId="62B232B9">
      <w:pPr>
        <w:pStyle w:val="4"/>
      </w:pPr>
    </w:p>
    <w:p w14:paraId="78FE73A7"/>
    <w:p w14:paraId="2389A8B3">
      <w:pPr>
        <w:pStyle w:val="8"/>
      </w:pPr>
    </w:p>
    <w:p w14:paraId="3DAB680B">
      <w:pPr>
        <w:pStyle w:val="4"/>
      </w:pPr>
    </w:p>
    <w:p w14:paraId="51A40B70"/>
    <w:p w14:paraId="2DA1CFFD">
      <w:pPr>
        <w:pStyle w:val="8"/>
      </w:pPr>
    </w:p>
    <w:p w14:paraId="3127C097">
      <w:pPr>
        <w:pStyle w:val="4"/>
      </w:pPr>
    </w:p>
    <w:p w14:paraId="338D6CD7"/>
    <w:p w14:paraId="0034D39A">
      <w:pPr>
        <w:pStyle w:val="8"/>
      </w:pPr>
    </w:p>
    <w:p w14:paraId="11DEFB10">
      <w:pPr>
        <w:pStyle w:val="4"/>
      </w:pPr>
    </w:p>
    <w:p w14:paraId="3FCB1134"/>
    <w:p w14:paraId="4BC2C468">
      <w:pPr>
        <w:pStyle w:val="8"/>
      </w:pPr>
    </w:p>
    <w:p w14:paraId="5C3A7F11">
      <w:pPr>
        <w:pStyle w:val="4"/>
      </w:pPr>
    </w:p>
    <w:p w14:paraId="2EB204A9"/>
    <w:p w14:paraId="42593FF4">
      <w:pPr>
        <w:pStyle w:val="8"/>
      </w:pPr>
    </w:p>
    <w:p w14:paraId="7888BF66">
      <w:pPr>
        <w:pStyle w:val="4"/>
      </w:pPr>
    </w:p>
    <w:p w14:paraId="430165FE"/>
    <w:p w14:paraId="36C0F074">
      <w:pPr>
        <w:pStyle w:val="8"/>
      </w:pPr>
    </w:p>
    <w:p w14:paraId="057F3456">
      <w:pPr>
        <w:pStyle w:val="4"/>
      </w:pPr>
    </w:p>
    <w:p w14:paraId="7D6FE62B"/>
    <w:p w14:paraId="141F8DAB">
      <w:pPr>
        <w:pStyle w:val="13"/>
        <w:jc w:val="center"/>
        <w:rPr>
          <w:rFonts w:hint="eastAsia" w:ascii="方正小标宋_GBK" w:hAnsi="方正小标宋_GBK" w:eastAsia="方正小标宋_GBK" w:cs="方正小标宋_GBK"/>
          <w:sz w:val="84"/>
          <w:szCs w:val="84"/>
        </w:rPr>
      </w:pPr>
    </w:p>
    <w:p w14:paraId="1E649713">
      <w:pPr>
        <w:pStyle w:val="13"/>
        <w:jc w:val="center"/>
        <w:rPr>
          <w:rFonts w:hint="eastAsia" w:ascii="方正小标宋_GBK" w:hAnsi="方正小标宋_GBK" w:eastAsia="方正小标宋_GBK" w:cs="方正小标宋_GBK"/>
          <w:sz w:val="84"/>
          <w:szCs w:val="84"/>
        </w:rPr>
      </w:pPr>
    </w:p>
    <w:p w14:paraId="31AEE095">
      <w:pPr>
        <w:pStyle w:val="13"/>
        <w:jc w:val="center"/>
        <w:rPr>
          <w:rFonts w:hint="eastAsia" w:ascii="方正小标宋_GBK" w:hAnsi="方正小标宋_GBK" w:eastAsia="方正小标宋_GBK" w:cs="方正小标宋_GBK"/>
          <w:sz w:val="84"/>
          <w:szCs w:val="84"/>
        </w:rPr>
      </w:pPr>
    </w:p>
    <w:p w14:paraId="1F710BBC">
      <w:pPr>
        <w:pStyle w:val="13"/>
        <w:jc w:val="center"/>
        <w:rPr>
          <w:rFonts w:hint="eastAsia" w:ascii="方正小标宋_GBK" w:hAnsi="方正小标宋_GBK" w:eastAsia="方正小标宋_GBK" w:cs="方正小标宋_GBK"/>
          <w:sz w:val="84"/>
          <w:szCs w:val="84"/>
        </w:rPr>
      </w:pPr>
    </w:p>
    <w:p w14:paraId="64438C3F">
      <w:pPr>
        <w:pStyle w:val="13"/>
        <w:jc w:val="center"/>
        <w:rPr>
          <w:rFonts w:hint="eastAsia" w:ascii="方正小标宋_GBK" w:hAnsi="方正小标宋_GBK" w:eastAsia="方正小标宋_GBK" w:cs="方正小标宋_GBK"/>
          <w:sz w:val="84"/>
          <w:szCs w:val="84"/>
        </w:rPr>
      </w:pPr>
    </w:p>
    <w:p w14:paraId="73555654">
      <w:pPr>
        <w:pStyle w:val="13"/>
        <w:jc w:val="center"/>
        <w:rPr>
          <w:rFonts w:hint="eastAsia" w:ascii="方正小标宋_GBK" w:hAnsi="方正小标宋_GBK" w:eastAsia="方正小标宋_GBK" w:cs="方正小标宋_GBK"/>
          <w:sz w:val="84"/>
          <w:szCs w:val="84"/>
        </w:rPr>
      </w:pPr>
    </w:p>
    <w:p w14:paraId="1F5B5B1F">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B5BF02D">
      <w:pPr>
        <w:pStyle w:val="13"/>
        <w:jc w:val="center"/>
        <w:rPr>
          <w:rFonts w:hint="eastAsia" w:ascii="方正小标宋_GBK" w:hAnsi="方正小标宋_GBK" w:eastAsia="方正小标宋_GBK" w:cs="方正小标宋_GBK"/>
          <w:sz w:val="84"/>
          <w:szCs w:val="84"/>
        </w:rPr>
      </w:pPr>
    </w:p>
    <w:p w14:paraId="442483E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B6973B6">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F5D2393">
      <w:pPr>
        <w:pStyle w:val="13"/>
        <w:jc w:val="center"/>
        <w:rPr>
          <w:rFonts w:hint="eastAsia" w:ascii="仿宋_GB2312" w:hAnsi="仿宋_GB2312" w:eastAsia="仿宋_GB2312" w:cs="仿宋_GB2312"/>
          <w:b w:val="0"/>
          <w:bCs w:val="0"/>
          <w:sz w:val="72"/>
          <w:szCs w:val="72"/>
          <w:lang w:eastAsia="zh-CN"/>
        </w:rPr>
      </w:pPr>
    </w:p>
    <w:p w14:paraId="470011EB">
      <w:pPr>
        <w:pStyle w:val="13"/>
        <w:jc w:val="center"/>
        <w:rPr>
          <w:rFonts w:hint="eastAsia" w:ascii="仿宋_GB2312" w:hAnsi="仿宋_GB2312" w:eastAsia="仿宋_GB2312" w:cs="仿宋_GB2312"/>
          <w:b w:val="0"/>
          <w:bCs w:val="0"/>
          <w:sz w:val="72"/>
          <w:szCs w:val="72"/>
          <w:lang w:eastAsia="zh-CN"/>
        </w:rPr>
      </w:pPr>
    </w:p>
    <w:p w14:paraId="44058E18">
      <w:pPr>
        <w:pStyle w:val="13"/>
        <w:jc w:val="center"/>
        <w:rPr>
          <w:rFonts w:hint="eastAsia" w:ascii="仿宋_GB2312" w:hAnsi="仿宋_GB2312" w:eastAsia="仿宋_GB2312" w:cs="仿宋_GB2312"/>
          <w:b w:val="0"/>
          <w:bCs w:val="0"/>
          <w:sz w:val="72"/>
          <w:szCs w:val="72"/>
          <w:lang w:eastAsia="zh-CN"/>
        </w:rPr>
      </w:pPr>
    </w:p>
    <w:p w14:paraId="35718015">
      <w:pPr>
        <w:pStyle w:val="13"/>
        <w:jc w:val="center"/>
        <w:rPr>
          <w:rFonts w:hint="eastAsia" w:ascii="仿宋_GB2312" w:hAnsi="仿宋_GB2312" w:eastAsia="仿宋_GB2312" w:cs="仿宋_GB2312"/>
          <w:b w:val="0"/>
          <w:bCs w:val="0"/>
          <w:sz w:val="72"/>
          <w:szCs w:val="72"/>
          <w:lang w:eastAsia="zh-CN"/>
        </w:rPr>
      </w:pPr>
    </w:p>
    <w:p w14:paraId="658C08E8">
      <w:pPr>
        <w:pStyle w:val="13"/>
        <w:jc w:val="center"/>
        <w:rPr>
          <w:rFonts w:hint="eastAsia" w:ascii="仿宋_GB2312" w:hAnsi="仿宋_GB2312" w:eastAsia="仿宋_GB2312" w:cs="仿宋_GB2312"/>
          <w:b w:val="0"/>
          <w:bCs w:val="0"/>
          <w:sz w:val="72"/>
          <w:szCs w:val="72"/>
          <w:lang w:eastAsia="zh-CN"/>
        </w:rPr>
      </w:pPr>
    </w:p>
    <w:p w14:paraId="18653024">
      <w:pPr>
        <w:pStyle w:val="13"/>
        <w:jc w:val="center"/>
        <w:rPr>
          <w:rFonts w:hint="eastAsia" w:ascii="仿宋_GB2312" w:hAnsi="仿宋_GB2312" w:eastAsia="仿宋_GB2312" w:cs="仿宋_GB2312"/>
          <w:b w:val="0"/>
          <w:bCs w:val="0"/>
          <w:sz w:val="72"/>
          <w:szCs w:val="72"/>
          <w:lang w:eastAsia="zh-CN"/>
        </w:rPr>
      </w:pPr>
    </w:p>
    <w:p w14:paraId="08F72F4D">
      <w:pPr>
        <w:pStyle w:val="13"/>
        <w:jc w:val="center"/>
        <w:rPr>
          <w:rFonts w:hint="eastAsia" w:ascii="仿宋_GB2312" w:hAnsi="仿宋_GB2312" w:eastAsia="仿宋_GB2312" w:cs="仿宋_GB2312"/>
          <w:b w:val="0"/>
          <w:bCs w:val="0"/>
          <w:sz w:val="72"/>
          <w:szCs w:val="72"/>
          <w:lang w:eastAsia="zh-CN"/>
        </w:rPr>
      </w:pPr>
    </w:p>
    <w:p w14:paraId="64DADABB">
      <w:pPr>
        <w:pStyle w:val="13"/>
        <w:jc w:val="center"/>
        <w:rPr>
          <w:rFonts w:hint="eastAsia" w:ascii="方正小标宋_GBK" w:hAnsi="方正小标宋_GBK" w:eastAsia="方正小标宋_GBK" w:cs="方正小标宋_GBK"/>
          <w:sz w:val="72"/>
          <w:szCs w:val="72"/>
        </w:rPr>
      </w:pPr>
    </w:p>
    <w:p w14:paraId="5188029E">
      <w:pPr>
        <w:pStyle w:val="13"/>
        <w:jc w:val="center"/>
        <w:rPr>
          <w:rFonts w:hint="eastAsia" w:ascii="方正小标宋_GBK" w:hAnsi="方正小标宋_GBK" w:eastAsia="方正小标宋_GBK" w:cs="方正小标宋_GBK"/>
          <w:sz w:val="72"/>
          <w:szCs w:val="72"/>
        </w:rPr>
      </w:pPr>
    </w:p>
    <w:p w14:paraId="27781D2A">
      <w:pPr>
        <w:pStyle w:val="13"/>
        <w:jc w:val="both"/>
        <w:rPr>
          <w:rFonts w:hint="eastAsia" w:ascii="方正小标宋_GBK" w:hAnsi="方正小标宋_GBK" w:eastAsia="方正小标宋_GBK" w:cs="方正小标宋_GBK"/>
          <w:sz w:val="72"/>
          <w:szCs w:val="72"/>
        </w:rPr>
      </w:pPr>
    </w:p>
    <w:p w14:paraId="4C590942">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37C2E58">
      <w:pPr>
        <w:pStyle w:val="13"/>
        <w:jc w:val="center"/>
        <w:rPr>
          <w:rFonts w:hint="eastAsia" w:ascii="方正小标宋_GBK" w:hAnsi="方正小标宋_GBK" w:eastAsia="方正小标宋_GBK" w:cs="方正小标宋_GBK"/>
          <w:sz w:val="70"/>
          <w:szCs w:val="70"/>
        </w:rPr>
      </w:pPr>
    </w:p>
    <w:p w14:paraId="75E4C97B">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41AB986D">
      <w:pPr>
        <w:pStyle w:val="13"/>
        <w:jc w:val="center"/>
        <w:rPr>
          <w:rFonts w:hint="eastAsia" w:ascii="方正小标宋_GBK" w:hAnsi="方正小标宋_GBK" w:eastAsia="方正小标宋_GBK" w:cs="方正小标宋_GBK"/>
          <w:sz w:val="70"/>
          <w:szCs w:val="70"/>
        </w:rPr>
      </w:pPr>
    </w:p>
    <w:p w14:paraId="56EC2030">
      <w:pPr>
        <w:pStyle w:val="13"/>
        <w:jc w:val="center"/>
        <w:rPr>
          <w:rFonts w:hint="eastAsia" w:ascii="方正小标宋_GBK" w:hAnsi="方正小标宋_GBK" w:eastAsia="方正小标宋_GBK" w:cs="方正小标宋_GBK"/>
          <w:sz w:val="70"/>
          <w:szCs w:val="70"/>
        </w:rPr>
      </w:pPr>
    </w:p>
    <w:p w14:paraId="75DC463F">
      <w:pPr>
        <w:pStyle w:val="13"/>
        <w:jc w:val="center"/>
        <w:rPr>
          <w:rFonts w:hint="eastAsia" w:ascii="方正小标宋_GBK" w:hAnsi="方正小标宋_GBK" w:eastAsia="方正小标宋_GBK" w:cs="方正小标宋_GBK"/>
          <w:sz w:val="70"/>
          <w:szCs w:val="70"/>
        </w:rPr>
      </w:pPr>
    </w:p>
    <w:p w14:paraId="77985D70">
      <w:pPr>
        <w:pStyle w:val="13"/>
        <w:jc w:val="center"/>
        <w:rPr>
          <w:rFonts w:hint="eastAsia" w:ascii="方正小标宋_GBK" w:hAnsi="方正小标宋_GBK" w:eastAsia="方正小标宋_GBK" w:cs="方正小标宋_GBK"/>
          <w:sz w:val="70"/>
          <w:szCs w:val="70"/>
        </w:rPr>
      </w:pPr>
    </w:p>
    <w:p w14:paraId="500EC9FF">
      <w:pPr>
        <w:pStyle w:val="13"/>
        <w:jc w:val="center"/>
        <w:rPr>
          <w:rFonts w:hint="eastAsia" w:ascii="方正小标宋_GBK" w:hAnsi="方正小标宋_GBK" w:eastAsia="方正小标宋_GBK" w:cs="方正小标宋_GBK"/>
          <w:sz w:val="70"/>
          <w:szCs w:val="70"/>
        </w:rPr>
      </w:pPr>
    </w:p>
    <w:p w14:paraId="71BF37C0">
      <w:pPr>
        <w:pStyle w:val="13"/>
        <w:jc w:val="center"/>
        <w:rPr>
          <w:rFonts w:hint="eastAsia" w:ascii="方正小标宋_GBK" w:hAnsi="方正小标宋_GBK" w:eastAsia="方正小标宋_GBK" w:cs="方正小标宋_GBK"/>
          <w:sz w:val="70"/>
          <w:szCs w:val="70"/>
        </w:rPr>
      </w:pPr>
    </w:p>
    <w:p w14:paraId="5F4B1AF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2110FA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6700CB8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年度收、支总计957.03万元。与上年相比，增加7.21万元，增长0.76%，主要是因为</w:t>
      </w:r>
      <w:r>
        <w:rPr>
          <w:rFonts w:hint="eastAsia" w:ascii="仿宋_GB2312" w:hAnsi="仿宋_GB2312" w:eastAsia="仿宋_GB2312" w:cs="仿宋_GB2312"/>
          <w:sz w:val="32"/>
          <w:szCs w:val="32"/>
          <w:lang w:eastAsia="zh-CN"/>
        </w:rPr>
        <w:t>人员经费调整。</w:t>
      </w:r>
    </w:p>
    <w:p w14:paraId="0DDBD4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46E8CDD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年度收入合计957.03万元，其中：财政拨款收入554.86万元，占57.98%；上级补助收入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%；其他收入402.17万元，占42.02%。</w:t>
      </w:r>
    </w:p>
    <w:p w14:paraId="4AFD799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AB1AE8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年度支出合计923.03万元，其中：基本支出840.00万元，占91.00%；项目支出83.03万元，占9.00%；上缴上级支出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1B054DE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0B978BB9">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年度财政拨款收、支总计554.86万元，与上年相比，减少72.82万元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减少11.60%，主要是因为节能环保支出基本支出减少。</w:t>
      </w:r>
    </w:p>
    <w:p w14:paraId="460E7BF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75D396F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20268F9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年度财政拨款支出554.86万元，占本年支出合计的60.11%，与上年相比，财政拨款支出减少72.82万元，减少11.60%，主要是因为节能环保支出基本支出减少。</w:t>
      </w:r>
    </w:p>
    <w:p w14:paraId="78F6F72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3EBB01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年度财政拨款支出554.86万元，主要用于以下方面：社会保障和就业支出27.32万元，占4.92%；卫生健康支出24.42万元，占4.40%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节能环保支出475.50万元，占85.70%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住房保障支出27.62万元，占4.98%;</w:t>
      </w:r>
    </w:p>
    <w:p w14:paraId="51D87FA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430907D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年度财政拨款支出年初预算数为453.99万元，支出决算数为554.86万元，完成年初预算的1</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.22%，其中：</w:t>
      </w:r>
    </w:p>
    <w:p w14:paraId="17C52F9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4B9E2C36">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年初预算为27.32万元，支出决算为27.32万元，完成年初预算的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63E353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108B26E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年初预算为14.36万元，支出决算为14.36万元，完成年初预算的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2752486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1FCE3CE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年初预算为16.89万元，支出决算为10.06万元，完成年初预算的</w:t>
      </w:r>
      <w:r>
        <w:rPr>
          <w:rFonts w:hint="eastAsia" w:ascii="仿宋_GB2312" w:hAnsi="仿宋_GB2312" w:eastAsia="仿宋_GB2312" w:cs="仿宋_GB2312"/>
          <w:sz w:val="32"/>
          <w:szCs w:val="32"/>
          <w:lang w:val="en-US" w:eastAsia="zh-CN"/>
        </w:rPr>
        <w:t>59.56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人员经费调整。</w:t>
      </w:r>
    </w:p>
    <w:p w14:paraId="47BC302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74D6BDE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年初预算为367.</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万元，支出决算为340.07万元，完成年初预算的</w:t>
      </w:r>
      <w:r>
        <w:rPr>
          <w:rFonts w:hint="eastAsia" w:ascii="仿宋_GB2312" w:hAnsi="仿宋_GB2312" w:eastAsia="仿宋_GB2312" w:cs="仿宋_GB2312"/>
          <w:sz w:val="32"/>
          <w:szCs w:val="32"/>
          <w:lang w:val="en-US" w:eastAsia="zh-CN"/>
        </w:rPr>
        <w:t>92.46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严格控制经费支出。</w:t>
      </w:r>
    </w:p>
    <w:p w14:paraId="5D7E39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2C543BD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20.12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3AC9EEC6">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2761DF2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15.00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w:t>
      </w:r>
      <w:r>
        <w:rPr>
          <w:rFonts w:hint="eastAsia" w:ascii="仿宋_GB2312" w:hAnsi="仿宋_GB2312" w:eastAsia="仿宋_GB2312" w:cs="仿宋_GB2312"/>
          <w:sz w:val="32"/>
          <w:szCs w:val="32"/>
          <w:lang w:eastAsia="zh-CN"/>
        </w:rPr>
        <w:t>出年初未做预算。</w:t>
      </w:r>
    </w:p>
    <w:p w14:paraId="2DEE78B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、节能环保支出（类）污染防治（款）水体（项）。</w:t>
      </w:r>
    </w:p>
    <w:p w14:paraId="39C1654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年初预算数的主要原因是：水体</w:t>
      </w:r>
      <w:r>
        <w:rPr>
          <w:rFonts w:hint="eastAsia" w:ascii="仿宋_GB2312" w:hAnsi="仿宋_GB2312" w:eastAsia="仿宋_GB2312" w:cs="仿宋_GB2312"/>
          <w:sz w:val="32"/>
          <w:szCs w:val="32"/>
          <w:lang w:eastAsia="zh-CN"/>
        </w:rPr>
        <w:t>年初未做预算。</w:t>
      </w:r>
    </w:p>
    <w:p w14:paraId="2FD56B37">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、节能环保支出（类）污染减排（款）生态环境执法监察（项）。</w:t>
      </w:r>
    </w:p>
    <w:p w14:paraId="3116077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58.76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年初预算数的主要原因是：生态环境执法监察</w:t>
      </w:r>
      <w:r>
        <w:rPr>
          <w:rFonts w:hint="eastAsia" w:ascii="仿宋_GB2312" w:hAnsi="仿宋_GB2312" w:eastAsia="仿宋_GB2312" w:cs="仿宋_GB2312"/>
          <w:sz w:val="32"/>
          <w:szCs w:val="32"/>
          <w:lang w:eastAsia="zh-CN"/>
        </w:rPr>
        <w:t>支出年初未做预算。</w:t>
      </w:r>
    </w:p>
    <w:p w14:paraId="1F22B93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、节能环保支出（类）其他节能环保支出（款）其他节能环保支出（项）。</w:t>
      </w:r>
    </w:p>
    <w:p w14:paraId="2343CBD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39.45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年初预算数的主要原因是：其他节能环保支出</w:t>
      </w:r>
      <w:r>
        <w:rPr>
          <w:rFonts w:hint="eastAsia" w:ascii="仿宋_GB2312" w:hAnsi="仿宋_GB2312" w:eastAsia="仿宋_GB2312" w:cs="仿宋_GB2312"/>
          <w:sz w:val="32"/>
          <w:szCs w:val="32"/>
          <w:lang w:eastAsia="zh-CN"/>
        </w:rPr>
        <w:t>年初未做预算。</w:t>
      </w:r>
    </w:p>
    <w:p w14:paraId="73A7E60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、住房保障支出（类）住房改革支出（款）住房公积金（项）。</w:t>
      </w:r>
    </w:p>
    <w:p w14:paraId="0EDB655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年初预算为27.62万元，支出决算为</w:t>
      </w:r>
      <w:r>
        <w:rPr>
          <w:rFonts w:hint="eastAsia" w:ascii="仿宋_GB2312" w:hAnsi="仿宋_GB2312" w:eastAsia="仿宋_GB2312" w:cs="仿宋_GB2312"/>
          <w:sz w:val="32"/>
          <w:szCs w:val="32"/>
          <w:lang w:val="en-US" w:eastAsia="zh-CN"/>
        </w:rPr>
        <w:t>27.62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A5E8D1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53EC259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年度财政拨款基本支出471.83万元，其中：</w:t>
      </w:r>
    </w:p>
    <w:p w14:paraId="634D267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405.41万元，占基本支出的85.92%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助学金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2002A1A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66.42万元，占基本支出的14.08%，主要包括办公费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租赁费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A2AB44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2DB7A2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4B58238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39FB084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4A2E06C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67918E4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“三公”经费财政拨款支出预算为4.00万元，支出决算为0.62万元，完成预算的15.5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与上年相比减少1.14万元，减少64.77%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减少的主要原因是厉行节约，严格控制“三公”经费。其中：</w:t>
      </w:r>
    </w:p>
    <w:p w14:paraId="6BD0F11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027544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万元，支出决算为0.26万元，完成预算的</w:t>
      </w:r>
      <w:r>
        <w:rPr>
          <w:rFonts w:hint="eastAsia" w:ascii="仿宋_GB2312" w:hAnsi="仿宋_GB2312" w:eastAsia="仿宋_GB2312" w:cs="仿宋_GB2312"/>
          <w:sz w:val="32"/>
          <w:szCs w:val="32"/>
          <w:lang w:val="en-US" w:eastAsia="zh-CN"/>
        </w:rPr>
        <w:t>26.00</w:t>
      </w:r>
      <w:r>
        <w:rPr>
          <w:rFonts w:hint="eastAsia" w:ascii="仿宋_GB2312" w:hAnsi="仿宋_GB2312" w:eastAsia="仿宋_GB2312" w:cs="仿宋_GB2312"/>
          <w:sz w:val="32"/>
          <w:szCs w:val="32"/>
        </w:rPr>
        <w:t>%，决算数小于预算数的</w:t>
      </w:r>
      <w:r>
        <w:rPr>
          <w:rFonts w:hint="eastAsia" w:ascii="仿宋_GB2312" w:hAnsi="仿宋_GB2312" w:eastAsia="仿宋_GB2312" w:cs="仿宋_GB2312"/>
          <w:sz w:val="32"/>
          <w:szCs w:val="32"/>
          <w:lang w:val="en-US" w:eastAsia="zh-CN"/>
        </w:rPr>
        <w:t>主</w:t>
      </w:r>
      <w:r>
        <w:rPr>
          <w:rFonts w:hint="eastAsia" w:ascii="仿宋_GB2312" w:hAnsi="仿宋_GB2312" w:eastAsia="仿宋_GB2312" w:cs="仿宋_GB2312"/>
          <w:sz w:val="32"/>
          <w:szCs w:val="32"/>
        </w:rPr>
        <w:t>要原因是按有关政策厉行节约，严控公务接待支出，与上年相比减少</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万元，减少55.17%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w:t>
      </w:r>
      <w:r>
        <w:rPr>
          <w:rFonts w:hint="eastAsia" w:ascii="仿宋_GB2312" w:hAnsi="仿宋_GB2312" w:eastAsia="仿宋_GB2312" w:cs="仿宋_GB2312"/>
          <w:sz w:val="32"/>
          <w:szCs w:val="32"/>
          <w:lang w:val="en-US" w:eastAsia="zh-CN"/>
        </w:rPr>
        <w:t>主</w:t>
      </w:r>
      <w:r>
        <w:rPr>
          <w:rFonts w:hint="eastAsia" w:ascii="仿宋_GB2312" w:hAnsi="仿宋_GB2312" w:eastAsia="仿宋_GB2312" w:cs="仿宋_GB2312"/>
          <w:sz w:val="32"/>
          <w:szCs w:val="32"/>
        </w:rPr>
        <w:t>要原因是按有关政策厉行节约，严控公务接待支出。</w:t>
      </w:r>
    </w:p>
    <w:p w14:paraId="035C7D9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57A840C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公务用车运行维护费支出预算为3.00万元，支出决算为</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万元，完成预算的12</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%，决算数小于预算数的主要原因是从严控制“三公”经费支出，厉行节俭，与上年相比减少0.82万元，减少69.49%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w:t>
      </w:r>
      <w:r>
        <w:rPr>
          <w:rFonts w:hint="eastAsia" w:ascii="Times New Roman" w:hAnsi="Times New Roman" w:eastAsia="仿宋_GB2312"/>
          <w:sz w:val="32"/>
          <w:szCs w:val="32"/>
        </w:rPr>
        <w:t>主要原因</w:t>
      </w:r>
      <w:r>
        <w:rPr>
          <w:rFonts w:hint="eastAsia" w:ascii="Times New Roman" w:hAnsi="Times New Roman" w:eastAsia="仿宋_GB2312"/>
          <w:sz w:val="32"/>
          <w:szCs w:val="32"/>
          <w:lang w:val="en-US" w:eastAsia="zh-CN"/>
        </w:rPr>
        <w:t>是从严控制“三公”经费支出，厉行节俭</w:t>
      </w:r>
      <w:r>
        <w:rPr>
          <w:rFonts w:hint="eastAsia" w:ascii="仿宋_GB2312" w:hAnsi="仿宋_GB2312" w:eastAsia="仿宋_GB2312" w:cs="仿宋_GB2312"/>
          <w:sz w:val="32"/>
          <w:szCs w:val="32"/>
        </w:rPr>
        <w:t>。</w:t>
      </w:r>
    </w:p>
    <w:p w14:paraId="547BD49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0A6C35D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年度“三公”经费财政拨款支出决算中，公务接待费支出决算0.26万元，占41.94%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公务用车购置费及运行维护费支出决算0.36万元，占58.06%。其中：</w:t>
      </w:r>
    </w:p>
    <w:p w14:paraId="41D8A79B">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4EF50DEB">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0.26</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人次，主要是用于与有关单位工作交流及接受相关部门督察、检查及指导工作发生的接待支出。</w:t>
      </w:r>
    </w:p>
    <w:p w14:paraId="79E32B1C">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万元，主要是公</w:t>
      </w:r>
      <w:r>
        <w:rPr>
          <w:rFonts w:hint="eastAsia" w:ascii="Times New Roman" w:hAnsi="Times New Roman" w:eastAsia="仿宋_GB2312"/>
          <w:sz w:val="32"/>
          <w:szCs w:val="32"/>
        </w:rPr>
        <w:t>执法车</w:t>
      </w:r>
      <w:r>
        <w:rPr>
          <w:rFonts w:hint="eastAsia" w:ascii="Times New Roman" w:hAnsi="Times New Roman" w:eastAsia="仿宋_GB2312"/>
          <w:sz w:val="32"/>
          <w:szCs w:val="32"/>
          <w:lang w:eastAsia="zh-CN"/>
        </w:rPr>
        <w:t>加油</w:t>
      </w:r>
      <w:r>
        <w:rPr>
          <w:rFonts w:hint="eastAsia" w:ascii="Times New Roman" w:hAnsi="Times New Roman" w:eastAsia="仿宋_GB2312"/>
          <w:sz w:val="32"/>
          <w:szCs w:val="32"/>
        </w:rPr>
        <w:t>、维修</w:t>
      </w:r>
      <w:r>
        <w:rPr>
          <w:rFonts w:hint="eastAsia" w:ascii="Times New Roman" w:hAnsi="Times New Roman" w:eastAsia="仿宋_GB2312"/>
          <w:sz w:val="32"/>
          <w:szCs w:val="32"/>
          <w:lang w:eastAsia="zh-CN"/>
        </w:rPr>
        <w:t>、保险</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708FB38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6911535D">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年度机关运行经费支出66.42万元，比上年决算数增加</w:t>
      </w:r>
      <w:r>
        <w:rPr>
          <w:rFonts w:hint="eastAsia" w:ascii="仿宋_GB2312" w:hAnsi="仿宋_GB2312" w:eastAsia="仿宋_GB2312" w:cs="仿宋_GB2312"/>
          <w:sz w:val="32"/>
          <w:szCs w:val="32"/>
          <w:lang w:val="en-US" w:eastAsia="zh-CN"/>
        </w:rPr>
        <w:t>7.90</w:t>
      </w:r>
      <w:r>
        <w:rPr>
          <w:rFonts w:hint="eastAsia" w:ascii="仿宋_GB2312" w:hAnsi="仿宋_GB2312" w:eastAsia="仿宋_GB2312" w:cs="仿宋_GB2312"/>
          <w:sz w:val="32"/>
          <w:szCs w:val="32"/>
        </w:rPr>
        <w:t xml:space="preserve"> 万元，增长13.50%。主要原因是：</w:t>
      </w:r>
      <w:r>
        <w:rPr>
          <w:rFonts w:hint="eastAsia" w:ascii="仿宋_GB2312" w:hAnsi="仿宋_GB2312" w:eastAsia="仿宋_GB2312" w:cs="仿宋_GB2312"/>
          <w:sz w:val="32"/>
          <w:szCs w:val="32"/>
          <w:lang w:val="en-US" w:eastAsia="zh-CN"/>
        </w:rPr>
        <w:t>工会经费的增加。</w:t>
      </w:r>
    </w:p>
    <w:p w14:paraId="4BCCC7E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9299D9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度，会议费年初预算0.00万元，支出决算为0.00万元，由于预算数为0，无法计算完成年初预算的百分比。本单位无会议费的预算和支出决算数。</w:t>
      </w:r>
    </w:p>
    <w:p w14:paraId="55D784D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培训费年初预算0.00万元，支出决算为0.00万元，由于预算数为0，无法计算完成年初预算的百分比。本单位无培训费的预算和支出决算数。</w:t>
      </w:r>
    </w:p>
    <w:p w14:paraId="5DFE4E8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举办节庆、晚会、论坛、赛事活动年初预算0.00万元，支出决算为0.00万元，由于预算数为0，无法计算完成年初预算的百分比，本单位无举办节庆、晚会、论坛、赛事等活动的预算和支出决算数。</w:t>
      </w:r>
    </w:p>
    <w:p w14:paraId="0E2CA97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3FF5F9E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年度政府采购支出总额448.26万元，其中：政府采购货物支出41.78万元、政府采购工程支出0.00万元、政府采购服务支出406.48 万元。授予中小企业合同金额448.26万元，占政府采购支出总额的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%，其中：授予小微企业合同金额448.26万元，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0B5FE90F">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A0EDF1A">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辆，其他用车主要是执法执勤用车；单位价值100万元以上设备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3F7AAF0B">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B746990">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0C62B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358769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554.86万元，政府性基金预算支出0.00万元，国有资本经营预算支出0.00万元。从评价情况来看，整体支出绩效评价中，2023年整体支出923.03万元，其中：基本支出840.00万元，项目支出83.03万元，本单位整体支出绩效自评综合评分99.64分，评价结果等次为优秀。</w:t>
      </w:r>
    </w:p>
    <w:p w14:paraId="24DB28D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65.93万元，占一般公共预算项目支出总额的79.41%。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秀</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w:t>
      </w:r>
    </w:p>
    <w:p w14:paraId="468ECCC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B7AD11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 99.64分。全年预算数为957.08 万元，执行数为923.03万元，完成预算的96.44%。绩效目标完成情况：一是今年以来对辖区企事业单位共进行移动执法400余家次，出动执法人员1200余人次。严肃查处环境违法行为，今年来共立案查处环境违法案件39起，下达行政处罚决定书20份，罚款129.79万元，办理四个配套办法类案件3起，（查封扣押1起，移送拘留1起，移送犯罪1起）。二是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 三是“三公经费”、公用经费均控制在预算范围内，项目支出有所超出预算，原因在于本年度市财政局拨付的专项资金。</w:t>
      </w:r>
    </w:p>
    <w:p w14:paraId="1EDBA605">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A71D4A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w:t>
      </w:r>
      <w:r>
        <w:rPr>
          <w:rFonts w:hint="default" w:ascii="Times New Roman" w:hAnsi="Times New Roman" w:eastAsia="仿宋_GB2312" w:cs="Times New Roman"/>
          <w:sz w:val="32"/>
          <w:szCs w:val="32"/>
          <w:highlight w:val="none"/>
        </w:rPr>
        <w:t>存在问题个别项目资金使用方面预算与实际存在差异。问题产生的主要原因</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绩效管理水平有待提高，特别是绩效指标设置的科学性、合理性有待进一步改善。</w:t>
      </w:r>
    </w:p>
    <w:p w14:paraId="796B720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color w:val="000000"/>
          <w:kern w:val="0"/>
          <w:sz w:val="32"/>
          <w:szCs w:val="32"/>
          <w:lang w:val="en-US" w:eastAsia="zh-CN" w:bidi="ar-SA"/>
        </w:rPr>
        <w:t>下一步改进措施：</w:t>
      </w:r>
      <w:r>
        <w:rPr>
          <w:rFonts w:hint="eastAsia" w:ascii="Times New Roman" w:hAnsi="Times New Roman" w:eastAsia="仿宋_GB2312" w:cs="Times New Roman"/>
          <w:sz w:val="32"/>
          <w:szCs w:val="32"/>
          <w:highlight w:val="none"/>
          <w:lang w:val="en-US" w:eastAsia="zh-CN"/>
        </w:rPr>
        <w:t>加强财务管理，严格财务审批。在费用报账支付时，按照预算规定的费用项目和用途进行资金使用、审核，列报支付，财务核算杜绝超支现象的发生。</w:t>
      </w:r>
    </w:p>
    <w:p w14:paraId="71407BF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highlight w:val="none"/>
          <w:lang w:val="en-US" w:eastAsia="zh-CN"/>
        </w:rPr>
        <w:t>加强培训。建议多开展部门整体绩效评价工作的业务工作培训，组织开展部门之间、单位之间的经验交流，特别是要组织非财务部门的人员参与评价工作，切实推进绩效评价工作的开展。</w:t>
      </w:r>
    </w:p>
    <w:p w14:paraId="1CDC177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3BA7A9A9">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28FA9F0A">
      <w:pPr>
        <w:pStyle w:val="13"/>
        <w:jc w:val="both"/>
        <w:rPr>
          <w:sz w:val="72"/>
          <w:szCs w:val="72"/>
        </w:rPr>
      </w:pPr>
    </w:p>
    <w:p w14:paraId="076E7DE7">
      <w:pPr>
        <w:pStyle w:val="13"/>
        <w:jc w:val="center"/>
        <w:rPr>
          <w:sz w:val="72"/>
          <w:szCs w:val="72"/>
        </w:rPr>
      </w:pPr>
    </w:p>
    <w:p w14:paraId="5F7EAE84">
      <w:pPr>
        <w:pStyle w:val="13"/>
        <w:jc w:val="center"/>
        <w:rPr>
          <w:rFonts w:hint="eastAsia" w:ascii="方正小标宋_GBK" w:hAnsi="方正小标宋_GBK" w:eastAsia="方正小标宋_GBK" w:cs="方正小标宋_GBK"/>
          <w:sz w:val="70"/>
          <w:szCs w:val="70"/>
          <w:lang w:eastAsia="zh-CN"/>
        </w:rPr>
      </w:pPr>
    </w:p>
    <w:p w14:paraId="45E27BDC">
      <w:pPr>
        <w:pStyle w:val="13"/>
        <w:jc w:val="center"/>
        <w:rPr>
          <w:rFonts w:hint="eastAsia" w:ascii="方正小标宋_GBK" w:hAnsi="方正小标宋_GBK" w:eastAsia="方正小标宋_GBK" w:cs="方正小标宋_GBK"/>
          <w:sz w:val="70"/>
          <w:szCs w:val="70"/>
          <w:lang w:eastAsia="zh-CN"/>
        </w:rPr>
      </w:pPr>
    </w:p>
    <w:p w14:paraId="01C7CF4A">
      <w:pPr>
        <w:pStyle w:val="13"/>
        <w:jc w:val="center"/>
        <w:rPr>
          <w:rFonts w:hint="eastAsia" w:ascii="方正小标宋_GBK" w:hAnsi="方正小标宋_GBK" w:eastAsia="方正小标宋_GBK" w:cs="方正小标宋_GBK"/>
          <w:sz w:val="70"/>
          <w:szCs w:val="70"/>
          <w:lang w:eastAsia="zh-CN"/>
        </w:rPr>
      </w:pPr>
    </w:p>
    <w:p w14:paraId="43DCB758">
      <w:pPr>
        <w:pStyle w:val="13"/>
        <w:jc w:val="center"/>
        <w:rPr>
          <w:rFonts w:hint="eastAsia" w:ascii="方正小标宋_GBK" w:hAnsi="方正小标宋_GBK" w:eastAsia="方正小标宋_GBK" w:cs="方正小标宋_GBK"/>
          <w:sz w:val="70"/>
          <w:szCs w:val="70"/>
          <w:lang w:eastAsia="zh-CN"/>
        </w:rPr>
      </w:pPr>
    </w:p>
    <w:p w14:paraId="48798ECF">
      <w:pPr>
        <w:pStyle w:val="13"/>
        <w:jc w:val="center"/>
        <w:rPr>
          <w:rFonts w:hint="eastAsia" w:ascii="方正小标宋_GBK" w:hAnsi="方正小标宋_GBK" w:eastAsia="方正小标宋_GBK" w:cs="方正小标宋_GBK"/>
          <w:sz w:val="72"/>
          <w:szCs w:val="72"/>
        </w:rPr>
      </w:pPr>
    </w:p>
    <w:p w14:paraId="0BE3129C">
      <w:pPr>
        <w:pStyle w:val="13"/>
        <w:jc w:val="center"/>
        <w:rPr>
          <w:rFonts w:hint="eastAsia" w:ascii="方正小标宋_GBK" w:hAnsi="方正小标宋_GBK" w:eastAsia="方正小标宋_GBK" w:cs="方正小标宋_GBK"/>
          <w:sz w:val="72"/>
          <w:szCs w:val="72"/>
        </w:rPr>
      </w:pPr>
    </w:p>
    <w:p w14:paraId="612A9CE9">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B8B6595">
      <w:pPr>
        <w:jc w:val="center"/>
        <w:rPr>
          <w:rFonts w:hint="eastAsia" w:ascii="方正小标宋_GBK" w:hAnsi="方正小标宋_GBK" w:eastAsia="方正小标宋_GBK" w:cs="方正小标宋_GBK"/>
          <w:color w:val="000000"/>
          <w:kern w:val="0"/>
          <w:sz w:val="70"/>
          <w:szCs w:val="70"/>
        </w:rPr>
      </w:pPr>
    </w:p>
    <w:p w14:paraId="489569D9">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59CC00C">
      <w:pPr>
        <w:pStyle w:val="8"/>
      </w:pPr>
    </w:p>
    <w:p w14:paraId="237018E7">
      <w:pPr>
        <w:pStyle w:val="4"/>
      </w:pPr>
    </w:p>
    <w:p w14:paraId="06E2FDA4"/>
    <w:p w14:paraId="73C3FC25">
      <w:pPr>
        <w:pStyle w:val="8"/>
      </w:pPr>
    </w:p>
    <w:p w14:paraId="7602CF37">
      <w:pPr>
        <w:pStyle w:val="4"/>
      </w:pPr>
    </w:p>
    <w:p w14:paraId="52D2D84A"/>
    <w:p w14:paraId="6D31CA1A">
      <w:pPr>
        <w:pStyle w:val="8"/>
      </w:pPr>
    </w:p>
    <w:p w14:paraId="24B74559">
      <w:pPr>
        <w:pStyle w:val="4"/>
      </w:pPr>
    </w:p>
    <w:p w14:paraId="13B7468C"/>
    <w:p w14:paraId="3673898D">
      <w:pPr>
        <w:pStyle w:val="8"/>
      </w:pPr>
    </w:p>
    <w:p w14:paraId="6D09786D">
      <w:pPr>
        <w:pStyle w:val="4"/>
      </w:pPr>
    </w:p>
    <w:p w14:paraId="58DDEFC9"/>
    <w:p w14:paraId="13186610">
      <w:pPr>
        <w:pStyle w:val="2"/>
      </w:pPr>
    </w:p>
    <w:p w14:paraId="3E137F1A">
      <w:pPr>
        <w:pStyle w:val="2"/>
      </w:pPr>
    </w:p>
    <w:p w14:paraId="10C8F0FC"/>
    <w:p w14:paraId="6C4A3CF3">
      <w:pPr>
        <w:pStyle w:val="8"/>
      </w:pPr>
    </w:p>
    <w:p w14:paraId="259D8686">
      <w:pPr>
        <w:pStyle w:val="4"/>
      </w:pPr>
    </w:p>
    <w:p w14:paraId="7185EC3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6099D523"/>
    <w:p w14:paraId="115AE6EA">
      <w:pPr>
        <w:pStyle w:val="8"/>
      </w:pPr>
    </w:p>
    <w:p w14:paraId="364BCE18">
      <w:pPr>
        <w:pStyle w:val="4"/>
      </w:pPr>
    </w:p>
    <w:p w14:paraId="650AA9DB"/>
    <w:p w14:paraId="5BDB8B1E">
      <w:pPr>
        <w:pStyle w:val="8"/>
      </w:pPr>
    </w:p>
    <w:p w14:paraId="4A4DE634">
      <w:pPr>
        <w:pStyle w:val="4"/>
      </w:pPr>
    </w:p>
    <w:p w14:paraId="40BE12C3"/>
    <w:p w14:paraId="165E5F22">
      <w:pPr>
        <w:pStyle w:val="8"/>
      </w:pPr>
    </w:p>
    <w:p w14:paraId="6806C67E">
      <w:pPr>
        <w:pStyle w:val="4"/>
      </w:pPr>
    </w:p>
    <w:p w14:paraId="414DD4E9"/>
    <w:p w14:paraId="4D5150C8">
      <w:pPr>
        <w:pStyle w:val="8"/>
      </w:pPr>
    </w:p>
    <w:p w14:paraId="31BBC88E">
      <w:pPr>
        <w:pStyle w:val="4"/>
      </w:pPr>
    </w:p>
    <w:p w14:paraId="3F68CF16"/>
    <w:p w14:paraId="51F93D81">
      <w:pPr>
        <w:pStyle w:val="8"/>
      </w:pPr>
    </w:p>
    <w:p w14:paraId="4E0660AA">
      <w:pPr>
        <w:pStyle w:val="4"/>
      </w:pPr>
    </w:p>
    <w:p w14:paraId="59650AAC"/>
    <w:p w14:paraId="7812023A">
      <w:pPr>
        <w:pStyle w:val="4"/>
      </w:pPr>
    </w:p>
    <w:p w14:paraId="02160412">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6CA2C4E">
      <w:pPr>
        <w:pStyle w:val="13"/>
        <w:jc w:val="both"/>
        <w:rPr>
          <w:rFonts w:hint="eastAsia" w:ascii="方正小标宋_GBK" w:hAnsi="方正小标宋_GBK" w:eastAsia="方正小标宋_GBK" w:cs="方正小标宋_GBK"/>
          <w:sz w:val="70"/>
          <w:szCs w:val="70"/>
          <w:lang w:eastAsia="zh-CN"/>
        </w:rPr>
      </w:pPr>
    </w:p>
    <w:p w14:paraId="052E851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984A3F5">
      <w:pPr>
        <w:ind w:firstLine="640" w:firstLineChars="200"/>
        <w:jc w:val="left"/>
        <w:rPr>
          <w:rFonts w:hint="eastAsia" w:ascii="宋体" w:hAnsi="宋体" w:eastAsia="宋体" w:cs="黑体"/>
          <w:b/>
          <w:color w:val="000000"/>
          <w:kern w:val="0"/>
          <w:sz w:val="32"/>
          <w:szCs w:val="32"/>
          <w:lang w:val="en-US" w:eastAsia="zh-CN"/>
        </w:rPr>
      </w:pPr>
    </w:p>
    <w:p w14:paraId="51326451">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3DD3414F">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707A0061"/>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2605C7"/>
    <w:rsid w:val="059958AD"/>
    <w:rsid w:val="065546FA"/>
    <w:rsid w:val="06A92350"/>
    <w:rsid w:val="06C857E7"/>
    <w:rsid w:val="08C24A73"/>
    <w:rsid w:val="0A225CB5"/>
    <w:rsid w:val="0C96072D"/>
    <w:rsid w:val="12583BA5"/>
    <w:rsid w:val="13493EFB"/>
    <w:rsid w:val="13BA5B9C"/>
    <w:rsid w:val="151E1F60"/>
    <w:rsid w:val="15AA07A6"/>
    <w:rsid w:val="1672275E"/>
    <w:rsid w:val="1D97DEFF"/>
    <w:rsid w:val="1DFF72E5"/>
    <w:rsid w:val="1EFC6F07"/>
    <w:rsid w:val="1F0527A6"/>
    <w:rsid w:val="1FA3607E"/>
    <w:rsid w:val="22AC03C2"/>
    <w:rsid w:val="23384D2F"/>
    <w:rsid w:val="236E69A3"/>
    <w:rsid w:val="237048C4"/>
    <w:rsid w:val="24AF7220"/>
    <w:rsid w:val="259D3570"/>
    <w:rsid w:val="26AD2D4C"/>
    <w:rsid w:val="2FDF85B8"/>
    <w:rsid w:val="2FFFEE04"/>
    <w:rsid w:val="31B47C77"/>
    <w:rsid w:val="31C95635"/>
    <w:rsid w:val="34DF85B0"/>
    <w:rsid w:val="35BE4019"/>
    <w:rsid w:val="361E7DB5"/>
    <w:rsid w:val="383E2B7C"/>
    <w:rsid w:val="3B8F36BC"/>
    <w:rsid w:val="3DC3577B"/>
    <w:rsid w:val="416F5968"/>
    <w:rsid w:val="46C80613"/>
    <w:rsid w:val="479223B1"/>
    <w:rsid w:val="480908C5"/>
    <w:rsid w:val="491FF225"/>
    <w:rsid w:val="4B155D90"/>
    <w:rsid w:val="4B701B0A"/>
    <w:rsid w:val="4E2D698F"/>
    <w:rsid w:val="4FFD214C"/>
    <w:rsid w:val="50E670BE"/>
    <w:rsid w:val="5352765A"/>
    <w:rsid w:val="54880DC3"/>
    <w:rsid w:val="54CF254E"/>
    <w:rsid w:val="568357E0"/>
    <w:rsid w:val="5777D4F5"/>
    <w:rsid w:val="59DD8326"/>
    <w:rsid w:val="5CA20DBA"/>
    <w:rsid w:val="5CFE4248"/>
    <w:rsid w:val="5DEF592A"/>
    <w:rsid w:val="5FC6BB1E"/>
    <w:rsid w:val="5FD2383A"/>
    <w:rsid w:val="5FF720F1"/>
    <w:rsid w:val="63C5165D"/>
    <w:rsid w:val="67591430"/>
    <w:rsid w:val="67FF5C0B"/>
    <w:rsid w:val="6BAA4A2F"/>
    <w:rsid w:val="6C30791F"/>
    <w:rsid w:val="6D845942"/>
    <w:rsid w:val="6EFC0924"/>
    <w:rsid w:val="6FB74722"/>
    <w:rsid w:val="6FEF8B7E"/>
    <w:rsid w:val="713E2ADE"/>
    <w:rsid w:val="71A6591B"/>
    <w:rsid w:val="71CB1E97"/>
    <w:rsid w:val="72CE60E3"/>
    <w:rsid w:val="737D59BA"/>
    <w:rsid w:val="737F32B1"/>
    <w:rsid w:val="775546DD"/>
    <w:rsid w:val="77B446A2"/>
    <w:rsid w:val="77C37683"/>
    <w:rsid w:val="77E07678"/>
    <w:rsid w:val="79334EF2"/>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8892</Words>
  <Characters>9589</Characters>
  <Lines>63</Lines>
  <Paragraphs>18</Paragraphs>
  <TotalTime>0</TotalTime>
  <ScaleCrop>false</ScaleCrop>
  <LinksUpToDate>false</LinksUpToDate>
  <CharactersWithSpaces>9609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2025-08-25T07:13:21Z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AA81E67FD34E4D4BA043FF17D1C77224_13</vt:lpwstr>
  </property>
  <property fmtid="{D5CDD505-2E9C-101B-9397-08002B2CF9AE}" pid="4" name="KSOTemplateDocerSaveRecord">
    <vt:lpwstr>eyJoZGlkIjoiNjgxZmIyZGM1NjlmYzFmNTczZGVkNWYyNWIwMGFjMmUiLCJ1c2VySWQiOiIyOTMyNjEyNDMifQ==</vt:lpwstr>
  </property>
</Properties>
</file>