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EFDC2">
      <w:pPr>
        <w:pStyle w:val="12"/>
        <w:jc w:val="center"/>
        <w:rPr>
          <w:sz w:val="56"/>
          <w:szCs w:val="56"/>
        </w:rPr>
      </w:pPr>
    </w:p>
    <w:p w14:paraId="12907646">
      <w:pPr>
        <w:pStyle w:val="12"/>
        <w:jc w:val="center"/>
        <w:rPr>
          <w:sz w:val="56"/>
          <w:szCs w:val="56"/>
        </w:rPr>
      </w:pPr>
    </w:p>
    <w:p w14:paraId="7BE8885B">
      <w:pPr>
        <w:pStyle w:val="12"/>
        <w:jc w:val="center"/>
        <w:rPr>
          <w:sz w:val="84"/>
          <w:szCs w:val="84"/>
        </w:rPr>
      </w:pPr>
    </w:p>
    <w:p w14:paraId="5A7EA249">
      <w:pPr>
        <w:pStyle w:val="12"/>
        <w:jc w:val="center"/>
        <w:rPr>
          <w:sz w:val="84"/>
          <w:szCs w:val="84"/>
        </w:rPr>
      </w:pPr>
    </w:p>
    <w:p w14:paraId="1DAF368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608F1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岳阳市生态环境局城陵矶新港区分局决算</w:t>
      </w:r>
    </w:p>
    <w:p w14:paraId="7D0B639A">
      <w:pPr>
        <w:pStyle w:val="12"/>
        <w:jc w:val="center"/>
        <w:rPr>
          <w:rFonts w:hint="eastAsia" w:ascii="方正小标宋_GBK" w:hAnsi="方正小标宋_GBK" w:eastAsia="方正小标宋_GBK" w:cs="方正小标宋_GBK"/>
          <w:sz w:val="56"/>
          <w:szCs w:val="56"/>
        </w:rPr>
      </w:pPr>
    </w:p>
    <w:p w14:paraId="0D467F9E">
      <w:pPr>
        <w:pStyle w:val="12"/>
        <w:jc w:val="center"/>
        <w:rPr>
          <w:sz w:val="56"/>
          <w:szCs w:val="56"/>
        </w:rPr>
      </w:pPr>
    </w:p>
    <w:p w14:paraId="656371E3">
      <w:pPr>
        <w:pStyle w:val="12"/>
        <w:jc w:val="center"/>
        <w:rPr>
          <w:sz w:val="32"/>
          <w:szCs w:val="32"/>
        </w:rPr>
      </w:pPr>
    </w:p>
    <w:p w14:paraId="224BE1D2">
      <w:pPr>
        <w:pStyle w:val="12"/>
        <w:jc w:val="center"/>
        <w:rPr>
          <w:sz w:val="32"/>
          <w:szCs w:val="32"/>
        </w:rPr>
      </w:pPr>
    </w:p>
    <w:p w14:paraId="3D5EA5E5">
      <w:pPr>
        <w:pStyle w:val="12"/>
        <w:jc w:val="center"/>
        <w:rPr>
          <w:sz w:val="32"/>
          <w:szCs w:val="32"/>
        </w:rPr>
      </w:pPr>
    </w:p>
    <w:p w14:paraId="4B6969CA">
      <w:pPr>
        <w:pStyle w:val="12"/>
        <w:jc w:val="center"/>
        <w:rPr>
          <w:sz w:val="32"/>
          <w:szCs w:val="32"/>
        </w:rPr>
      </w:pPr>
    </w:p>
    <w:p w14:paraId="39132901">
      <w:pPr>
        <w:pStyle w:val="12"/>
        <w:jc w:val="center"/>
        <w:rPr>
          <w:sz w:val="32"/>
          <w:szCs w:val="32"/>
        </w:rPr>
      </w:pPr>
    </w:p>
    <w:p w14:paraId="6AE686A0">
      <w:pPr>
        <w:pStyle w:val="12"/>
        <w:spacing w:line="540" w:lineRule="exact"/>
        <w:jc w:val="center"/>
        <w:rPr>
          <w:sz w:val="56"/>
          <w:szCs w:val="56"/>
        </w:rPr>
      </w:pPr>
    </w:p>
    <w:p w14:paraId="47864DB8">
      <w:pPr>
        <w:pStyle w:val="12"/>
        <w:spacing w:line="500" w:lineRule="exact"/>
        <w:jc w:val="both"/>
        <w:rPr>
          <w:b/>
          <w:sz w:val="36"/>
          <w:szCs w:val="28"/>
        </w:rPr>
      </w:pPr>
    </w:p>
    <w:p w14:paraId="5769BE95">
      <w:pPr>
        <w:pStyle w:val="12"/>
        <w:spacing w:line="500" w:lineRule="exact"/>
        <w:jc w:val="center"/>
        <w:rPr>
          <w:b/>
          <w:sz w:val="36"/>
          <w:szCs w:val="28"/>
        </w:rPr>
      </w:pPr>
      <w:r>
        <w:rPr>
          <w:rFonts w:hint="eastAsia"/>
          <w:b/>
          <w:sz w:val="36"/>
          <w:szCs w:val="28"/>
        </w:rPr>
        <w:t>目录</w:t>
      </w:r>
    </w:p>
    <w:p w14:paraId="334EF95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岳阳市生态环境局城陵矶新港区分局概况</w:t>
      </w:r>
    </w:p>
    <w:p w14:paraId="611390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5823EB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6A35E49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A80EF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A26BC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C992E7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07BBA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112A10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D7FE61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2DD44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0C432A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F82C35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8687D78">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FE2A0F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17C31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2FA789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97E43D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DF7742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86A3F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5364BB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A10C68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4A4FEF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106150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556DA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D7E0CC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F59094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04D60D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4A7874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0D941C6">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65D7A32">
      <w:pPr>
        <w:pStyle w:val="12"/>
        <w:jc w:val="center"/>
        <w:rPr>
          <w:rFonts w:hint="eastAsia" w:ascii="方正小标宋_GBK" w:hAnsi="方正小标宋_GBK" w:eastAsia="方正小标宋_GBK" w:cs="方正小标宋_GBK"/>
          <w:sz w:val="84"/>
          <w:szCs w:val="84"/>
        </w:rPr>
      </w:pPr>
    </w:p>
    <w:p w14:paraId="38D1B0DA">
      <w:pPr>
        <w:pStyle w:val="12"/>
        <w:jc w:val="center"/>
        <w:rPr>
          <w:rFonts w:hint="eastAsia" w:ascii="方正小标宋_GBK" w:hAnsi="方正小标宋_GBK" w:eastAsia="方正小标宋_GBK" w:cs="方正小标宋_GBK"/>
          <w:sz w:val="84"/>
          <w:szCs w:val="84"/>
        </w:rPr>
      </w:pPr>
    </w:p>
    <w:p w14:paraId="31734C8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7479F11">
      <w:pPr>
        <w:pStyle w:val="12"/>
        <w:jc w:val="center"/>
        <w:rPr>
          <w:rFonts w:hint="eastAsia" w:ascii="方正小标宋_GBK" w:hAnsi="方正小标宋_GBK" w:eastAsia="方正小标宋_GBK" w:cs="方正小标宋_GBK"/>
          <w:sz w:val="84"/>
          <w:szCs w:val="84"/>
        </w:rPr>
      </w:pPr>
    </w:p>
    <w:p w14:paraId="5852B23C">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岳阳市生态环境局城陵矶新港区分局概况</w:t>
      </w:r>
    </w:p>
    <w:p w14:paraId="14FCE412">
      <w:pPr>
        <w:pStyle w:val="2"/>
        <w:rPr>
          <w:rFonts w:hint="eastAsia" w:ascii="方正小标宋_GBK" w:hAnsi="方正小标宋_GBK" w:eastAsia="方正小标宋_GBK" w:cs="方正小标宋_GBK"/>
          <w:sz w:val="84"/>
          <w:szCs w:val="84"/>
        </w:rPr>
      </w:pPr>
    </w:p>
    <w:p w14:paraId="059ABDE1">
      <w:pPr>
        <w:pStyle w:val="3"/>
        <w:rPr>
          <w:rFonts w:hint="eastAsia" w:ascii="方正小标宋_GBK" w:hAnsi="方正小标宋_GBK" w:eastAsia="方正小标宋_GBK" w:cs="方正小标宋_GBK"/>
          <w:sz w:val="84"/>
          <w:szCs w:val="84"/>
        </w:rPr>
      </w:pPr>
    </w:p>
    <w:p w14:paraId="246CE723">
      <w:pPr>
        <w:pStyle w:val="2"/>
        <w:rPr>
          <w:rFonts w:hint="eastAsia" w:ascii="方正小标宋_GBK" w:hAnsi="方正小标宋_GBK" w:eastAsia="方正小标宋_GBK" w:cs="方正小标宋_GBK"/>
          <w:sz w:val="84"/>
          <w:szCs w:val="84"/>
        </w:rPr>
      </w:pPr>
    </w:p>
    <w:p w14:paraId="14B156CD">
      <w:pPr>
        <w:pStyle w:val="3"/>
        <w:rPr>
          <w:rFonts w:hint="eastAsia" w:ascii="方正小标宋_GBK" w:hAnsi="方正小标宋_GBK" w:eastAsia="方正小标宋_GBK" w:cs="方正小标宋_GBK"/>
          <w:sz w:val="84"/>
          <w:szCs w:val="84"/>
        </w:rPr>
      </w:pPr>
    </w:p>
    <w:p w14:paraId="25B0953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E023A87">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受市生态环境局委托，承担辖区内的生态环境相关工作；承担市生态环境局和区管委会交办的其他任务。</w:t>
      </w:r>
    </w:p>
    <w:p w14:paraId="12DA8D4C">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16C5A31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（三）负责本辖区生态环境质量监测、执法监测、污染源监测和应急监测；负责辖区内生态文明示范县创建。</w:t>
      </w:r>
    </w:p>
    <w:p w14:paraId="0735F29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E58AB9">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（一）内设机构设置。岳阳市生态环境局城陵矶新港区分局内设机构包括：</w:t>
      </w:r>
      <w:r>
        <w:rPr>
          <w:rFonts w:hint="eastAsia" w:ascii="Times New Roman" w:hAnsi="Times New Roman" w:eastAsia="仿宋_GB2312" w:cs="仿宋_GB2312"/>
          <w:bCs/>
          <w:kern w:val="0"/>
          <w:sz w:val="32"/>
          <w:szCs w:val="32"/>
          <w:lang w:val="en-US" w:eastAsia="zh-CN" w:bidi="ar-SA"/>
        </w:rPr>
        <w:t>核定全额拨款事业编制8名，在职人数7人，其中：局长（大队长）1名、副局长1名、副大队长1名。分局下设办公室、执法大队、管理股、财务股4个股室。</w:t>
      </w:r>
    </w:p>
    <w:p w14:paraId="3A146ECA">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（二）决算单位构成。本单位无独立核算的下属单位，2023年部门决算汇总公开单位仅包括岳阳市生态环境局城陵矶新港区分局本级</w:t>
      </w:r>
      <w:r>
        <w:rPr>
          <w:rFonts w:hint="eastAsia" w:ascii="Times New Roman" w:hAnsi="Times New Roman" w:eastAsia="仿宋_GB2312" w:cs="仿宋_GB2312"/>
          <w:bCs/>
          <w:kern w:val="0"/>
          <w:sz w:val="32"/>
          <w:szCs w:val="32"/>
          <w:lang w:eastAsia="zh-CN"/>
        </w:rPr>
        <w:t>。</w:t>
      </w:r>
    </w:p>
    <w:p w14:paraId="284DEF78">
      <w:pPr>
        <w:pStyle w:val="2"/>
      </w:pPr>
    </w:p>
    <w:p w14:paraId="439B60AF">
      <w:pPr>
        <w:pStyle w:val="3"/>
      </w:pPr>
    </w:p>
    <w:p w14:paraId="016C8E36"/>
    <w:p w14:paraId="34D8ADC8">
      <w:pPr>
        <w:pStyle w:val="3"/>
      </w:pPr>
    </w:p>
    <w:p w14:paraId="5121CADB"/>
    <w:p w14:paraId="4914E105">
      <w:pPr>
        <w:pStyle w:val="12"/>
        <w:jc w:val="center"/>
        <w:rPr>
          <w:rFonts w:hint="eastAsia" w:ascii="方正小标宋_GBK" w:hAnsi="方正小标宋_GBK" w:eastAsia="方正小标宋_GBK" w:cs="方正小标宋_GBK"/>
          <w:sz w:val="84"/>
          <w:szCs w:val="84"/>
        </w:rPr>
      </w:pPr>
    </w:p>
    <w:p w14:paraId="593AA607">
      <w:pPr>
        <w:pStyle w:val="12"/>
        <w:jc w:val="center"/>
        <w:rPr>
          <w:rFonts w:hint="eastAsia" w:ascii="方正小标宋_GBK" w:hAnsi="方正小标宋_GBK" w:eastAsia="方正小标宋_GBK" w:cs="方正小标宋_GBK"/>
          <w:sz w:val="84"/>
          <w:szCs w:val="84"/>
        </w:rPr>
      </w:pPr>
    </w:p>
    <w:p w14:paraId="7EB5EAA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18CC1A3">
      <w:pPr>
        <w:pStyle w:val="12"/>
        <w:jc w:val="center"/>
        <w:rPr>
          <w:rFonts w:hint="eastAsia" w:ascii="方正小标宋_GBK" w:hAnsi="方正小标宋_GBK" w:eastAsia="方正小标宋_GBK" w:cs="方正小标宋_GBK"/>
          <w:sz w:val="84"/>
          <w:szCs w:val="84"/>
        </w:rPr>
      </w:pPr>
    </w:p>
    <w:p w14:paraId="7CF781C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F25F422">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5969D23">
      <w:pPr>
        <w:pStyle w:val="12"/>
        <w:jc w:val="center"/>
        <w:rPr>
          <w:rFonts w:hint="eastAsia" w:ascii="仿宋_GB2312" w:hAnsi="仿宋_GB2312" w:eastAsia="仿宋_GB2312" w:cs="仿宋_GB2312"/>
          <w:b w:val="0"/>
          <w:bCs w:val="0"/>
          <w:sz w:val="72"/>
          <w:szCs w:val="72"/>
          <w:lang w:eastAsia="zh-CN"/>
        </w:rPr>
      </w:pPr>
    </w:p>
    <w:p w14:paraId="619E5A40">
      <w:pPr>
        <w:pStyle w:val="12"/>
        <w:jc w:val="center"/>
        <w:rPr>
          <w:rFonts w:hint="eastAsia" w:ascii="仿宋_GB2312" w:hAnsi="仿宋_GB2312" w:eastAsia="仿宋_GB2312" w:cs="仿宋_GB2312"/>
          <w:b w:val="0"/>
          <w:bCs w:val="0"/>
          <w:sz w:val="72"/>
          <w:szCs w:val="72"/>
          <w:lang w:eastAsia="zh-CN"/>
        </w:rPr>
      </w:pPr>
    </w:p>
    <w:p w14:paraId="694B87AA">
      <w:pPr>
        <w:pStyle w:val="12"/>
        <w:jc w:val="center"/>
        <w:rPr>
          <w:rFonts w:hint="eastAsia" w:ascii="仿宋_GB2312" w:hAnsi="仿宋_GB2312" w:eastAsia="仿宋_GB2312" w:cs="仿宋_GB2312"/>
          <w:b w:val="0"/>
          <w:bCs w:val="0"/>
          <w:sz w:val="72"/>
          <w:szCs w:val="72"/>
          <w:lang w:eastAsia="zh-CN"/>
        </w:rPr>
      </w:pPr>
    </w:p>
    <w:p w14:paraId="164E44C0">
      <w:pPr>
        <w:pStyle w:val="12"/>
        <w:jc w:val="center"/>
        <w:rPr>
          <w:rFonts w:hint="eastAsia" w:ascii="仿宋_GB2312" w:hAnsi="仿宋_GB2312" w:eastAsia="仿宋_GB2312" w:cs="仿宋_GB2312"/>
          <w:b w:val="0"/>
          <w:bCs w:val="0"/>
          <w:sz w:val="72"/>
          <w:szCs w:val="72"/>
          <w:lang w:eastAsia="zh-CN"/>
        </w:rPr>
      </w:pPr>
    </w:p>
    <w:p w14:paraId="3058B282">
      <w:pPr>
        <w:pStyle w:val="12"/>
        <w:jc w:val="center"/>
        <w:rPr>
          <w:rFonts w:hint="eastAsia" w:ascii="仿宋_GB2312" w:hAnsi="仿宋_GB2312" w:eastAsia="仿宋_GB2312" w:cs="仿宋_GB2312"/>
          <w:b w:val="0"/>
          <w:bCs w:val="0"/>
          <w:sz w:val="72"/>
          <w:szCs w:val="72"/>
          <w:lang w:eastAsia="zh-CN"/>
        </w:rPr>
      </w:pPr>
    </w:p>
    <w:p w14:paraId="22B0C93A">
      <w:pPr>
        <w:pStyle w:val="12"/>
        <w:jc w:val="center"/>
        <w:rPr>
          <w:rFonts w:hint="eastAsia" w:ascii="仿宋_GB2312" w:hAnsi="仿宋_GB2312" w:eastAsia="仿宋_GB2312" w:cs="仿宋_GB2312"/>
          <w:b w:val="0"/>
          <w:bCs w:val="0"/>
          <w:sz w:val="72"/>
          <w:szCs w:val="72"/>
          <w:lang w:eastAsia="zh-CN"/>
        </w:rPr>
      </w:pPr>
    </w:p>
    <w:p w14:paraId="5D84F5C4">
      <w:pPr>
        <w:pStyle w:val="12"/>
        <w:jc w:val="center"/>
        <w:rPr>
          <w:rFonts w:hint="eastAsia" w:ascii="仿宋_GB2312" w:hAnsi="仿宋_GB2312" w:eastAsia="仿宋_GB2312" w:cs="仿宋_GB2312"/>
          <w:b w:val="0"/>
          <w:bCs w:val="0"/>
          <w:sz w:val="72"/>
          <w:szCs w:val="72"/>
          <w:lang w:eastAsia="zh-CN"/>
        </w:rPr>
      </w:pPr>
    </w:p>
    <w:p w14:paraId="3D421205">
      <w:pPr>
        <w:pStyle w:val="12"/>
        <w:jc w:val="center"/>
        <w:rPr>
          <w:rFonts w:hint="eastAsia" w:ascii="方正小标宋_GBK" w:hAnsi="方正小标宋_GBK" w:eastAsia="方正小标宋_GBK" w:cs="方正小标宋_GBK"/>
          <w:sz w:val="72"/>
          <w:szCs w:val="72"/>
        </w:rPr>
      </w:pPr>
    </w:p>
    <w:p w14:paraId="729FF624">
      <w:pPr>
        <w:pStyle w:val="12"/>
        <w:jc w:val="center"/>
        <w:rPr>
          <w:rFonts w:hint="eastAsia" w:ascii="方正小标宋_GBK" w:hAnsi="方正小标宋_GBK" w:eastAsia="方正小标宋_GBK" w:cs="方正小标宋_GBK"/>
          <w:sz w:val="72"/>
          <w:szCs w:val="72"/>
        </w:rPr>
      </w:pPr>
    </w:p>
    <w:p w14:paraId="79732760">
      <w:pPr>
        <w:pStyle w:val="12"/>
        <w:jc w:val="both"/>
        <w:rPr>
          <w:rFonts w:hint="eastAsia" w:ascii="方正小标宋_GBK" w:hAnsi="方正小标宋_GBK" w:eastAsia="方正小标宋_GBK" w:cs="方正小标宋_GBK"/>
          <w:sz w:val="72"/>
          <w:szCs w:val="72"/>
        </w:rPr>
      </w:pPr>
    </w:p>
    <w:p w14:paraId="51764F31">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6C7BD85">
      <w:pPr>
        <w:pStyle w:val="12"/>
        <w:jc w:val="center"/>
        <w:rPr>
          <w:rFonts w:hint="eastAsia" w:ascii="方正小标宋_GBK" w:hAnsi="方正小标宋_GBK" w:eastAsia="方正小标宋_GBK" w:cs="方正小标宋_GBK"/>
          <w:sz w:val="70"/>
          <w:szCs w:val="70"/>
        </w:rPr>
      </w:pPr>
    </w:p>
    <w:p w14:paraId="1624DF1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260517E">
      <w:pPr>
        <w:pStyle w:val="12"/>
        <w:jc w:val="center"/>
        <w:rPr>
          <w:rFonts w:hint="eastAsia" w:ascii="方正小标宋_GBK" w:hAnsi="方正小标宋_GBK" w:eastAsia="方正小标宋_GBK" w:cs="方正小标宋_GBK"/>
          <w:sz w:val="70"/>
          <w:szCs w:val="70"/>
        </w:rPr>
      </w:pPr>
    </w:p>
    <w:p w14:paraId="6F8C3138">
      <w:pPr>
        <w:pStyle w:val="12"/>
        <w:jc w:val="center"/>
        <w:rPr>
          <w:rFonts w:hint="eastAsia" w:ascii="方正小标宋_GBK" w:hAnsi="方正小标宋_GBK" w:eastAsia="方正小标宋_GBK" w:cs="方正小标宋_GBK"/>
          <w:sz w:val="70"/>
          <w:szCs w:val="70"/>
        </w:rPr>
      </w:pPr>
    </w:p>
    <w:p w14:paraId="20D2E364">
      <w:pPr>
        <w:pStyle w:val="12"/>
        <w:jc w:val="center"/>
        <w:rPr>
          <w:rFonts w:hint="eastAsia" w:ascii="方正小标宋_GBK" w:hAnsi="方正小标宋_GBK" w:eastAsia="方正小标宋_GBK" w:cs="方正小标宋_GBK"/>
          <w:sz w:val="70"/>
          <w:szCs w:val="70"/>
        </w:rPr>
      </w:pPr>
    </w:p>
    <w:p w14:paraId="69040936">
      <w:pPr>
        <w:pStyle w:val="12"/>
        <w:jc w:val="center"/>
        <w:rPr>
          <w:rFonts w:hint="eastAsia" w:ascii="方正小标宋_GBK" w:hAnsi="方正小标宋_GBK" w:eastAsia="方正小标宋_GBK" w:cs="方正小标宋_GBK"/>
          <w:sz w:val="70"/>
          <w:szCs w:val="70"/>
        </w:rPr>
      </w:pPr>
    </w:p>
    <w:p w14:paraId="54D87F0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2227D8C3">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4F437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4932CD7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年度收、支总计159.80万元。与上年相比，增加23.82万元，增长17.52%，主要是因为</w:t>
      </w:r>
      <w:r>
        <w:rPr>
          <w:rFonts w:hint="eastAsia" w:ascii="Times New Roman" w:hAnsi="Times New Roman" w:eastAsia="仿宋_GB2312" w:cs="黑体"/>
          <w:color w:val="000000"/>
          <w:kern w:val="0"/>
          <w:sz w:val="32"/>
          <w:szCs w:val="32"/>
          <w:lang w:val="en-US" w:eastAsia="zh-CN" w:bidi="ar-SA"/>
        </w:rPr>
        <w:t>人员经费调整、节能环保支出增加。</w:t>
      </w:r>
    </w:p>
    <w:p w14:paraId="7CC232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A6BF9F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年度收入合计159.80万元，其中：财政拨款收入127.96万元，占</w:t>
      </w:r>
      <w:r>
        <w:rPr>
          <w:rFonts w:hint="eastAsia" w:ascii="仿宋_GB2312" w:hAnsi="仿宋_GB2312" w:eastAsia="仿宋_GB2312" w:cs="仿宋_GB2312"/>
          <w:sz w:val="32"/>
          <w:szCs w:val="32"/>
          <w:lang w:val="en-US" w:eastAsia="zh-CN"/>
        </w:rPr>
        <w:t>80.08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%；其他收入31.83万元，占</w:t>
      </w:r>
      <w:r>
        <w:rPr>
          <w:rFonts w:hint="eastAsia" w:ascii="仿宋_GB2312" w:hAnsi="仿宋_GB2312" w:eastAsia="仿宋_GB2312" w:cs="仿宋_GB2312"/>
          <w:sz w:val="32"/>
          <w:szCs w:val="32"/>
          <w:lang w:val="en-US" w:eastAsia="zh-CN"/>
        </w:rPr>
        <w:t>19.92</w:t>
      </w:r>
      <w:r>
        <w:rPr>
          <w:rFonts w:hint="eastAsia" w:ascii="仿宋_GB2312" w:hAnsi="仿宋_GB2312" w:eastAsia="仿宋_GB2312" w:cs="仿宋_GB2312"/>
          <w:sz w:val="32"/>
          <w:szCs w:val="32"/>
        </w:rPr>
        <w:t>%。</w:t>
      </w:r>
    </w:p>
    <w:p w14:paraId="6C60C5E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11209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年度支出合计159.44万元，其中：基本支出118.90万元，占74.57%；项目支出40.54万元，占</w:t>
      </w:r>
      <w:r>
        <w:rPr>
          <w:rFonts w:hint="eastAsia" w:ascii="仿宋_GB2312" w:hAnsi="仿宋_GB2312" w:eastAsia="仿宋_GB2312" w:cs="仿宋_GB2312"/>
          <w:sz w:val="32"/>
          <w:szCs w:val="32"/>
          <w:lang w:val="en-US" w:eastAsia="zh-CN"/>
        </w:rPr>
        <w:t>25.43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43086C6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9D66502">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年度财政拨款收、支总计127.96万元，与上年相比，减少2.03万元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0D53E70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F68E05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56D450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年度财政拨款支出127.96万元，占本年支出合计的</w:t>
      </w:r>
      <w:r>
        <w:rPr>
          <w:rFonts w:hint="eastAsia" w:ascii="仿宋_GB2312" w:hAnsi="仿宋_GB2312" w:eastAsia="仿宋_GB2312" w:cs="仿宋_GB2312"/>
          <w:sz w:val="32"/>
          <w:szCs w:val="32"/>
          <w:lang w:val="en-US" w:eastAsia="zh-CN"/>
        </w:rPr>
        <w:t>80.26</w:t>
      </w:r>
      <w:r>
        <w:rPr>
          <w:rFonts w:hint="eastAsia" w:ascii="仿宋_GB2312" w:hAnsi="仿宋_GB2312" w:eastAsia="仿宋_GB2312" w:cs="仿宋_GB2312"/>
          <w:sz w:val="32"/>
          <w:szCs w:val="32"/>
        </w:rPr>
        <w:t>%，与上年相比，财政拨款支出减少2.03万元，减少1.56%，主要是因为环境监测、监控及监察能力建设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2CD8386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B82603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127.96</w:t>
      </w:r>
      <w:r>
        <w:rPr>
          <w:rFonts w:hint="eastAsia" w:ascii="仿宋_GB2312" w:hAnsi="仿宋_GB2312" w:eastAsia="仿宋_GB2312" w:cs="仿宋_GB2312"/>
          <w:sz w:val="32"/>
          <w:szCs w:val="32"/>
        </w:rPr>
        <w:t>万元，主要用于以下方面：社会保障和就业支出5.11万元，占3.99%；卫生健康支出3.89万元，占3.04%；节能环保支出113.92万元，占89.03%；住房保障支出5.04万元，占3.94%</w:t>
      </w:r>
      <w:r>
        <w:rPr>
          <w:rFonts w:hint="eastAsia" w:ascii="仿宋_GB2312" w:hAnsi="仿宋_GB2312" w:eastAsia="仿宋_GB2312" w:cs="仿宋_GB2312"/>
          <w:sz w:val="32"/>
          <w:szCs w:val="32"/>
          <w:lang w:eastAsia="zh-CN"/>
        </w:rPr>
        <w:t>。</w:t>
      </w:r>
    </w:p>
    <w:p w14:paraId="1F484C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B8249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年度财政拨款支出年初预算数为66.09万元，支出决算数为127.96万元，完成年初预算的193.61%，其中：</w:t>
      </w:r>
    </w:p>
    <w:p w14:paraId="37CB8B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0652930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年初预算为4.96万元，支出决算为4.96万元，完成年初预算的100.00%，决算数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48834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21D01F0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年初预算为0.15万元，支出决算为0.15万元，完成年初预算的100.00%，决算数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6CE1A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69C5AD6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年初预算为3.89万元，支出决算为3.89万元，完成年初预算的100.00%，决算数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0967953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4、节能环保支出（类）环境保护管理事务（款）行政运行（项）</w:t>
      </w:r>
      <w:r>
        <w:rPr>
          <w:rFonts w:hint="eastAsia" w:ascii="仿宋_GB2312" w:hAnsi="仿宋_GB2312" w:eastAsia="仿宋_GB2312" w:cs="仿宋_GB2312"/>
          <w:sz w:val="32"/>
          <w:szCs w:val="32"/>
          <w:lang w:eastAsia="zh-CN"/>
        </w:rPr>
        <w:t>。</w:t>
      </w:r>
    </w:p>
    <w:p w14:paraId="220A0D4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年初预算为52.05万元，支出决算为51.55万元，完成年初预算的99.04%，决算数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行政运行方面合理控制支出。</w:t>
      </w:r>
    </w:p>
    <w:p w14:paraId="0AEB1C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5、节能环保支出（类）环境保护管理事务（款）其他环境保护管理事务支出（项）</w:t>
      </w:r>
      <w:r>
        <w:rPr>
          <w:rFonts w:hint="eastAsia" w:ascii="仿宋_GB2312" w:hAnsi="仿宋_GB2312" w:eastAsia="仿宋_GB2312" w:cs="仿宋_GB2312"/>
          <w:sz w:val="32"/>
          <w:szCs w:val="32"/>
          <w:lang w:eastAsia="zh-CN"/>
        </w:rPr>
        <w:t>。</w:t>
      </w:r>
    </w:p>
    <w:p w14:paraId="59C00E8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年初预算为0.00万元，支出决算为21.67万元，决算数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14:paraId="3679AC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6、节能环保支出（类）环境监测与监察（款）其他环境监测与监察支出（项）</w:t>
      </w:r>
      <w:r>
        <w:rPr>
          <w:rFonts w:hint="eastAsia" w:ascii="仿宋_GB2312" w:hAnsi="仿宋_GB2312" w:eastAsia="仿宋_GB2312" w:cs="仿宋_GB2312"/>
          <w:sz w:val="32"/>
          <w:szCs w:val="32"/>
          <w:lang w:eastAsia="zh-CN"/>
        </w:rPr>
        <w:t>。</w:t>
      </w:r>
    </w:p>
    <w:p w14:paraId="57D6F3B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年初预算为0.00万元，支出决算为12.98万元，决算数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14:paraId="2C0396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7、节能环保支出（类）污染减排（款）生态环境执法监察（项）</w:t>
      </w:r>
      <w:r>
        <w:rPr>
          <w:rFonts w:hint="eastAsia" w:ascii="仿宋_GB2312" w:hAnsi="仿宋_GB2312" w:eastAsia="仿宋_GB2312" w:cs="仿宋_GB2312"/>
          <w:sz w:val="32"/>
          <w:szCs w:val="32"/>
          <w:lang w:eastAsia="zh-CN"/>
        </w:rPr>
        <w:t>。</w:t>
      </w:r>
    </w:p>
    <w:p w14:paraId="1591124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年初预算为0.00万元，支出决算为24.00万元，决算数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生态环境执法监察</w:t>
      </w:r>
      <w:r>
        <w:rPr>
          <w:rFonts w:hint="eastAsia" w:ascii="仿宋_GB2312" w:hAnsi="仿宋_GB2312" w:eastAsia="仿宋_GB2312" w:cs="仿宋_GB2312"/>
          <w:sz w:val="32"/>
          <w:szCs w:val="32"/>
          <w:lang w:eastAsia="zh-CN"/>
        </w:rPr>
        <w:t>。</w:t>
      </w:r>
    </w:p>
    <w:p w14:paraId="4BC8D7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8、节能环保支出（类）其他节能环保支出（款）其他节能环保支出（项）</w:t>
      </w:r>
      <w:r>
        <w:rPr>
          <w:rFonts w:hint="eastAsia" w:ascii="仿宋_GB2312" w:hAnsi="仿宋_GB2312" w:eastAsia="仿宋_GB2312" w:cs="仿宋_GB2312"/>
          <w:sz w:val="32"/>
          <w:szCs w:val="32"/>
          <w:lang w:eastAsia="zh-CN"/>
        </w:rPr>
        <w:t>。</w:t>
      </w:r>
    </w:p>
    <w:p w14:paraId="6C070C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年初预算为0.00万元，支出决算为3.72万元，决算数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14:paraId="3346146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9、住房保障支出（类）住房改革支出（款）住房公积金（项）</w:t>
      </w:r>
      <w:r>
        <w:rPr>
          <w:rFonts w:hint="eastAsia" w:ascii="仿宋_GB2312" w:hAnsi="仿宋_GB2312" w:eastAsia="仿宋_GB2312" w:cs="仿宋_GB2312"/>
          <w:sz w:val="32"/>
          <w:szCs w:val="32"/>
          <w:lang w:eastAsia="zh-CN"/>
        </w:rPr>
        <w:t>。</w:t>
      </w:r>
    </w:p>
    <w:p w14:paraId="761A78C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年初预算为5.04万元，支出决算为5.04万元，完成年初预算的100.00%，决算数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D79AB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42726A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年度财政拨款基本支出87.4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w:t>
      </w:r>
    </w:p>
    <w:p w14:paraId="3B6AB5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80.61万元，占基本支出的92.20%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p>
    <w:p w14:paraId="58D69B5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6.82万元，占基本支出的7.80%，主要包括办公费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03187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7BF3397">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82303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D3A742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2023年度国有资本经营预算财政拨款收入0.00万元；年初结转和结余0.00万元；支出0.00万元；年末结转和结余0.00万元。</w:t>
      </w:r>
    </w:p>
    <w:p w14:paraId="1A2542F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0D8B2F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8A8A2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万元，支出决算为0.24万元，完成预算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rPr>
        <w:t>与上年相比增加0.03万元，增长14.29%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。其中：</w:t>
      </w:r>
    </w:p>
    <w:p w14:paraId="6BB181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因公出国（境）费支出预算为0.00万元，支出决算为0.00万元，决算数等于预算数，主要原因是我单位严格按预算执行决算；与上年一致，无增减变动，主要原因是未安排因公出国（境）活动。</w:t>
      </w:r>
    </w:p>
    <w:p w14:paraId="41EDFC3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w:t>
      </w:r>
    </w:p>
    <w:p w14:paraId="4AFF40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公务用车购置费支出预算为0.00万元，支出决算为0.00万元，决算数等于预算数，主要原因是我单位严格按预算执行决算；与上年一致，无增减变动，主要原因是两年均未购置公务用车。</w:t>
      </w:r>
    </w:p>
    <w:p w14:paraId="45148C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公务用车运行维护费支出预算为0.00万元，支出决算为0.00万元，决算数等于预算数，主要原因是我单位严格按预算执行决算；与上年一致，无增减变动，主要原因是两年均无公务用车需要运行维护。</w:t>
      </w:r>
    </w:p>
    <w:p w14:paraId="35248C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EADF2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w:t>
      </w:r>
    </w:p>
    <w:p w14:paraId="5F38975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1、因公出国（境）费支出决算为0万元，全年安排因公出国（境）团组0个，累计0人次，我单位2023年度无因公出国（境）费支出。</w:t>
      </w:r>
    </w:p>
    <w:p w14:paraId="39F628F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2、公务接待费支出决算为0.24万元，全年共接待来访团组2个、来宾12人次，主要是督导突出生态环境问题整改、上级部门督查发生的接待支出。</w:t>
      </w:r>
    </w:p>
    <w:p w14:paraId="2F9C6D26">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default"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公务用车购置费及运行维护费支出决算为0.00万元，其中：公务用车购置费0.00万元，当年没有购置公务用车。公务用车运行维护费0.00万元，截至2023年12月31日，我单位开支财政拨款的公务用车保有量为0辆。</w:t>
      </w:r>
    </w:p>
    <w:p w14:paraId="36F6D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180B113">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年度机关运行经费支出6.82万元，比上年决算数减少1.51万元，减少18.13%。主要原因是：印刷费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减少</w:t>
      </w:r>
      <w:r>
        <w:rPr>
          <w:rFonts w:hint="eastAsia" w:ascii="楷体" w:hAnsi="楷体" w:eastAsia="楷体" w:cs="楷体"/>
          <w:sz w:val="32"/>
          <w:szCs w:val="32"/>
        </w:rPr>
        <w:t>。</w:t>
      </w:r>
    </w:p>
    <w:p w14:paraId="3126A58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2E9DFB6">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3年度，会议费年初预算0.00万元，支出决算为0.00万元。用于召开0次会议，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lang w:val="en-US" w:eastAsia="zh-CN"/>
        </w:rPr>
        <w:t>本单位无会议费的预算和支出决算数</w:t>
      </w:r>
    </w:p>
    <w:p w14:paraId="19FFA681">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培训费年初预算0.00万元，支出决算为0.00万元。用于开展0次培训，人数0人，内容为无。本单位无培训费的预算和支出决算数</w:t>
      </w:r>
    </w:p>
    <w:p w14:paraId="345C4327">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举办节庆、晚会、论坛、赛事活动年初预算0.00万元，支出决算为0.00万元。本单位无举办节庆、晚会、论坛、赛事等活动的预算和支出决算数。</w:t>
      </w:r>
    </w:p>
    <w:p w14:paraId="150EB2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7DBCA6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年度政府采购支出总额91.95万元，其中：政府采购货物支出3.77万元、政府采购工程支出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万元、政府采购服务支出88.18万元。授予中小企业合同金额91.95万元，占政府采购支出总额的</w:t>
      </w:r>
      <w:r>
        <w:rPr>
          <w:rFonts w:hint="eastAsia" w:ascii="仿宋_GB2312" w:hAnsi="仿宋_GB2312" w:eastAsia="仿宋_GB2312" w:cs="仿宋_GB2312"/>
          <w:sz w:val="32"/>
          <w:szCs w:val="32"/>
          <w:lang w:eastAsia="zh-CN"/>
        </w:rPr>
        <w:t>100.00</w:t>
      </w:r>
      <w:r>
        <w:rPr>
          <w:rFonts w:hint="eastAsia" w:ascii="仿宋_GB2312" w:hAnsi="仿宋_GB2312" w:eastAsia="仿宋_GB2312" w:cs="仿宋_GB2312"/>
          <w:sz w:val="32"/>
          <w:szCs w:val="32"/>
        </w:rPr>
        <w:t>%，其中：授予小微企业合同金额91.95万元，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w:t>
      </w:r>
    </w:p>
    <w:p w14:paraId="0A97EF2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972F33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3AB44C1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A5EB86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07956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6C695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127.96万元，政府性基金预算支出0.00万元，国有资本经营预算支出0.00万元。从评价情况来看，整体支出绩效评价中，2023年整体支出159.44万元，其中：基本支出118.90万元，项目支出40.54万元，本单位整体支出绩效自评综合评分99分，评价结果等次为优秀</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w:t>
      </w:r>
    </w:p>
    <w:p w14:paraId="3268DC1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0个，共涉及资金0.00万元，占一般公共预算项目支出总额的0.00%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本单位无重点项目绩效，未开展项目绩效自评，无项目绩效自评结果。</w:t>
      </w:r>
    </w:p>
    <w:p w14:paraId="729D715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FAEE00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164.57万元，执行数为159.44万元，完成预算的96.88%。绩效目标完成情况：一是抓好抓实突出生态环境问题整改工作；二是完成污染防治攻坚战“夏季攻势”任务；三是生态环境部长调研反馈问题制定整改方案，推进问题整改；四是狠抓环境执法监管；五是完善健全保障措施，全面优化服务升级。</w:t>
      </w:r>
    </w:p>
    <w:p w14:paraId="2F6B2E8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A9173B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发现的主要问题及原因：一是目前各级政府部门均未设置预算绩效管理部门，无人员配备，大部分是由财务人员兼职，时间和精力分配不足；二是绩效评价工作人员不仅需要掌握财经知识，还要熟悉相关政策、了解财政、预算、项目业务，这就要求必须具备管理学、法学、统计学、工程学等方面的知识，并持续更新知识体系；三是第三方评价机构对行业部门业务不熟，技术支撑力量不足，需要积极开展培育并引导规范。</w:t>
      </w:r>
    </w:p>
    <w:p w14:paraId="35ABD27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加快基层队伍建设，提高绩效意识和管理人员专业水平。增设专门的机构来对预算绩效做管理，并配置相应的人员编制，引入第三方机构，并做好专家和第三方机构的交流和监管；二是强化专业培训，工作调研，学习交流等措施，培养“一专多能”的复合型人才，重点让主要领导和分管负责人参与到培训中来。</w:t>
      </w:r>
    </w:p>
    <w:p w14:paraId="010BCCA3">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CF9FCC3">
      <w:pPr>
        <w:rPr>
          <w:sz w:val="72"/>
          <w:szCs w:val="72"/>
        </w:rPr>
      </w:pPr>
      <w:r>
        <w:rPr>
          <w:sz w:val="72"/>
          <w:szCs w:val="72"/>
        </w:rPr>
        <w:br w:type="page"/>
      </w:r>
    </w:p>
    <w:p w14:paraId="2913DF71">
      <w:pPr>
        <w:pStyle w:val="12"/>
        <w:jc w:val="both"/>
        <w:rPr>
          <w:sz w:val="72"/>
          <w:szCs w:val="72"/>
        </w:rPr>
      </w:pPr>
    </w:p>
    <w:p w14:paraId="5FA81F2A">
      <w:pPr>
        <w:pStyle w:val="12"/>
        <w:jc w:val="center"/>
        <w:rPr>
          <w:sz w:val="72"/>
          <w:szCs w:val="72"/>
        </w:rPr>
      </w:pPr>
    </w:p>
    <w:p w14:paraId="15DA7079">
      <w:pPr>
        <w:pStyle w:val="12"/>
        <w:jc w:val="center"/>
        <w:rPr>
          <w:rFonts w:hint="eastAsia" w:ascii="方正小标宋_GBK" w:hAnsi="方正小标宋_GBK" w:eastAsia="方正小标宋_GBK" w:cs="方正小标宋_GBK"/>
          <w:sz w:val="70"/>
          <w:szCs w:val="70"/>
          <w:lang w:eastAsia="zh-CN"/>
        </w:rPr>
      </w:pPr>
    </w:p>
    <w:p w14:paraId="21150DA2">
      <w:pPr>
        <w:pStyle w:val="12"/>
        <w:jc w:val="center"/>
        <w:rPr>
          <w:rFonts w:hint="eastAsia" w:ascii="方正小标宋_GBK" w:hAnsi="方正小标宋_GBK" w:eastAsia="方正小标宋_GBK" w:cs="方正小标宋_GBK"/>
          <w:sz w:val="70"/>
          <w:szCs w:val="70"/>
          <w:lang w:eastAsia="zh-CN"/>
        </w:rPr>
      </w:pPr>
    </w:p>
    <w:p w14:paraId="0922C360">
      <w:pPr>
        <w:pStyle w:val="12"/>
        <w:jc w:val="center"/>
        <w:rPr>
          <w:rFonts w:hint="eastAsia" w:ascii="方正小标宋_GBK" w:hAnsi="方正小标宋_GBK" w:eastAsia="方正小标宋_GBK" w:cs="方正小标宋_GBK"/>
          <w:sz w:val="72"/>
          <w:szCs w:val="72"/>
        </w:rPr>
      </w:pPr>
    </w:p>
    <w:p w14:paraId="34B6BF15">
      <w:pPr>
        <w:pStyle w:val="12"/>
        <w:jc w:val="center"/>
        <w:rPr>
          <w:rFonts w:hint="eastAsia" w:ascii="方正小标宋_GBK" w:hAnsi="方正小标宋_GBK" w:eastAsia="方正小标宋_GBK" w:cs="方正小标宋_GBK"/>
          <w:sz w:val="72"/>
          <w:szCs w:val="72"/>
        </w:rPr>
      </w:pPr>
    </w:p>
    <w:p w14:paraId="057A33A7">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5A9C771">
      <w:pPr>
        <w:jc w:val="center"/>
        <w:rPr>
          <w:rFonts w:hint="eastAsia" w:ascii="方正小标宋_GBK" w:hAnsi="方正小标宋_GBK" w:eastAsia="方正小标宋_GBK" w:cs="方正小标宋_GBK"/>
          <w:color w:val="000000"/>
          <w:kern w:val="0"/>
          <w:sz w:val="70"/>
          <w:szCs w:val="70"/>
        </w:rPr>
      </w:pPr>
    </w:p>
    <w:p w14:paraId="06CA8375">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28C64BA">
      <w:pPr>
        <w:pStyle w:val="2"/>
      </w:pPr>
    </w:p>
    <w:p w14:paraId="7E439FC8">
      <w:pPr>
        <w:pStyle w:val="3"/>
      </w:pPr>
    </w:p>
    <w:p w14:paraId="1F5E2730"/>
    <w:p w14:paraId="4B36C75C">
      <w:pPr>
        <w:pStyle w:val="2"/>
      </w:pPr>
    </w:p>
    <w:p w14:paraId="69266B21">
      <w:pPr>
        <w:pStyle w:val="3"/>
      </w:pPr>
    </w:p>
    <w:p w14:paraId="085809D6"/>
    <w:p w14:paraId="6EE5A8FC">
      <w:pPr>
        <w:pStyle w:val="2"/>
      </w:pPr>
    </w:p>
    <w:p w14:paraId="45EE1E1B">
      <w:pPr>
        <w:pStyle w:val="3"/>
      </w:pPr>
    </w:p>
    <w:p w14:paraId="36DD715E"/>
    <w:p w14:paraId="65A6CD92">
      <w:pPr>
        <w:pStyle w:val="2"/>
      </w:pPr>
    </w:p>
    <w:p w14:paraId="7738E5A3">
      <w:pPr>
        <w:pStyle w:val="3"/>
      </w:pPr>
    </w:p>
    <w:p w14:paraId="00ED0000"/>
    <w:p w14:paraId="2647CFFB">
      <w:pPr>
        <w:pStyle w:val="2"/>
      </w:pPr>
    </w:p>
    <w:p w14:paraId="0B31F95B">
      <w:pPr>
        <w:pStyle w:val="3"/>
      </w:pPr>
    </w:p>
    <w:p w14:paraId="7F3B5A3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一、财政拨款收入：指本级财政当年拨付的资金。其他收入：指除上述“财政拨款收入”、“上级补助收入”、“事业收入”、“经营收入”、“附属单位上缴收入”等以外的收入。</w:t>
      </w:r>
    </w:p>
    <w:p w14:paraId="45189E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二、上年结转和结余：指以前年度尚未完成、结转到本年按有关规定继续使用的资金。</w:t>
      </w:r>
    </w:p>
    <w:p w14:paraId="63DE55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23BEF0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578DE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五、卫生健康支出（类）：是指用于医疗卫生与计划生育方面的支出，包括保障机构正常运转、完成日常和特定的工作任务或事业发展目标的支出。</w:t>
      </w:r>
    </w:p>
    <w:p w14:paraId="7E7B94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六、节能环保支出（类）：是指用于节能环保支出，包括保障机构正常运转、完成日常和特定的工作任务或事业发展目标的支出。</w:t>
      </w:r>
    </w:p>
    <w:p w14:paraId="76C628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七、其他支出（类）：是指用于反映除上述项目以外其他不能划分到具体功能科目中的支出项目，包括保障机构正常运转、完成日常和特定的工作任务或事业发展目标的支出。</w:t>
      </w:r>
    </w:p>
    <w:p w14:paraId="7EE1E4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八、基本支出：指保障机构正常运转、完成日常工作任务而发生的人员支出和公用支出。</w:t>
      </w:r>
    </w:p>
    <w:p w14:paraId="123223B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九、项目支出：指在基本支出之外为完成特定行政任务和事业发展目标所发生的支出。</w:t>
      </w:r>
    </w:p>
    <w:p w14:paraId="109AA3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28A6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BC6F4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十二、工资福利支出：反映单位开支的在职职工和编制外长期聘用人员的各类劳动报酬，以及为上述人员缴纳的各项社会保险费等。</w:t>
      </w:r>
    </w:p>
    <w:p w14:paraId="59875CA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72A8CC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十四、津贴补贴：反映经国家批准建立的机关事业单位艰苦边远地区津贴、机关工作人员地区附加津贴、机关工作人员岗位津贴、事业单位工作人员特殊岗位津贴补贴等。</w:t>
      </w:r>
    </w:p>
    <w:p w14:paraId="1A6A7DB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17D08F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十六、伙食补助费：反映单位发给职工的伙食补助费，如误餐补助等。绩效工资：反映事业单位工作人员的绩效工资。</w:t>
      </w:r>
    </w:p>
    <w:p w14:paraId="5B64F5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十七、机关事业单位基本养老保险缴费：反映机关事业单位缴纳的基本养老保险费。由单位代扣的工作人员基本养老保险缴费，不在此科目反映。</w:t>
      </w:r>
    </w:p>
    <w:p w14:paraId="7288489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十八、职业年金缴费：反映机关事业单位实际缴纳的职业年金支出。由单位代扣的工作人员职业年金缴费，不在此科目反映。</w:t>
      </w:r>
    </w:p>
    <w:p w14:paraId="5FD250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十九、职工基本医疗保险缴费：反映单位为职工缴纳的基本医疗保险费。</w:t>
      </w:r>
    </w:p>
    <w:p w14:paraId="12A8BC4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二十、其他社会保障缴费：反映单位为职工缴纳的基本医疗、失业、工伤、生育等社会保险费，残疾人就业保障金，军队（含武警）为军人缴纳的伤亡、退役医疗等社会保险费。</w:t>
      </w:r>
    </w:p>
    <w:p w14:paraId="475D624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二十一、住房公积金：反映行政事业单位按人力资源和社会保障部、财政部规定的基本工资和津贴补贴以及规定比例为职工缴纳的住房公积金。</w:t>
      </w:r>
    </w:p>
    <w:p w14:paraId="5D37F45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二十二、医疗费：反映未参加医疗保险单位的医疗经费和单位按规定为职工支出的其他医疗费用。</w:t>
      </w:r>
    </w:p>
    <w:p w14:paraId="5630A3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8EEA3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二十四、商品和服务支出：反映单位购买商品和服务的支出（不包括用于购置固定资产的支出、战略性和应急储备支出）。</w:t>
      </w:r>
    </w:p>
    <w:p w14:paraId="2BC749A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二十五、办公费：反映单位购买按财务会计制度规定不符合固定资产确认标准的日常办公用品、书报杂志等支出。</w:t>
      </w:r>
    </w:p>
    <w:p w14:paraId="0FB946A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二十六、印刷费：反映单位的印刷费支出。</w:t>
      </w:r>
    </w:p>
    <w:p w14:paraId="34F671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二十七、咨询费：反映单位咨询方面的支出。</w:t>
      </w:r>
    </w:p>
    <w:p w14:paraId="3766286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二十八、水费：反映单位支付的水费、污水处理费等支出。</w:t>
      </w:r>
    </w:p>
    <w:p w14:paraId="28B1330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二十九、电费：反映单位的电费支出。</w:t>
      </w:r>
    </w:p>
    <w:p w14:paraId="19B226A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三十、邮电费：反映单位开支的信函、包裹、货物等物品的邮寄费及电话费、电报费、传真费、网络通信费等。</w:t>
      </w:r>
    </w:p>
    <w:p w14:paraId="23544A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三十一、差旅费：反映单位工作人员出差发生的城市间交通费、住宿费、伙食补贴费和市内交通费。</w:t>
      </w:r>
    </w:p>
    <w:p w14:paraId="16CE5C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三十二、维修（护）费：反映单位日常开支的固定资产（不包括车船等交通工具）修理和维护费用，网络信息系统运行与维护费用，以及按规定提取的修购基金。</w:t>
      </w:r>
    </w:p>
    <w:p w14:paraId="2E6D186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三十三、会议费：反映会议中按规定开支的住宿费、伙食费、会议室租金、交通费、文件印刷费、医药费等。</w:t>
      </w:r>
    </w:p>
    <w:p w14:paraId="43D422B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三十四、培训费：反映除因公出国（境）培训费以外的各类培训支出。</w:t>
      </w:r>
    </w:p>
    <w:p w14:paraId="0B8938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三十五、公务接待费：反映单位按规定开支的各类公务接待（含外宾接待）费用。</w:t>
      </w:r>
    </w:p>
    <w:p w14:paraId="03D7690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三十六、专用燃料费：反映用作业务工作设备的车、船设施等的油料支出。</w:t>
      </w:r>
    </w:p>
    <w:p w14:paraId="7405B0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三十七、劳务费：反映支付给单位和个人的劳务费用，如临时聘用人员、钟点工工资，稿费、翻译费，评审费等。</w:t>
      </w:r>
    </w:p>
    <w:p w14:paraId="79421C5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三十八、工会经费：反映单位按规定提取的工会经费。</w:t>
      </w:r>
    </w:p>
    <w:p w14:paraId="046F7A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三十九、公务用车运行维护费：反映单位按规定保留的公务用车燃料费、维修费、过桥过路费、保险费、安全奖励费用等支出。</w:t>
      </w:r>
    </w:p>
    <w:p w14:paraId="01EFD4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四十、其他交通费用：反映单位除公务用车运行维护费以外的其他交通费用。如公务交通补贴，租车费用、出租车费用，飞机、船舶等的燃料费、维修费、保险费等。</w:t>
      </w:r>
    </w:p>
    <w:p w14:paraId="04CE96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四十一、其他商品和服务支出：反映上述科目未包括的日常公用支出。如行政赔偿费和诉讼费、国内组织的会员费、来访费、广告宣传、其他劳务费及离休人员特需费、公用经费等。</w:t>
      </w:r>
    </w:p>
    <w:p w14:paraId="5B23EC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四十二、对个人和家庭的补助：反映政府用于对个人和家庭的补助支出。</w:t>
      </w:r>
    </w:p>
    <w:p w14:paraId="367C4D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四十三、退休费：反映行政事业单位和军队移交政府安置的退休人员的退休费和其他补贴。</w:t>
      </w:r>
    </w:p>
    <w:p w14:paraId="20DFEB7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四十四、抚恤金：反映按规定开支的烈士遗属、牺牲病故人员遗属的一次性和定期抚恤金，伤残人员的抚恤金，离退休人员等其他人员的各项抚恤金。</w:t>
      </w:r>
    </w:p>
    <w:p w14:paraId="52F70C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DDAC9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753D0959">
      <w:r>
        <w:br w:type="page"/>
      </w:r>
    </w:p>
    <w:p w14:paraId="4027297B"/>
    <w:p w14:paraId="6EF484AB"/>
    <w:p w14:paraId="07807899">
      <w:pPr>
        <w:pStyle w:val="2"/>
      </w:pPr>
    </w:p>
    <w:p w14:paraId="6D57211C">
      <w:pPr>
        <w:pStyle w:val="3"/>
      </w:pPr>
    </w:p>
    <w:p w14:paraId="67BC7EDB"/>
    <w:p w14:paraId="7067501B">
      <w:pPr>
        <w:pStyle w:val="2"/>
      </w:pPr>
    </w:p>
    <w:p w14:paraId="7EC111BC">
      <w:pPr>
        <w:pStyle w:val="3"/>
      </w:pPr>
    </w:p>
    <w:p w14:paraId="39CF89CF"/>
    <w:p w14:paraId="49A5387E">
      <w:pPr>
        <w:pStyle w:val="2"/>
      </w:pPr>
    </w:p>
    <w:p w14:paraId="5985AD77">
      <w:pPr>
        <w:pStyle w:val="3"/>
      </w:pPr>
    </w:p>
    <w:p w14:paraId="041E6BD2"/>
    <w:p w14:paraId="35ED92BE">
      <w:pPr>
        <w:pStyle w:val="2"/>
      </w:pPr>
    </w:p>
    <w:p w14:paraId="1C8CEF98">
      <w:pPr>
        <w:pStyle w:val="3"/>
      </w:pPr>
    </w:p>
    <w:p w14:paraId="7E82C58D"/>
    <w:p w14:paraId="187F1E0A">
      <w:pPr>
        <w:pStyle w:val="2"/>
      </w:pPr>
    </w:p>
    <w:p w14:paraId="66F9A8C3">
      <w:pPr>
        <w:pStyle w:val="3"/>
      </w:pPr>
    </w:p>
    <w:p w14:paraId="29D6BE9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876FA4A">
      <w:pPr>
        <w:pStyle w:val="12"/>
        <w:jc w:val="both"/>
        <w:rPr>
          <w:rFonts w:hint="eastAsia" w:ascii="方正小标宋_GBK" w:hAnsi="方正小标宋_GBK" w:eastAsia="方正小标宋_GBK" w:cs="方正小标宋_GBK"/>
          <w:sz w:val="70"/>
          <w:szCs w:val="70"/>
          <w:lang w:eastAsia="zh-CN"/>
        </w:rPr>
      </w:pPr>
    </w:p>
    <w:p w14:paraId="74DCD97F">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DA96C97">
      <w:pPr>
        <w:ind w:firstLine="640" w:firstLineChars="200"/>
        <w:jc w:val="left"/>
        <w:rPr>
          <w:rFonts w:hint="eastAsia" w:ascii="宋体" w:hAnsi="宋体" w:eastAsia="宋体" w:cs="黑体"/>
          <w:b/>
          <w:color w:val="000000"/>
          <w:kern w:val="0"/>
          <w:sz w:val="32"/>
          <w:szCs w:val="32"/>
          <w:lang w:val="en-US" w:eastAsia="zh-CN"/>
        </w:rPr>
      </w:pPr>
    </w:p>
    <w:p w14:paraId="3792E12A">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4DE221C">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DF128FA"/>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mZGJhMWRjNGU5ZWI3NGM4YTY5YTM4ZDFmOTAwYTA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33E8"/>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3CEF"/>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14051C"/>
    <w:rsid w:val="059958AD"/>
    <w:rsid w:val="06907A1C"/>
    <w:rsid w:val="06B5358E"/>
    <w:rsid w:val="0BD93533"/>
    <w:rsid w:val="0C547201"/>
    <w:rsid w:val="0EE00C4F"/>
    <w:rsid w:val="0F97049A"/>
    <w:rsid w:val="10525806"/>
    <w:rsid w:val="108368F1"/>
    <w:rsid w:val="122D61C5"/>
    <w:rsid w:val="12583BA5"/>
    <w:rsid w:val="1288550F"/>
    <w:rsid w:val="13BA5B9C"/>
    <w:rsid w:val="152D1682"/>
    <w:rsid w:val="15377BDA"/>
    <w:rsid w:val="176B039E"/>
    <w:rsid w:val="1825158B"/>
    <w:rsid w:val="1D97DEFF"/>
    <w:rsid w:val="1D9E2BD6"/>
    <w:rsid w:val="1DFF72E5"/>
    <w:rsid w:val="1EFC6F07"/>
    <w:rsid w:val="1F84077E"/>
    <w:rsid w:val="1FCC441A"/>
    <w:rsid w:val="202B5867"/>
    <w:rsid w:val="213B2D62"/>
    <w:rsid w:val="22AC03C2"/>
    <w:rsid w:val="22BF75F9"/>
    <w:rsid w:val="24A51623"/>
    <w:rsid w:val="263A4113"/>
    <w:rsid w:val="27944EBF"/>
    <w:rsid w:val="28812CD5"/>
    <w:rsid w:val="2B6346D1"/>
    <w:rsid w:val="2C3F4B36"/>
    <w:rsid w:val="2C7A7C7F"/>
    <w:rsid w:val="2C7D37B3"/>
    <w:rsid w:val="2D546C0A"/>
    <w:rsid w:val="2E62058C"/>
    <w:rsid w:val="2ED574E0"/>
    <w:rsid w:val="2F180DCC"/>
    <w:rsid w:val="2FCA605E"/>
    <w:rsid w:val="2FDF85B8"/>
    <w:rsid w:val="2FFFEE04"/>
    <w:rsid w:val="308A7926"/>
    <w:rsid w:val="31154145"/>
    <w:rsid w:val="311F0D7B"/>
    <w:rsid w:val="31C95635"/>
    <w:rsid w:val="34121F1A"/>
    <w:rsid w:val="34DF85B0"/>
    <w:rsid w:val="34ED3F49"/>
    <w:rsid w:val="34EE524E"/>
    <w:rsid w:val="35A62AF2"/>
    <w:rsid w:val="36275C0F"/>
    <w:rsid w:val="36567B2B"/>
    <w:rsid w:val="38F60B75"/>
    <w:rsid w:val="3A8B49E9"/>
    <w:rsid w:val="3B8F36BC"/>
    <w:rsid w:val="3CFE02A5"/>
    <w:rsid w:val="3D1D03C0"/>
    <w:rsid w:val="3D6F4456"/>
    <w:rsid w:val="3DFF2665"/>
    <w:rsid w:val="40697DEF"/>
    <w:rsid w:val="40967654"/>
    <w:rsid w:val="439B5094"/>
    <w:rsid w:val="44E224C1"/>
    <w:rsid w:val="463651F7"/>
    <w:rsid w:val="46B04A59"/>
    <w:rsid w:val="476F76B3"/>
    <w:rsid w:val="479A122F"/>
    <w:rsid w:val="47E250E6"/>
    <w:rsid w:val="491FF225"/>
    <w:rsid w:val="49C43D23"/>
    <w:rsid w:val="4A766712"/>
    <w:rsid w:val="4AF3227A"/>
    <w:rsid w:val="4DA56CF1"/>
    <w:rsid w:val="4DF83F9C"/>
    <w:rsid w:val="4E585CC5"/>
    <w:rsid w:val="4F960564"/>
    <w:rsid w:val="4FFD214C"/>
    <w:rsid w:val="50EA4D7B"/>
    <w:rsid w:val="51D71999"/>
    <w:rsid w:val="5352765A"/>
    <w:rsid w:val="53BD1982"/>
    <w:rsid w:val="53E81E61"/>
    <w:rsid w:val="55710874"/>
    <w:rsid w:val="5777D4F5"/>
    <w:rsid w:val="590B3D71"/>
    <w:rsid w:val="59DD8326"/>
    <w:rsid w:val="5B7D6BB3"/>
    <w:rsid w:val="5CCE08FE"/>
    <w:rsid w:val="5DEF592A"/>
    <w:rsid w:val="5FC6BB1E"/>
    <w:rsid w:val="5FF720F1"/>
    <w:rsid w:val="6117523F"/>
    <w:rsid w:val="619C4100"/>
    <w:rsid w:val="62C24CCF"/>
    <w:rsid w:val="67FF5C0B"/>
    <w:rsid w:val="69DE2637"/>
    <w:rsid w:val="6AA85D1E"/>
    <w:rsid w:val="6ADB2BCF"/>
    <w:rsid w:val="6BAA4A2F"/>
    <w:rsid w:val="6C8824A7"/>
    <w:rsid w:val="6CE7438A"/>
    <w:rsid w:val="6CF41256"/>
    <w:rsid w:val="6D1E5959"/>
    <w:rsid w:val="6EFC0924"/>
    <w:rsid w:val="6F415205"/>
    <w:rsid w:val="6FB74722"/>
    <w:rsid w:val="6FEF8B7E"/>
    <w:rsid w:val="708256CB"/>
    <w:rsid w:val="71A6591B"/>
    <w:rsid w:val="737D59BA"/>
    <w:rsid w:val="737F32B1"/>
    <w:rsid w:val="73FA4066"/>
    <w:rsid w:val="74DD722A"/>
    <w:rsid w:val="76D161A2"/>
    <w:rsid w:val="77C37683"/>
    <w:rsid w:val="781C22A1"/>
    <w:rsid w:val="796306F0"/>
    <w:rsid w:val="79FF515B"/>
    <w:rsid w:val="7AAE4A24"/>
    <w:rsid w:val="7C0526B8"/>
    <w:rsid w:val="7D154658"/>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8335</Words>
  <Characters>8985</Characters>
  <Lines>63</Lines>
  <Paragraphs>18</Paragraphs>
  <TotalTime>0</TotalTime>
  <ScaleCrop>false</ScaleCrop>
  <LinksUpToDate>false</LinksUpToDate>
  <CharactersWithSpaces>8995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2025-08-25T07:16:08Z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27BB16846435422193EFB5B4569E747D_13</vt:lpwstr>
  </property>
  <property fmtid="{D5CDD505-2E9C-101B-9397-08002B2CF9AE}" pid="4" name="KSOTemplateDocerSaveRecord">
    <vt:lpwstr>eyJoZGlkIjoiNjgxZmIyZGM1NjlmYzFmNTczZGVkNWYyNWIwMGFjMmUiLCJ1c2VySWQiOiIyOTMyNjEyNDMifQ==</vt:lpwstr>
  </property>
</Properties>
</file>