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F88F4">
      <w:pPr>
        <w:pStyle w:val="12"/>
        <w:jc w:val="center"/>
        <w:rPr>
          <w:sz w:val="56"/>
          <w:szCs w:val="56"/>
        </w:rPr>
      </w:pPr>
    </w:p>
    <w:p w14:paraId="0AC653CA">
      <w:pPr>
        <w:pStyle w:val="12"/>
        <w:jc w:val="center"/>
        <w:rPr>
          <w:sz w:val="56"/>
          <w:szCs w:val="56"/>
        </w:rPr>
      </w:pPr>
    </w:p>
    <w:p w14:paraId="4814DD35">
      <w:pPr>
        <w:pStyle w:val="12"/>
        <w:jc w:val="center"/>
        <w:rPr>
          <w:sz w:val="84"/>
          <w:szCs w:val="84"/>
        </w:rPr>
      </w:pPr>
    </w:p>
    <w:p w14:paraId="28DAA47D">
      <w:pPr>
        <w:pStyle w:val="12"/>
        <w:jc w:val="center"/>
        <w:rPr>
          <w:sz w:val="84"/>
          <w:szCs w:val="84"/>
        </w:rPr>
      </w:pPr>
    </w:p>
    <w:p w14:paraId="0DA4A26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7843E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岳阳市生态环境局云溪分局单位决算</w:t>
      </w:r>
    </w:p>
    <w:p w14:paraId="101DC1C5">
      <w:pPr>
        <w:pStyle w:val="12"/>
        <w:jc w:val="center"/>
        <w:rPr>
          <w:rFonts w:hint="eastAsia" w:ascii="方正小标宋_GBK" w:hAnsi="方正小标宋_GBK" w:eastAsia="方正小标宋_GBK" w:cs="方正小标宋_GBK"/>
          <w:sz w:val="56"/>
          <w:szCs w:val="56"/>
        </w:rPr>
      </w:pPr>
    </w:p>
    <w:p w14:paraId="04113FF3">
      <w:pPr>
        <w:pStyle w:val="12"/>
        <w:jc w:val="center"/>
        <w:rPr>
          <w:sz w:val="56"/>
          <w:szCs w:val="56"/>
        </w:rPr>
      </w:pPr>
    </w:p>
    <w:p w14:paraId="54BC74EC">
      <w:pPr>
        <w:pStyle w:val="12"/>
        <w:jc w:val="center"/>
        <w:rPr>
          <w:sz w:val="56"/>
          <w:szCs w:val="56"/>
        </w:rPr>
      </w:pPr>
    </w:p>
    <w:p w14:paraId="510F766F">
      <w:pPr>
        <w:pStyle w:val="12"/>
        <w:jc w:val="center"/>
        <w:rPr>
          <w:sz w:val="56"/>
          <w:szCs w:val="56"/>
        </w:rPr>
      </w:pPr>
    </w:p>
    <w:p w14:paraId="5B30425E">
      <w:pPr>
        <w:pStyle w:val="12"/>
        <w:jc w:val="center"/>
        <w:rPr>
          <w:sz w:val="32"/>
          <w:szCs w:val="32"/>
        </w:rPr>
      </w:pPr>
    </w:p>
    <w:p w14:paraId="3E9479F4">
      <w:pPr>
        <w:pStyle w:val="12"/>
        <w:jc w:val="center"/>
        <w:rPr>
          <w:sz w:val="32"/>
          <w:szCs w:val="32"/>
        </w:rPr>
      </w:pPr>
    </w:p>
    <w:p w14:paraId="476DE5D0">
      <w:pPr>
        <w:pStyle w:val="12"/>
        <w:spacing w:line="540" w:lineRule="exact"/>
        <w:jc w:val="both"/>
        <w:rPr>
          <w:sz w:val="56"/>
          <w:szCs w:val="56"/>
        </w:rPr>
      </w:pPr>
    </w:p>
    <w:p w14:paraId="61CE87A8">
      <w:pPr>
        <w:pStyle w:val="12"/>
        <w:spacing w:line="500" w:lineRule="exact"/>
        <w:jc w:val="both"/>
        <w:rPr>
          <w:b/>
          <w:sz w:val="36"/>
          <w:szCs w:val="28"/>
        </w:rPr>
      </w:pPr>
    </w:p>
    <w:p w14:paraId="18D9A8C2">
      <w:pPr>
        <w:pStyle w:val="12"/>
        <w:spacing w:line="500" w:lineRule="exact"/>
        <w:jc w:val="center"/>
        <w:rPr>
          <w:b/>
          <w:sz w:val="36"/>
          <w:szCs w:val="28"/>
        </w:rPr>
      </w:pPr>
      <w:r>
        <w:rPr>
          <w:rFonts w:hint="eastAsia"/>
          <w:b/>
          <w:sz w:val="36"/>
          <w:szCs w:val="28"/>
        </w:rPr>
        <w:t>目录</w:t>
      </w:r>
    </w:p>
    <w:p w14:paraId="0081126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岳阳市生态环境局云溪分局单位概况</w:t>
      </w:r>
    </w:p>
    <w:p w14:paraId="35C773A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188BF64">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914FF0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E5BFD6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0F1AB3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7EA76D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A766C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29C5A8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01F715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2B3EFE4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134F59A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E36B57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3903C15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21BCF97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D5F414A">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32139A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D077A8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3D2EAF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008EEC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6279CD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36779A3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0DEC61D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6CFCA54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4A866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C6ED68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1B4C47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4249B12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5DB075F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0941B0E">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22CF508">
      <w:pPr>
        <w:pStyle w:val="12"/>
        <w:jc w:val="center"/>
        <w:rPr>
          <w:rFonts w:hint="eastAsia" w:ascii="方正小标宋_GBK" w:hAnsi="方正小标宋_GBK" w:eastAsia="方正小标宋_GBK" w:cs="方正小标宋_GBK"/>
          <w:sz w:val="84"/>
          <w:szCs w:val="84"/>
        </w:rPr>
      </w:pPr>
    </w:p>
    <w:p w14:paraId="1AC56EFF">
      <w:pPr>
        <w:pStyle w:val="12"/>
        <w:jc w:val="center"/>
        <w:rPr>
          <w:rFonts w:hint="eastAsia" w:ascii="方正小标宋_GBK" w:hAnsi="方正小标宋_GBK" w:eastAsia="方正小标宋_GBK" w:cs="方正小标宋_GBK"/>
          <w:sz w:val="84"/>
          <w:szCs w:val="84"/>
        </w:rPr>
      </w:pPr>
    </w:p>
    <w:p w14:paraId="2CFCBEF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2FDD164">
      <w:pPr>
        <w:pStyle w:val="12"/>
        <w:jc w:val="center"/>
        <w:rPr>
          <w:rFonts w:hint="eastAsia" w:ascii="方正小标宋_GBK" w:hAnsi="方正小标宋_GBK" w:eastAsia="方正小标宋_GBK" w:cs="方正小标宋_GBK"/>
          <w:sz w:val="84"/>
          <w:szCs w:val="84"/>
        </w:rPr>
      </w:pPr>
    </w:p>
    <w:p w14:paraId="6E3194E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岳阳市生态环境局云溪分局单位概况</w:t>
      </w:r>
    </w:p>
    <w:p w14:paraId="20549661">
      <w:pPr>
        <w:pStyle w:val="7"/>
        <w:rPr>
          <w:rFonts w:hint="eastAsia" w:ascii="方正小标宋_GBK" w:hAnsi="方正小标宋_GBK" w:eastAsia="方正小标宋_GBK" w:cs="方正小标宋_GBK"/>
          <w:sz w:val="84"/>
          <w:szCs w:val="84"/>
        </w:rPr>
      </w:pPr>
    </w:p>
    <w:p w14:paraId="546B926F">
      <w:pPr>
        <w:pStyle w:val="3"/>
        <w:rPr>
          <w:rFonts w:hint="eastAsia" w:ascii="方正小标宋_GBK" w:hAnsi="方正小标宋_GBK" w:eastAsia="方正小标宋_GBK" w:cs="方正小标宋_GBK"/>
          <w:sz w:val="84"/>
          <w:szCs w:val="84"/>
        </w:rPr>
      </w:pPr>
    </w:p>
    <w:p w14:paraId="434D96AD">
      <w:pPr>
        <w:pStyle w:val="3"/>
        <w:ind w:left="0" w:leftChars="0" w:firstLine="0" w:firstLineChars="0"/>
        <w:rPr>
          <w:rFonts w:hint="eastAsia" w:ascii="方正小标宋_GBK" w:hAnsi="方正小标宋_GBK" w:eastAsia="方正小标宋_GBK" w:cs="方正小标宋_GBK"/>
          <w:sz w:val="84"/>
          <w:szCs w:val="84"/>
        </w:rPr>
      </w:pPr>
    </w:p>
    <w:p w14:paraId="350BF47D">
      <w:pPr>
        <w:rPr>
          <w:rFonts w:hint="eastAsia"/>
        </w:rPr>
      </w:pPr>
    </w:p>
    <w:p w14:paraId="638B76AF">
      <w:pPr>
        <w:pStyle w:val="7"/>
        <w:rPr>
          <w:rFonts w:hint="eastAsia"/>
        </w:rPr>
      </w:pPr>
    </w:p>
    <w:p w14:paraId="307EB3D3">
      <w:pPr>
        <w:pStyle w:val="3"/>
        <w:rPr>
          <w:rFonts w:hint="eastAsia"/>
        </w:rPr>
      </w:pPr>
    </w:p>
    <w:p w14:paraId="6AD0100D">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617D8F2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（一）受市生态环境局委托，承担辖区内的生态环境相关工作；承担市生态环境局和县委、县政府交办的其他任务。</w:t>
      </w:r>
    </w:p>
    <w:p w14:paraId="2695F2F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全区生态环境问题的统筹协调和监督管理。牵头协调环境污染事故和生态破坏事件的调查处理，指导协调对突发生态环境事件的应急、预警工作，牵头实施生态环境损害赔偿制度，协调解决环境污染纠纷；统筹协调区域、流域生态环境保护工作。</w:t>
      </w:r>
    </w:p>
    <w:p w14:paraId="6D56712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环境污染防治的监督管理。组织拟订大气、水、土壤、噪声、光、恶臭、固体废物、重金属、化学品、机动车等的污染防治管理制度并监督实施。会同有关部门监督管理饮用水水源地生态环境保护工作，组织指导城乡生态环境综合整治工作，监督指导农业面源污染治理工作。监督指导区域大气环境保护工作，按照国家、省统一部署，做好区域大气污染联防联控协作工作。</w:t>
      </w:r>
    </w:p>
    <w:p w14:paraId="442AAAE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组织指导和协调生态环境宣传教育工作，贯彻实施生态环境保护宣传教育纲要，推动社会组织和公众参与生态环境保护。开展生态环境科技工作，组织生态环境科学研究和技术工程示范、生态环境技术管理体系建设。</w:t>
      </w:r>
    </w:p>
    <w:p w14:paraId="33411972">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CEB1C75">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内设机构设置。岳阳市生态环境局云溪分局（岳阳市云溪生态环境保护综合行政执法局）机关核定全额拨款事业编制23名，实有人数为14人，退休人员27人。其中：局长1名、副局长2名、专职执法副局长1名。内设机构包括：办公室、财务室、管理股、审批股、固废股、综合室、排污权交易办公室、综合行政执法大队8个相关股室。</w:t>
      </w:r>
    </w:p>
    <w:p w14:paraId="2E7763A4">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（二）决算单位构成。岳阳市生态环境局云溪分局2022年部门决算公开单位构成包括：岳阳市生态环境局云溪分局本级，无独立核算的下属单位。</w:t>
      </w:r>
    </w:p>
    <w:p w14:paraId="45B3EA29"/>
    <w:p w14:paraId="0556574C">
      <w:pPr>
        <w:pStyle w:val="7"/>
      </w:pPr>
    </w:p>
    <w:p w14:paraId="45F678FE">
      <w:pPr>
        <w:pStyle w:val="3"/>
      </w:pPr>
    </w:p>
    <w:p w14:paraId="3D4CBB11"/>
    <w:p w14:paraId="7FDD2474">
      <w:pPr>
        <w:pStyle w:val="7"/>
      </w:pPr>
    </w:p>
    <w:p w14:paraId="367E2EB0">
      <w:pPr>
        <w:pStyle w:val="3"/>
      </w:pPr>
    </w:p>
    <w:p w14:paraId="164DA356">
      <w:pPr>
        <w:pStyle w:val="7"/>
      </w:pPr>
    </w:p>
    <w:p w14:paraId="25557D8D">
      <w:pPr>
        <w:pStyle w:val="3"/>
      </w:pPr>
    </w:p>
    <w:p w14:paraId="1F876C92">
      <w:pPr>
        <w:pStyle w:val="3"/>
        <w:ind w:left="0" w:leftChars="0" w:firstLine="0" w:firstLineChars="0"/>
      </w:pPr>
    </w:p>
    <w:p w14:paraId="7E6C04CB">
      <w:pPr>
        <w:pStyle w:val="12"/>
        <w:jc w:val="center"/>
        <w:rPr>
          <w:rFonts w:hint="eastAsia" w:ascii="方正小标宋_GBK" w:hAnsi="方正小标宋_GBK" w:eastAsia="方正小标宋_GBK" w:cs="方正小标宋_GBK"/>
          <w:sz w:val="84"/>
          <w:szCs w:val="84"/>
        </w:rPr>
      </w:pPr>
    </w:p>
    <w:p w14:paraId="0314C67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EA1D2CF">
      <w:pPr>
        <w:pStyle w:val="12"/>
        <w:jc w:val="center"/>
        <w:rPr>
          <w:rFonts w:hint="eastAsia" w:ascii="方正小标宋_GBK" w:hAnsi="方正小标宋_GBK" w:eastAsia="方正小标宋_GBK" w:cs="方正小标宋_GBK"/>
          <w:sz w:val="84"/>
          <w:szCs w:val="84"/>
        </w:rPr>
      </w:pPr>
    </w:p>
    <w:p w14:paraId="44ECA0F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0B7393E">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1106488">
      <w:pPr>
        <w:pStyle w:val="12"/>
        <w:jc w:val="center"/>
        <w:rPr>
          <w:rFonts w:hint="eastAsia" w:ascii="仿宋_GB2312" w:hAnsi="仿宋_GB2312" w:eastAsia="仿宋_GB2312" w:cs="仿宋_GB2312"/>
          <w:b w:val="0"/>
          <w:bCs w:val="0"/>
          <w:sz w:val="72"/>
          <w:szCs w:val="72"/>
          <w:lang w:eastAsia="zh-CN"/>
        </w:rPr>
      </w:pPr>
    </w:p>
    <w:p w14:paraId="62F3F225">
      <w:pPr>
        <w:pStyle w:val="12"/>
        <w:jc w:val="center"/>
        <w:rPr>
          <w:rFonts w:hint="eastAsia" w:ascii="仿宋_GB2312" w:hAnsi="仿宋_GB2312" w:eastAsia="仿宋_GB2312" w:cs="仿宋_GB2312"/>
          <w:b w:val="0"/>
          <w:bCs w:val="0"/>
          <w:sz w:val="72"/>
          <w:szCs w:val="72"/>
          <w:lang w:eastAsia="zh-CN"/>
        </w:rPr>
      </w:pPr>
    </w:p>
    <w:p w14:paraId="4D36808E">
      <w:pPr>
        <w:pStyle w:val="12"/>
        <w:jc w:val="center"/>
        <w:rPr>
          <w:rFonts w:hint="eastAsia" w:ascii="仿宋_GB2312" w:hAnsi="仿宋_GB2312" w:eastAsia="仿宋_GB2312" w:cs="仿宋_GB2312"/>
          <w:b w:val="0"/>
          <w:bCs w:val="0"/>
          <w:sz w:val="72"/>
          <w:szCs w:val="72"/>
          <w:lang w:eastAsia="zh-CN"/>
        </w:rPr>
      </w:pPr>
    </w:p>
    <w:p w14:paraId="46C2B97A">
      <w:pPr>
        <w:pStyle w:val="12"/>
        <w:jc w:val="center"/>
        <w:rPr>
          <w:rFonts w:hint="eastAsia" w:ascii="仿宋_GB2312" w:hAnsi="仿宋_GB2312" w:eastAsia="仿宋_GB2312" w:cs="仿宋_GB2312"/>
          <w:b w:val="0"/>
          <w:bCs w:val="0"/>
          <w:sz w:val="72"/>
          <w:szCs w:val="72"/>
          <w:lang w:eastAsia="zh-CN"/>
        </w:rPr>
      </w:pPr>
    </w:p>
    <w:p w14:paraId="044AE188">
      <w:pPr>
        <w:pStyle w:val="12"/>
        <w:jc w:val="center"/>
        <w:rPr>
          <w:rFonts w:hint="eastAsia" w:ascii="仿宋_GB2312" w:hAnsi="仿宋_GB2312" w:eastAsia="仿宋_GB2312" w:cs="仿宋_GB2312"/>
          <w:b w:val="0"/>
          <w:bCs w:val="0"/>
          <w:sz w:val="72"/>
          <w:szCs w:val="72"/>
          <w:lang w:eastAsia="zh-CN"/>
        </w:rPr>
      </w:pPr>
    </w:p>
    <w:p w14:paraId="1435456D">
      <w:pPr>
        <w:pStyle w:val="12"/>
        <w:jc w:val="center"/>
        <w:rPr>
          <w:rFonts w:hint="eastAsia" w:ascii="仿宋_GB2312" w:hAnsi="仿宋_GB2312" w:eastAsia="仿宋_GB2312" w:cs="仿宋_GB2312"/>
          <w:b w:val="0"/>
          <w:bCs w:val="0"/>
          <w:sz w:val="72"/>
          <w:szCs w:val="72"/>
          <w:lang w:eastAsia="zh-CN"/>
        </w:rPr>
      </w:pPr>
    </w:p>
    <w:p w14:paraId="4D0265D3">
      <w:pPr>
        <w:pStyle w:val="12"/>
        <w:jc w:val="center"/>
        <w:rPr>
          <w:rFonts w:hint="eastAsia" w:ascii="仿宋_GB2312" w:hAnsi="仿宋_GB2312" w:eastAsia="仿宋_GB2312" w:cs="仿宋_GB2312"/>
          <w:b w:val="0"/>
          <w:bCs w:val="0"/>
          <w:sz w:val="72"/>
          <w:szCs w:val="72"/>
          <w:lang w:eastAsia="zh-CN"/>
        </w:rPr>
      </w:pPr>
    </w:p>
    <w:p w14:paraId="1E14BCE7">
      <w:pPr>
        <w:pStyle w:val="12"/>
        <w:jc w:val="both"/>
        <w:rPr>
          <w:rFonts w:hint="eastAsia" w:ascii="方正小标宋_GBK" w:hAnsi="方正小标宋_GBK" w:eastAsia="方正小标宋_GBK" w:cs="方正小标宋_GBK"/>
          <w:sz w:val="72"/>
          <w:szCs w:val="72"/>
        </w:rPr>
      </w:pPr>
    </w:p>
    <w:p w14:paraId="35889265">
      <w:pPr>
        <w:pStyle w:val="12"/>
        <w:jc w:val="both"/>
        <w:rPr>
          <w:rFonts w:hint="eastAsia" w:ascii="方正小标宋_GBK" w:hAnsi="方正小标宋_GBK" w:eastAsia="方正小标宋_GBK" w:cs="方正小标宋_GBK"/>
          <w:sz w:val="72"/>
          <w:szCs w:val="72"/>
        </w:rPr>
      </w:pPr>
    </w:p>
    <w:p w14:paraId="4C440F2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433172A">
      <w:pPr>
        <w:pStyle w:val="12"/>
        <w:jc w:val="center"/>
        <w:rPr>
          <w:rFonts w:hint="eastAsia" w:ascii="方正小标宋_GBK" w:hAnsi="方正小标宋_GBK" w:eastAsia="方正小标宋_GBK" w:cs="方正小标宋_GBK"/>
          <w:sz w:val="70"/>
          <w:szCs w:val="70"/>
        </w:rPr>
      </w:pPr>
    </w:p>
    <w:p w14:paraId="3BA25FB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CDDF226">
      <w:pPr>
        <w:pStyle w:val="12"/>
        <w:jc w:val="center"/>
        <w:rPr>
          <w:rFonts w:hint="eastAsia" w:ascii="方正小标宋_GBK" w:hAnsi="方正小标宋_GBK" w:eastAsia="方正小标宋_GBK" w:cs="方正小标宋_GBK"/>
          <w:sz w:val="70"/>
          <w:szCs w:val="70"/>
        </w:rPr>
      </w:pPr>
    </w:p>
    <w:p w14:paraId="7899D3FC">
      <w:pPr>
        <w:pStyle w:val="12"/>
        <w:jc w:val="center"/>
        <w:rPr>
          <w:rFonts w:hint="eastAsia" w:ascii="方正小标宋_GBK" w:hAnsi="方正小标宋_GBK" w:eastAsia="方正小标宋_GBK" w:cs="方正小标宋_GBK"/>
          <w:sz w:val="70"/>
          <w:szCs w:val="70"/>
        </w:rPr>
      </w:pPr>
    </w:p>
    <w:p w14:paraId="7962333A">
      <w:pPr>
        <w:pStyle w:val="12"/>
        <w:jc w:val="center"/>
        <w:rPr>
          <w:rFonts w:hint="eastAsia" w:ascii="方正小标宋_GBK" w:hAnsi="方正小标宋_GBK" w:eastAsia="方正小标宋_GBK" w:cs="方正小标宋_GBK"/>
          <w:sz w:val="70"/>
          <w:szCs w:val="70"/>
        </w:rPr>
      </w:pPr>
    </w:p>
    <w:p w14:paraId="0F7FE01F">
      <w:pPr>
        <w:pStyle w:val="12"/>
        <w:jc w:val="center"/>
        <w:rPr>
          <w:rFonts w:hint="eastAsia" w:ascii="方正小标宋_GBK" w:hAnsi="方正小标宋_GBK" w:eastAsia="方正小标宋_GBK" w:cs="方正小标宋_GBK"/>
          <w:sz w:val="70"/>
          <w:szCs w:val="70"/>
        </w:rPr>
      </w:pPr>
    </w:p>
    <w:p w14:paraId="182650AD">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B5ABFE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48BEA9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年度收、支总计363.69万元。与上年相比，减少81.93万元，减少18.39%，主要是因为节能环保支出基本支出减少。</w:t>
      </w:r>
    </w:p>
    <w:p w14:paraId="30D8A3B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9416FE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年度收入合计363.68万元，其中：财政拨款收入358.46万元，占98.56%；上级补助收入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%；其他收入5.22万元，占</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w:t>
      </w:r>
    </w:p>
    <w:p w14:paraId="0BD58F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A3C64A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年度支出合计363.69万元，其中：基本支出311.60万元，占85.68%；项目支出52.09万元，占14.32%；上缴上级支出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15E274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1044462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年度财政拨款收、支总计358.47万元，与上年相比，减少37.71万元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减少9.52%，主要是因为节能环保支出基本支出减少。</w:t>
      </w:r>
    </w:p>
    <w:p w14:paraId="165FCB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3F0691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690FCE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年度财政拨款支出358.47万元，占本年支出合计的98.56%，与上年相比，财政拨款支出减少37.71万元，减少9.52%，主要是因为节能环保支出基本支出减少。</w:t>
      </w:r>
    </w:p>
    <w:p w14:paraId="3B4417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5AF358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年度财政拨款支出358.47万元，主要用于以下方面：社会保障和就业支出15.2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万元，占4.24%；卫生健康支出13.84万元，占3.86%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节能环保支出314.0</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万元，占87.61%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住房保障支出15.37万元，占4.29%;</w:t>
      </w:r>
    </w:p>
    <w:p w14:paraId="0EBCB12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6234A70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年度财政拨款支出年初预算数为261.99万元，支出决算数为358.47万元，完成年初预算的136.8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%，其中：</w:t>
      </w:r>
    </w:p>
    <w:p w14:paraId="0422E87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286CC3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年初预算为15.21万元，支出决算为15.21万元，完成年初预算的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56614A2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2C7F26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年初预算为7.99万元，支出决算为7.99万元，完成年初预算的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53F639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089AABB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年初预算为9.65万元，支出决算为5.85万元，完成年初预算的</w:t>
      </w:r>
      <w:r>
        <w:rPr>
          <w:rFonts w:hint="eastAsia" w:ascii="仿宋_GB2312" w:hAnsi="仿宋_GB2312" w:eastAsia="仿宋_GB2312" w:cs="仿宋_GB2312"/>
          <w:sz w:val="32"/>
          <w:szCs w:val="32"/>
          <w:lang w:val="en-US" w:eastAsia="zh-CN"/>
        </w:rPr>
        <w:t>60.62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年内人员变动，人员经费调整。</w:t>
      </w:r>
    </w:p>
    <w:p w14:paraId="243412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74D6BDE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年初预算为203.7</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万元，支出决算为196.</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96.63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合理控制经费支出。</w:t>
      </w:r>
    </w:p>
    <w:p w14:paraId="35AF523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、节能环保支出（类）环境保护管理事务（款）一般行政管理事务（项）。</w:t>
      </w:r>
    </w:p>
    <w:p w14:paraId="5E43B71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年初预算为10.00万元，支出决算为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会计核算时调整，计入其他科目。</w:t>
      </w:r>
    </w:p>
    <w:p w14:paraId="5D7E39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、节能环保支出（类）环境保护管理事务（款）其他环境保护管理事务支出（项）。</w:t>
      </w:r>
    </w:p>
    <w:p w14:paraId="2C543BD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30.94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3AC9EEC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、节能环保支出（类）环境监测与监察（款）其他环境监测与监察支出（项）。</w:t>
      </w:r>
    </w:p>
    <w:p w14:paraId="1AAFBC8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11.46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w:t>
      </w:r>
      <w:r>
        <w:rPr>
          <w:rFonts w:hint="eastAsia" w:ascii="仿宋_GB2312" w:hAnsi="仿宋_GB2312" w:eastAsia="仿宋_GB2312" w:cs="仿宋_GB2312"/>
          <w:sz w:val="32"/>
          <w:szCs w:val="32"/>
          <w:lang w:eastAsia="zh-CN"/>
        </w:rPr>
        <w:t>出年初未做预算。</w:t>
      </w:r>
    </w:p>
    <w:p w14:paraId="2FD56B3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3116077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48.38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年初预算数的主要原因是：生态环境执法监察</w:t>
      </w:r>
      <w:r>
        <w:rPr>
          <w:rFonts w:hint="eastAsia" w:ascii="仿宋_GB2312" w:hAnsi="仿宋_GB2312" w:eastAsia="仿宋_GB2312" w:cs="仿宋_GB2312"/>
          <w:sz w:val="32"/>
          <w:szCs w:val="32"/>
          <w:lang w:eastAsia="zh-CN"/>
        </w:rPr>
        <w:t>支出年初未做预算。</w:t>
      </w:r>
    </w:p>
    <w:p w14:paraId="1F22B93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2343CBD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26.38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年初预算数的主要原因是：其他节能环保支出</w:t>
      </w:r>
      <w:r>
        <w:rPr>
          <w:rFonts w:hint="eastAsia" w:ascii="仿宋_GB2312" w:hAnsi="仿宋_GB2312" w:eastAsia="仿宋_GB2312" w:cs="仿宋_GB2312"/>
          <w:sz w:val="32"/>
          <w:szCs w:val="32"/>
          <w:lang w:eastAsia="zh-CN"/>
        </w:rPr>
        <w:t>年初未做预算。</w:t>
      </w:r>
    </w:p>
    <w:p w14:paraId="73A7E60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0EDB655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年初预算为15.37万元，支出决算为</w:t>
      </w:r>
      <w:r>
        <w:rPr>
          <w:rFonts w:hint="eastAsia" w:ascii="仿宋_GB2312" w:hAnsi="仿宋_GB2312" w:eastAsia="仿宋_GB2312" w:cs="仿宋_GB2312"/>
          <w:sz w:val="32"/>
          <w:szCs w:val="32"/>
          <w:lang w:val="en-US" w:eastAsia="zh-CN"/>
        </w:rPr>
        <w:t>15.37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0B61A10D">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2168EF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年度财政拨款基本支出306.38万元，其中：</w:t>
      </w:r>
    </w:p>
    <w:p w14:paraId="5E93C38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261.84万元，占基本支出的85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奖励金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37395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44.54万元，占基本支出的14.54%%，主要办公费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其他商品和服务支出</w:t>
      </w:r>
      <w:r>
        <w:rPr>
          <w:rFonts w:hint="eastAsia" w:ascii="仿宋_GB2312" w:hAnsi="仿宋_GB2312" w:eastAsia="仿宋_GB2312" w:cs="仿宋_GB2312"/>
          <w:sz w:val="32"/>
          <w:szCs w:val="32"/>
          <w:lang w:eastAsia="zh-CN"/>
        </w:rPr>
        <w:t>。</w:t>
      </w:r>
    </w:p>
    <w:p w14:paraId="41C6791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64DA9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14294A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43FAFE7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5CFA6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6943FF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“三公”经费财政拨款支出预算为4.00万元，支出决算为3.50万元，完成预算的87.5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与上年相比减少0.52万元，减少12.9</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6BD0F11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3AC82CC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无公务接待</w:t>
      </w:r>
      <w:r>
        <w:rPr>
          <w:rFonts w:hint="eastAsia" w:ascii="仿宋_GB2312" w:hAnsi="仿宋_GB2312" w:eastAsia="仿宋_GB2312" w:cs="仿宋_GB2312"/>
          <w:sz w:val="32"/>
          <w:szCs w:val="32"/>
        </w:rPr>
        <w:t>费支出，与上年相比减少</w:t>
      </w:r>
      <w:r>
        <w:rPr>
          <w:rFonts w:hint="eastAsia" w:ascii="仿宋_GB2312" w:hAnsi="仿宋_GB2312" w:eastAsia="仿宋_GB2312" w:cs="仿宋_GB2312"/>
          <w:sz w:val="32"/>
          <w:szCs w:val="32"/>
          <w:lang w:val="en-US" w:eastAsia="zh-CN"/>
        </w:rPr>
        <w:t>0.54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厉行节约，严格控制公务招待费支出。</w:t>
      </w:r>
    </w:p>
    <w:p w14:paraId="035C7D9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33C8F1D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116.67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于预算数的主要原因是</w:t>
      </w:r>
      <w:r>
        <w:rPr>
          <w:rFonts w:hint="eastAsia" w:ascii="Times New Roman" w:hAnsi="Times New Roman" w:eastAsia="仿宋_GB2312"/>
          <w:sz w:val="32"/>
          <w:szCs w:val="32"/>
          <w:highlight w:val="none"/>
          <w:lang w:val="en-US" w:eastAsia="zh-CN"/>
        </w:rPr>
        <w:t>部门交流活动用到公务用车次数增多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0.02</w:t>
      </w:r>
      <w:r>
        <w:rPr>
          <w:rFonts w:hint="eastAsia" w:ascii="仿宋_GB2312" w:hAnsi="仿宋_GB2312" w:eastAsia="仿宋_GB2312" w:cs="仿宋_GB2312"/>
          <w:sz w:val="32"/>
          <w:szCs w:val="32"/>
        </w:rPr>
        <w:t>万元，增长0.57%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公务用车运行维护费用增加</w:t>
      </w:r>
      <w:r>
        <w:rPr>
          <w:rFonts w:hint="eastAsia" w:ascii="仿宋_GB2312" w:hAnsi="仿宋_GB2312" w:eastAsia="仿宋_GB2312" w:cs="仿宋_GB2312"/>
          <w:sz w:val="32"/>
          <w:szCs w:val="32"/>
        </w:rPr>
        <w:t>。</w:t>
      </w:r>
    </w:p>
    <w:p w14:paraId="2DFC1A7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689EF9C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w:t>
      </w:r>
    </w:p>
    <w:p w14:paraId="41D8A79B">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4EF50DEB">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eastAsia="zh-CN"/>
        </w:rPr>
        <w:t>公务接待费</w:t>
      </w:r>
      <w:r>
        <w:rPr>
          <w:rFonts w:hint="eastAsia" w:ascii="仿宋_GB2312" w:hAnsi="仿宋_GB2312" w:eastAsia="仿宋_GB2312" w:cs="仿宋_GB2312"/>
          <w:sz w:val="32"/>
          <w:szCs w:val="32"/>
        </w:rPr>
        <w:t>支出。</w:t>
      </w:r>
    </w:p>
    <w:p w14:paraId="79E32B1C">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万元，主要是公</w:t>
      </w:r>
      <w:r>
        <w:rPr>
          <w:rFonts w:hint="eastAsia" w:ascii="Times New Roman" w:hAnsi="Times New Roman" w:eastAsia="仿宋_GB2312"/>
          <w:sz w:val="32"/>
          <w:szCs w:val="32"/>
        </w:rPr>
        <w:t>执法车</w:t>
      </w:r>
      <w:r>
        <w:rPr>
          <w:rFonts w:hint="eastAsia" w:ascii="Times New Roman" w:hAnsi="Times New Roman" w:eastAsia="仿宋_GB2312"/>
          <w:sz w:val="32"/>
          <w:szCs w:val="32"/>
          <w:lang w:eastAsia="zh-CN"/>
        </w:rPr>
        <w:t>加油</w:t>
      </w:r>
      <w:r>
        <w:rPr>
          <w:rFonts w:hint="eastAsia" w:ascii="Times New Roman" w:hAnsi="Times New Roman" w:eastAsia="仿宋_GB2312"/>
          <w:sz w:val="32"/>
          <w:szCs w:val="32"/>
        </w:rPr>
        <w:t>、维修</w:t>
      </w:r>
      <w:r>
        <w:rPr>
          <w:rFonts w:hint="eastAsia" w:ascii="Times New Roman" w:hAnsi="Times New Roman" w:eastAsia="仿宋_GB2312"/>
          <w:sz w:val="32"/>
          <w:szCs w:val="32"/>
          <w:lang w:eastAsia="zh-CN"/>
        </w:rPr>
        <w:t>、保险</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7CCA63F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0AA7F4A2">
      <w:pPr>
        <w:pStyle w:val="12"/>
        <w:ind w:firstLine="640" w:firstLineChars="200"/>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年度机关运行经费支出44.54万元，比上年决算数增加9.71 万元，增长27.88%。主要原因是：</w:t>
      </w:r>
      <w:r>
        <w:rPr>
          <w:rFonts w:hint="eastAsia" w:ascii="仿宋_GB2312" w:hAnsi="仿宋_GB2312" w:eastAsia="仿宋_GB2312" w:cs="仿宋_GB2312"/>
          <w:sz w:val="32"/>
          <w:szCs w:val="32"/>
          <w:lang w:eastAsia="zh-CN"/>
        </w:rPr>
        <w:t>工会经费的增加。</w:t>
      </w:r>
    </w:p>
    <w:p w14:paraId="5E7BAC1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03C5B47">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sz w:val="32"/>
          <w:szCs w:val="32"/>
          <w:lang w:val="en-US" w:eastAsia="zh-CN"/>
        </w:rPr>
        <w:t>。本单位无会议费的预算和支出决算数</w:t>
      </w:r>
      <w:r>
        <w:rPr>
          <w:rFonts w:hint="eastAsia" w:ascii="仿宋_GB2312" w:hAnsi="仿宋_GB2312" w:eastAsia="仿宋_GB2312" w:cs="仿宋_GB2312"/>
          <w:sz w:val="32"/>
          <w:szCs w:val="32"/>
          <w:lang w:eastAsia="zh-CN"/>
        </w:rPr>
        <w:t>。</w:t>
      </w:r>
    </w:p>
    <w:p w14:paraId="52DD6F1C">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。本单位无培训费的预算和支出决算数。</w:t>
      </w:r>
    </w:p>
    <w:p w14:paraId="306766F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5B4A13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9EAC37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2023年度政府采购支出总额0万元，其中：政府采购货物支出0万元、政府采购工程支出0万元、政府采购服务支出0万元。授予中小企业合同金额0万元（由于政府采购支出总额为0，故无法计算占政府采购支出总额的比重），其中：授予小微企业合同金额0万元（由于授予中小企业合同金额为0，故无法计算占授予中小企业合同金额的比重）。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14:paraId="1BE5070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AC429D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本单位共有车辆1辆，其中，主要领导干部用车0辆，机要通信用车0辆、应急保障用车0辆、执法执勤用车0辆、特种专业技术用车0辆、其他用车1辆，其他用车主要是用于机要通信和应急保障之外公务用途的车辆；单位价值50万元以上通用设备0台；单位价值100万元以上专用设备0台。</w:t>
      </w:r>
    </w:p>
    <w:p w14:paraId="6108A04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C06D8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966450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2010A1F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358.46万元，政府性基金预算支出0.00万元，国有资本经营预算支出0.00万元。从评价情况来看，整体支出绩效评价中，2023年整体支出363.68万元，其中：基本支出311.59万元，项目支出52.09万元，本单位整体支出绩效自评综合评分100分，评价结果等次为优秀</w:t>
      </w:r>
      <w:bookmarkStart w:id="1" w:name="_GoBack"/>
      <w:bookmarkEnd w:id="1"/>
      <w:r>
        <w:rPr>
          <w:rFonts w:hint="eastAsia" w:ascii="仿宋_GB2312" w:hAnsi="仿宋_GB2312" w:eastAsia="仿宋_GB2312" w:cs="仿宋_GB2312"/>
          <w:b w:val="0"/>
          <w:bCs w:val="0"/>
          <w:color w:val="000000"/>
          <w:kern w:val="0"/>
          <w:sz w:val="32"/>
          <w:szCs w:val="32"/>
          <w:lang w:val="en-US" w:eastAsia="zh-CN" w:bidi="ar-SA"/>
        </w:rPr>
        <w:t>。</w:t>
      </w:r>
    </w:p>
    <w:p w14:paraId="0D4DDC9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组织对一般公共预算项目支出全面开展绩效自评，项目1个，共涉及资金37.90万元，占一般公共预算项目支出总额的72.76%。</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组织对政府性基金预算项目支出开展绩效自评，项目0个，共涉及资金0万元，</w:t>
      </w:r>
      <w:bookmarkStart w:id="0" w:name="_Hlk177808070"/>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由于政府性基金预算项目支出总额为0，故无法计算占</w:t>
      </w:r>
      <w:bookmarkEnd w:id="0"/>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政府性基金预算项目支出总额的比重。组织对国有资本经营预算项目支出开展绩效自评，项目0个，共涉及资金0万元，由于国有资本经营预算项目支出总额为0，故无法计算占国有资本经营预算项目支出总额的比重。</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从评价情况来看，项目绩效自评得分100分，评价结果等次为优秀。</w:t>
      </w:r>
    </w:p>
    <w:p w14:paraId="20ED6EA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9761F9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 分。全年预算数为363.68万元，执行数为363.68万元，完成预算的138.81%。绩效目标完成情况：（一）全面落实2023年《政府工作报告》目标任务</w:t>
      </w:r>
    </w:p>
    <w:p w14:paraId="7300867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长江、双花水库等考核断面水质优良率方面。2023年以来，我区地表水考核断面总体水质达标率为100%，长江陆城断面、城陵矶断面以及县级备用饮用水水源地双花水库水质长期稳定在二类标准，芭蕉湖断面水质基本达到三类标准。</w:t>
      </w:r>
    </w:p>
    <w:p w14:paraId="1D5DD2D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2.洞庭湖总磷污染控制与削减攻坚行动开展方面。高新区智慧园区平台提质改造项目建设已基本完成，正协调园区企业接入各自信息，并对园区公共区域端口进行联网通电工作。</w:t>
      </w:r>
    </w:p>
    <w:p w14:paraId="4EC53C6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3.空气质量达标方面。截至2023年11月，我区城区空气质量优良率为86.4%，PM2.5、PM10平均浓度分别为32微克/立方米、53微克/立方米，各主要污染因子均达到国家二级标准。</w:t>
      </w:r>
    </w:p>
    <w:p w14:paraId="0986AF8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4.生态环境违法举报奖励制度建立与落实情况。严格贯彻落实好市局《关于印发&lt;岳阳市生态环境违法行为举报奖励办法&gt;的通知》文件要求，今年已发放3起有奖举报奖金2000元。下步将进一步加大宣传力度，确保奖励办法落实落地落细。</w:t>
      </w:r>
    </w:p>
    <w:p w14:paraId="564D5F7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（二）持续深入开展污染防治攻坚战</w:t>
      </w:r>
    </w:p>
    <w:p w14:paraId="7F997D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污染防治攻坚战“夏季攻势”方面。“夏季攻势”任务清单共5大类51项工作任务，已全面完成整改销号。治水方面。对全区13条重要河湖定期进行水质监测，河湖水质均稳定在三类水质；扎实开展长江入河排污口整改工作。治气方面。强化重点时段重点区域洒水频次，督促重点企业完成挥发性有机物泄漏检测与修复工作；开展大气污染防治特护期执法专项检查，并及时整治。治土方面。配合开展企业用地土壤污染状况调查，督促重点企业完成地块布点采样方案编制，并通过市级审查；绿色化改造项目已完成改造进度50%以上。</w:t>
      </w:r>
    </w:p>
    <w:p w14:paraId="2D5E4C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（三）着重狠抓生态环境监管执法</w:t>
      </w:r>
    </w:p>
    <w:p w14:paraId="0DC93AB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积极推进“双随机”执法机制，深化生态环境领域行刑衔接，坚决打击环境违法犯罪行为，严格落实信访工作机制，及时答复率100%，群众满意率99.7%，切实解决了一批群众困扰的生态环境问题。</w:t>
      </w:r>
    </w:p>
    <w:p w14:paraId="6EB693A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B617C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主要问题及原因：（一）预算编制有待加强，存在追加经费较多现象，预算编制的精确性有待进一步提高。</w:t>
      </w:r>
    </w:p>
    <w:p w14:paraId="74CA30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（二）绩效管理的运用意识有待提高。针对这些不足，我单位将积极采取改进措施，持续改进，不断规范和强化管理。</w:t>
      </w:r>
    </w:p>
    <w:p w14:paraId="07F497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生态环境治理能力有短板。一是工作力量长期短缺。生态环境执法人员少，目前全局共有编制23人，其中机关13人，执法大队10人，目前在编在岗共计14人，执法人员仅3人，空编7人，且受生态环境领域垂改未完成影响，已近5年未招录新进公务员。二是环境管理水平有待提高。装备资金缺口大，尚无法匹配执法规范化建设有关要求，环境执法现代化、科技化、数字化水平有待提升。三是统筹推进突出环境问题整改能力有欠缺。区生环委会及其办公室尚未配备专门办公地点、办公人员及办公经费，目前仅靠环保一家，推动整改工作力度不够、推进缓慢。</w:t>
      </w:r>
    </w:p>
    <w:p w14:paraId="135AD47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环境质量改善基础不牢固。高新区环保基础设施有短板，雨水管网不规范、环保管理检查力度不够、配套污水处理能力不足等问题依然突出；区域内偶发性异味扰民问题依然存在，城区及周边危货车辆敞盖运输时有发生，监管及系统治理力度有待加强；天顺化工、青山油剂等历史遗留污染地块修复所需资金缺口大、治理难度较大。</w:t>
      </w:r>
    </w:p>
    <w:p w14:paraId="4633E765">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kern w:val="0"/>
          <w:sz w:val="32"/>
          <w:szCs w:val="32"/>
          <w:lang w:val="en-US" w:eastAsia="zh-CN" w:bidi="ar-SA"/>
        </w:rPr>
        <w:t>下一步改进措施：</w:t>
      </w: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（一）严格按照《中华人民共和国预算法》及相关制度，根据本单位实际情况并结合以前年度支出情况，综合考虑相关因素，申报年初预算，提高单位预算编制水平。</w:t>
      </w:r>
    </w:p>
    <w:p w14:paraId="60BBFD5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（二）定期对绩效目标执行进度进行监控，及时掌握资金支付进度，确保财政资金发挥效益。</w:t>
      </w:r>
    </w:p>
    <w:p w14:paraId="249731F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（三）</w:t>
      </w:r>
      <w:r>
        <w:rPr>
          <w:rFonts w:hint="default"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2024年，我分局将深入贯彻落实习近平新时代中国特色社会主义思想和党的二十大会议精神，紧紧围绕省、市、区环保工作部署，永不懈怠，一往无前，谋深谋实，推动我区生态环境工作取得新成效，为加快打造中部地区最大石化产业基地彰显新作为、贡献新力量。</w:t>
      </w:r>
    </w:p>
    <w:p w14:paraId="5BD385A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5776580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71E20F6A">
      <w:pPr>
        <w:pStyle w:val="12"/>
        <w:jc w:val="center"/>
        <w:rPr>
          <w:rFonts w:hint="eastAsia" w:ascii="方正小标宋_GBK" w:hAnsi="方正小标宋_GBK" w:eastAsia="方正小标宋_GBK" w:cs="方正小标宋_GBK"/>
          <w:sz w:val="70"/>
          <w:szCs w:val="70"/>
          <w:lang w:eastAsia="zh-CN"/>
        </w:rPr>
      </w:pPr>
    </w:p>
    <w:p w14:paraId="624E2A3E">
      <w:pPr>
        <w:pStyle w:val="12"/>
        <w:jc w:val="center"/>
        <w:rPr>
          <w:rFonts w:hint="eastAsia" w:ascii="方正小标宋_GBK" w:hAnsi="方正小标宋_GBK" w:eastAsia="方正小标宋_GBK" w:cs="方正小标宋_GBK"/>
          <w:sz w:val="72"/>
          <w:szCs w:val="72"/>
        </w:rPr>
      </w:pPr>
    </w:p>
    <w:p w14:paraId="2C3C6784">
      <w:pPr>
        <w:pStyle w:val="12"/>
        <w:jc w:val="center"/>
        <w:rPr>
          <w:rFonts w:hint="eastAsia" w:ascii="方正小标宋_GBK" w:hAnsi="方正小标宋_GBK" w:eastAsia="方正小标宋_GBK" w:cs="方正小标宋_GBK"/>
          <w:sz w:val="72"/>
          <w:szCs w:val="72"/>
        </w:rPr>
      </w:pPr>
    </w:p>
    <w:p w14:paraId="344CCAB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0F48CB8">
      <w:pPr>
        <w:jc w:val="center"/>
        <w:rPr>
          <w:rFonts w:hint="eastAsia" w:ascii="方正小标宋_GBK" w:hAnsi="方正小标宋_GBK" w:eastAsia="方正小标宋_GBK" w:cs="方正小标宋_GBK"/>
          <w:color w:val="000000"/>
          <w:kern w:val="0"/>
          <w:sz w:val="70"/>
          <w:szCs w:val="70"/>
        </w:rPr>
      </w:pPr>
    </w:p>
    <w:p w14:paraId="08F4D83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EDD7E41">
      <w:pPr>
        <w:pStyle w:val="7"/>
      </w:pPr>
    </w:p>
    <w:p w14:paraId="71878282">
      <w:pPr>
        <w:pStyle w:val="3"/>
      </w:pPr>
    </w:p>
    <w:p w14:paraId="0708633C"/>
    <w:p w14:paraId="73556ADE">
      <w:pPr>
        <w:pStyle w:val="7"/>
      </w:pPr>
    </w:p>
    <w:p w14:paraId="3994B518">
      <w:pPr>
        <w:pStyle w:val="3"/>
      </w:pPr>
    </w:p>
    <w:p w14:paraId="02A215A7"/>
    <w:p w14:paraId="35171D88">
      <w:pPr>
        <w:pStyle w:val="7"/>
      </w:pPr>
    </w:p>
    <w:p w14:paraId="2CF77149">
      <w:pPr>
        <w:pStyle w:val="3"/>
      </w:pPr>
    </w:p>
    <w:p w14:paraId="1F83EEBB"/>
    <w:p w14:paraId="08660C90">
      <w:pPr>
        <w:pStyle w:val="7"/>
      </w:pPr>
    </w:p>
    <w:p w14:paraId="792E7A8B">
      <w:pPr>
        <w:pStyle w:val="3"/>
      </w:pPr>
    </w:p>
    <w:p w14:paraId="06538019"/>
    <w:p w14:paraId="26EA1919">
      <w:pPr>
        <w:pStyle w:val="7"/>
      </w:pPr>
    </w:p>
    <w:p w14:paraId="243DFCB2">
      <w:pPr>
        <w:pStyle w:val="3"/>
      </w:pPr>
    </w:p>
    <w:p w14:paraId="41F5461E"/>
    <w:p w14:paraId="188F483D">
      <w:pPr>
        <w:pStyle w:val="7"/>
      </w:pPr>
    </w:p>
    <w:p w14:paraId="2E01D5D5">
      <w:pPr>
        <w:pStyle w:val="3"/>
      </w:pPr>
    </w:p>
    <w:p w14:paraId="33679618"/>
    <w:p w14:paraId="3F3F792E">
      <w:pPr>
        <w:pStyle w:val="7"/>
      </w:pPr>
    </w:p>
    <w:p w14:paraId="505D9924">
      <w:pPr>
        <w:pStyle w:val="3"/>
      </w:pPr>
    </w:p>
    <w:p w14:paraId="410EE595"/>
    <w:p w14:paraId="4DFAF5FA">
      <w:pPr>
        <w:pStyle w:val="7"/>
      </w:pPr>
    </w:p>
    <w:p w14:paraId="1AD68C26">
      <w:pPr>
        <w:pStyle w:val="3"/>
      </w:pPr>
    </w:p>
    <w:p w14:paraId="6E21801F"/>
    <w:p w14:paraId="49850774">
      <w:pPr>
        <w:pStyle w:val="7"/>
        <w:rPr>
          <w:rFonts w:hint="eastAsia" w:ascii="仿宋_GB2312" w:hAnsi="仿宋_GB2312" w:eastAsia="仿宋_GB2312" w:cs="仿宋_GB2312"/>
          <w:b w:val="0"/>
          <w:bCs w:val="0"/>
          <w:kern w:val="2"/>
          <w:sz w:val="32"/>
          <w:szCs w:val="32"/>
          <w:lang w:val="en-US" w:eastAsia="zh-CN" w:bidi="ar-SA"/>
        </w:rPr>
      </w:pPr>
    </w:p>
    <w:p w14:paraId="7185EC3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2CBC1372">
      <w:pPr>
        <w:pStyle w:val="3"/>
      </w:pPr>
    </w:p>
    <w:p w14:paraId="262BD87E"/>
    <w:p w14:paraId="101D749A">
      <w:pPr>
        <w:pStyle w:val="7"/>
      </w:pPr>
    </w:p>
    <w:p w14:paraId="5A6BD86F">
      <w:pPr>
        <w:pStyle w:val="3"/>
      </w:pPr>
    </w:p>
    <w:p w14:paraId="41BD2EBB"/>
    <w:p w14:paraId="37458009">
      <w:pPr>
        <w:pStyle w:val="7"/>
      </w:pPr>
    </w:p>
    <w:p w14:paraId="4CB8A16F">
      <w:pPr>
        <w:pStyle w:val="3"/>
      </w:pPr>
    </w:p>
    <w:p w14:paraId="30175A29">
      <w:pPr>
        <w:pStyle w:val="3"/>
      </w:pPr>
    </w:p>
    <w:p w14:paraId="50A89307"/>
    <w:p w14:paraId="468F591D">
      <w:pPr>
        <w:pStyle w:val="7"/>
      </w:pPr>
    </w:p>
    <w:p w14:paraId="3C4A901B">
      <w:pPr>
        <w:pStyle w:val="3"/>
      </w:pPr>
    </w:p>
    <w:p w14:paraId="1974EDCF"/>
    <w:p w14:paraId="095D8826">
      <w:pPr>
        <w:pStyle w:val="7"/>
      </w:pPr>
    </w:p>
    <w:p w14:paraId="4200B028">
      <w:pPr>
        <w:pStyle w:val="3"/>
      </w:pPr>
    </w:p>
    <w:p w14:paraId="16BB7860"/>
    <w:p w14:paraId="7AE5ACD3">
      <w:pPr>
        <w:pStyle w:val="7"/>
      </w:pPr>
    </w:p>
    <w:p w14:paraId="2C6FA021">
      <w:pPr>
        <w:pStyle w:val="3"/>
      </w:pPr>
    </w:p>
    <w:p w14:paraId="47FBB196"/>
    <w:p w14:paraId="12214754">
      <w:pPr>
        <w:pStyle w:val="7"/>
      </w:pPr>
    </w:p>
    <w:p w14:paraId="4E381A79">
      <w:pPr>
        <w:pStyle w:val="3"/>
      </w:pPr>
    </w:p>
    <w:p w14:paraId="75E8DAFE"/>
    <w:p w14:paraId="32E32D27">
      <w:pPr>
        <w:pStyle w:val="7"/>
      </w:pPr>
    </w:p>
    <w:p w14:paraId="249D0004">
      <w:pPr>
        <w:pStyle w:val="3"/>
      </w:pPr>
    </w:p>
    <w:p w14:paraId="344A3FD8"/>
    <w:p w14:paraId="3E94A63B">
      <w:pPr>
        <w:pStyle w:val="7"/>
      </w:pPr>
    </w:p>
    <w:p w14:paraId="359967FA">
      <w:pPr>
        <w:pStyle w:val="3"/>
      </w:pPr>
    </w:p>
    <w:p w14:paraId="38D8082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1002254">
      <w:pPr>
        <w:pStyle w:val="12"/>
        <w:jc w:val="both"/>
        <w:rPr>
          <w:rFonts w:hint="eastAsia" w:ascii="方正小标宋_GBK" w:hAnsi="方正小标宋_GBK" w:eastAsia="方正小标宋_GBK" w:cs="方正小标宋_GBK"/>
          <w:sz w:val="70"/>
          <w:szCs w:val="70"/>
          <w:lang w:eastAsia="zh-CN"/>
        </w:rPr>
      </w:pPr>
    </w:p>
    <w:p w14:paraId="5EF6D587">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291A183">
      <w:pPr>
        <w:ind w:firstLine="640" w:firstLineChars="200"/>
        <w:jc w:val="left"/>
        <w:rPr>
          <w:rFonts w:hint="eastAsia" w:ascii="宋体" w:hAnsi="宋体" w:eastAsia="宋体" w:cs="黑体"/>
          <w:b/>
          <w:color w:val="000000"/>
          <w:kern w:val="0"/>
          <w:sz w:val="32"/>
          <w:szCs w:val="32"/>
          <w:lang w:val="en-US" w:eastAsia="zh-CN"/>
        </w:rPr>
      </w:pPr>
    </w:p>
    <w:p w14:paraId="6C35014D">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DF7F2E0">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16DE190"/>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9226E2"/>
    <w:rsid w:val="059958AD"/>
    <w:rsid w:val="06C857E7"/>
    <w:rsid w:val="06E23AB3"/>
    <w:rsid w:val="071B0FE4"/>
    <w:rsid w:val="08C24A73"/>
    <w:rsid w:val="08CF4B42"/>
    <w:rsid w:val="0A1A18F5"/>
    <w:rsid w:val="0B182889"/>
    <w:rsid w:val="0D1E1096"/>
    <w:rsid w:val="0D8F510C"/>
    <w:rsid w:val="0E6163E4"/>
    <w:rsid w:val="0EB43F87"/>
    <w:rsid w:val="120E1C01"/>
    <w:rsid w:val="12583BA5"/>
    <w:rsid w:val="13BA5B9C"/>
    <w:rsid w:val="16646293"/>
    <w:rsid w:val="1890355C"/>
    <w:rsid w:val="1C982D2D"/>
    <w:rsid w:val="1D97DEFF"/>
    <w:rsid w:val="1DFF72E5"/>
    <w:rsid w:val="1E7C06F9"/>
    <w:rsid w:val="1EFC6F07"/>
    <w:rsid w:val="1F0527A6"/>
    <w:rsid w:val="22AC03C2"/>
    <w:rsid w:val="26F2779A"/>
    <w:rsid w:val="276B08BE"/>
    <w:rsid w:val="2FDF85B8"/>
    <w:rsid w:val="2FFFEE04"/>
    <w:rsid w:val="31C95635"/>
    <w:rsid w:val="31D4331B"/>
    <w:rsid w:val="34DF85B0"/>
    <w:rsid w:val="374B4BD9"/>
    <w:rsid w:val="3B4457EE"/>
    <w:rsid w:val="3B8B561F"/>
    <w:rsid w:val="3B8F36BC"/>
    <w:rsid w:val="40FD2B08"/>
    <w:rsid w:val="44EB64CD"/>
    <w:rsid w:val="44FA3CB5"/>
    <w:rsid w:val="491FF225"/>
    <w:rsid w:val="492071D4"/>
    <w:rsid w:val="4BBF74EC"/>
    <w:rsid w:val="4E075192"/>
    <w:rsid w:val="4E393586"/>
    <w:rsid w:val="4FFD214C"/>
    <w:rsid w:val="5352765A"/>
    <w:rsid w:val="54033D38"/>
    <w:rsid w:val="55020B76"/>
    <w:rsid w:val="55FE2B1F"/>
    <w:rsid w:val="574720D1"/>
    <w:rsid w:val="5777D4F5"/>
    <w:rsid w:val="579D6934"/>
    <w:rsid w:val="57B93250"/>
    <w:rsid w:val="589F34AA"/>
    <w:rsid w:val="59DD8326"/>
    <w:rsid w:val="5A027EB7"/>
    <w:rsid w:val="5DEF592A"/>
    <w:rsid w:val="5FC6BB1E"/>
    <w:rsid w:val="5FF720F1"/>
    <w:rsid w:val="628D1259"/>
    <w:rsid w:val="63906CF5"/>
    <w:rsid w:val="67204E8B"/>
    <w:rsid w:val="67FF5C0B"/>
    <w:rsid w:val="69254805"/>
    <w:rsid w:val="6A8613BB"/>
    <w:rsid w:val="6B6E0537"/>
    <w:rsid w:val="6BAA4A2F"/>
    <w:rsid w:val="6EFC0924"/>
    <w:rsid w:val="6F780229"/>
    <w:rsid w:val="6FB74722"/>
    <w:rsid w:val="6FEF8B7E"/>
    <w:rsid w:val="71A6591B"/>
    <w:rsid w:val="7318735E"/>
    <w:rsid w:val="737D59BA"/>
    <w:rsid w:val="737F32B1"/>
    <w:rsid w:val="7440091B"/>
    <w:rsid w:val="74A00B9F"/>
    <w:rsid w:val="775070C7"/>
    <w:rsid w:val="77C360DE"/>
    <w:rsid w:val="77C37683"/>
    <w:rsid w:val="79FF515B"/>
    <w:rsid w:val="7A535FE3"/>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9986</Words>
  <Characters>10667</Characters>
  <Lines>63</Lines>
  <Paragraphs>18</Paragraphs>
  <TotalTime>0</TotalTime>
  <ScaleCrop>false</ScaleCrop>
  <LinksUpToDate>false</LinksUpToDate>
  <CharactersWithSpaces>10681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2025-08-25T07:14:43Z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0D24C21772354028B67E6D5D7CB13A38_13</vt:lpwstr>
  </property>
  <property fmtid="{D5CDD505-2E9C-101B-9397-08002B2CF9AE}" pid="4" name="KSOTemplateDocerSaveRecord">
    <vt:lpwstr>eyJoZGlkIjoiNjgxZmIyZGM1NjlmYzFmNTczZGVkNWYyNWIwMGFjMmUiLCJ1c2VySWQiOiIyOTMyNjEyNDMifQ==</vt:lpwstr>
  </property>
</Properties>
</file>