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5AB04">
      <w:pPr>
        <w:pStyle w:val="14"/>
        <w:jc w:val="center"/>
        <w:rPr>
          <w:sz w:val="56"/>
          <w:szCs w:val="56"/>
        </w:rPr>
      </w:pPr>
      <w:bookmarkStart w:id="0" w:name="_GoBack"/>
      <w:bookmarkEnd w:id="0"/>
    </w:p>
    <w:p w14:paraId="3A1B1BF9">
      <w:pPr>
        <w:pStyle w:val="14"/>
        <w:jc w:val="center"/>
        <w:rPr>
          <w:sz w:val="56"/>
          <w:szCs w:val="56"/>
        </w:rPr>
      </w:pPr>
    </w:p>
    <w:p w14:paraId="5FBCB8B4">
      <w:pPr>
        <w:pStyle w:val="14"/>
        <w:jc w:val="center"/>
        <w:rPr>
          <w:sz w:val="84"/>
          <w:szCs w:val="84"/>
        </w:rPr>
      </w:pPr>
    </w:p>
    <w:p w14:paraId="25B660AD">
      <w:pPr>
        <w:pStyle w:val="14"/>
        <w:jc w:val="center"/>
        <w:rPr>
          <w:sz w:val="84"/>
          <w:szCs w:val="84"/>
        </w:rPr>
      </w:pPr>
    </w:p>
    <w:p w14:paraId="3FF761C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DF6170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岳阳市机关事务管理局</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w:t>
      </w:r>
    </w:p>
    <w:p w14:paraId="59D9DA63">
      <w:pPr>
        <w:pStyle w:val="14"/>
        <w:jc w:val="center"/>
        <w:rPr>
          <w:rFonts w:hint="eastAsia" w:ascii="方正小标宋_GBK" w:hAnsi="方正小标宋_GBK" w:eastAsia="方正小标宋_GBK" w:cs="方正小标宋_GBK"/>
          <w:sz w:val="56"/>
          <w:szCs w:val="56"/>
        </w:rPr>
      </w:pPr>
    </w:p>
    <w:p w14:paraId="70F6B272">
      <w:pPr>
        <w:pStyle w:val="14"/>
        <w:jc w:val="center"/>
        <w:rPr>
          <w:sz w:val="56"/>
          <w:szCs w:val="56"/>
        </w:rPr>
      </w:pPr>
    </w:p>
    <w:p w14:paraId="2135A0A3">
      <w:pPr>
        <w:pStyle w:val="14"/>
        <w:jc w:val="center"/>
        <w:rPr>
          <w:sz w:val="56"/>
          <w:szCs w:val="56"/>
        </w:rPr>
      </w:pPr>
    </w:p>
    <w:p w14:paraId="3BF67066">
      <w:pPr>
        <w:pStyle w:val="14"/>
        <w:jc w:val="center"/>
        <w:rPr>
          <w:sz w:val="56"/>
          <w:szCs w:val="56"/>
        </w:rPr>
      </w:pPr>
    </w:p>
    <w:p w14:paraId="42FE5D9C">
      <w:pPr>
        <w:pStyle w:val="14"/>
        <w:jc w:val="center"/>
        <w:rPr>
          <w:sz w:val="32"/>
          <w:szCs w:val="32"/>
        </w:rPr>
      </w:pPr>
    </w:p>
    <w:p w14:paraId="2F648152">
      <w:pPr>
        <w:pStyle w:val="14"/>
        <w:jc w:val="center"/>
        <w:rPr>
          <w:sz w:val="32"/>
          <w:szCs w:val="32"/>
        </w:rPr>
      </w:pPr>
    </w:p>
    <w:p w14:paraId="28628754">
      <w:pPr>
        <w:pStyle w:val="14"/>
        <w:jc w:val="center"/>
        <w:rPr>
          <w:sz w:val="32"/>
          <w:szCs w:val="32"/>
        </w:rPr>
      </w:pPr>
    </w:p>
    <w:p w14:paraId="1454AE10">
      <w:pPr>
        <w:pStyle w:val="14"/>
        <w:jc w:val="center"/>
        <w:rPr>
          <w:sz w:val="32"/>
          <w:szCs w:val="32"/>
        </w:rPr>
      </w:pPr>
    </w:p>
    <w:p w14:paraId="286F4A6B">
      <w:pPr>
        <w:pStyle w:val="14"/>
        <w:jc w:val="center"/>
        <w:rPr>
          <w:sz w:val="32"/>
          <w:szCs w:val="32"/>
        </w:rPr>
      </w:pPr>
    </w:p>
    <w:p w14:paraId="3F3A128D">
      <w:pPr>
        <w:pStyle w:val="14"/>
        <w:spacing w:line="540" w:lineRule="exact"/>
        <w:jc w:val="center"/>
        <w:rPr>
          <w:sz w:val="56"/>
          <w:szCs w:val="56"/>
        </w:rPr>
      </w:pPr>
    </w:p>
    <w:p w14:paraId="2A03B756">
      <w:pPr>
        <w:pStyle w:val="14"/>
        <w:spacing w:line="500" w:lineRule="exact"/>
        <w:jc w:val="both"/>
        <w:rPr>
          <w:b/>
          <w:sz w:val="36"/>
          <w:szCs w:val="28"/>
        </w:rPr>
      </w:pPr>
    </w:p>
    <w:p w14:paraId="1AE85477">
      <w:pPr>
        <w:pStyle w:val="14"/>
        <w:spacing w:line="500" w:lineRule="exact"/>
        <w:jc w:val="center"/>
        <w:rPr>
          <w:b/>
          <w:sz w:val="36"/>
          <w:szCs w:val="28"/>
        </w:rPr>
      </w:pPr>
      <w:r>
        <w:rPr>
          <w:rFonts w:hint="eastAsia"/>
          <w:b/>
          <w:sz w:val="36"/>
          <w:szCs w:val="28"/>
        </w:rPr>
        <w:t>目录</w:t>
      </w:r>
    </w:p>
    <w:p w14:paraId="0D1A41E5">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宋体" w:eastAsia="黑体" w:cs="黑体"/>
          <w:i w:val="0"/>
          <w:iCs w:val="0"/>
          <w:caps w:val="0"/>
          <w:color w:val="000000"/>
          <w:spacing w:val="0"/>
          <w:sz w:val="28"/>
          <w:szCs w:val="28"/>
          <w:shd w:val="clear" w:color="auto" w:fill="FFFFFF"/>
        </w:rPr>
        <w:t>岳阳市机关事务管理局部门概况</w:t>
      </w:r>
    </w:p>
    <w:p w14:paraId="04DA01E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8232A3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2A1085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6201A7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48B3C3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6934F9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F9EB89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53FD71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D428DA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2BFEE1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5D47F2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1CCE83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5FAAC8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526D28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891B03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80095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508D9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EBB7F6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EBFF02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46DAD9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61A84EE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F63FF7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1955AF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3F7CCF0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3B22471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13D31E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5A2D6A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4ABA5A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D883FDB">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585CC1C">
      <w:pPr>
        <w:pStyle w:val="14"/>
        <w:jc w:val="center"/>
        <w:rPr>
          <w:rFonts w:hint="eastAsia" w:ascii="方正小标宋_GBK" w:hAnsi="方正小标宋_GBK" w:eastAsia="方正小标宋_GBK" w:cs="方正小标宋_GBK"/>
          <w:sz w:val="84"/>
          <w:szCs w:val="84"/>
        </w:rPr>
      </w:pPr>
    </w:p>
    <w:p w14:paraId="6611FF26">
      <w:pPr>
        <w:pStyle w:val="14"/>
        <w:jc w:val="center"/>
        <w:rPr>
          <w:rFonts w:hint="eastAsia" w:ascii="方正小标宋_GBK" w:hAnsi="方正小标宋_GBK" w:eastAsia="方正小标宋_GBK" w:cs="方正小标宋_GBK"/>
          <w:sz w:val="84"/>
          <w:szCs w:val="84"/>
        </w:rPr>
      </w:pPr>
    </w:p>
    <w:p w14:paraId="49182A72">
      <w:pPr>
        <w:pStyle w:val="14"/>
        <w:jc w:val="center"/>
        <w:rPr>
          <w:rFonts w:hint="eastAsia" w:ascii="方正小标宋_GBK" w:hAnsi="方正小标宋_GBK" w:eastAsia="方正小标宋_GBK" w:cs="方正小标宋_GBK"/>
          <w:sz w:val="84"/>
          <w:szCs w:val="84"/>
        </w:rPr>
      </w:pPr>
    </w:p>
    <w:p w14:paraId="4ECE6075">
      <w:pPr>
        <w:pStyle w:val="14"/>
        <w:jc w:val="center"/>
        <w:rPr>
          <w:rFonts w:hint="eastAsia" w:ascii="方正小标宋_GBK" w:hAnsi="方正小标宋_GBK" w:eastAsia="方正小标宋_GBK" w:cs="方正小标宋_GBK"/>
          <w:sz w:val="84"/>
          <w:szCs w:val="84"/>
        </w:rPr>
      </w:pPr>
    </w:p>
    <w:p w14:paraId="577BCC76">
      <w:pPr>
        <w:pStyle w:val="14"/>
        <w:jc w:val="center"/>
        <w:rPr>
          <w:rFonts w:hint="eastAsia" w:ascii="方正小标宋_GBK" w:hAnsi="方正小标宋_GBK" w:eastAsia="方正小标宋_GBK" w:cs="方正小标宋_GBK"/>
          <w:sz w:val="84"/>
          <w:szCs w:val="84"/>
        </w:rPr>
      </w:pPr>
    </w:p>
    <w:p w14:paraId="735F8D05">
      <w:pPr>
        <w:pStyle w:val="14"/>
        <w:jc w:val="center"/>
        <w:rPr>
          <w:rFonts w:hint="eastAsia" w:ascii="方正小标宋_GBK" w:hAnsi="方正小标宋_GBK" w:eastAsia="方正小标宋_GBK" w:cs="方正小标宋_GBK"/>
          <w:sz w:val="84"/>
          <w:szCs w:val="84"/>
        </w:rPr>
      </w:pPr>
    </w:p>
    <w:p w14:paraId="7DD45EFD">
      <w:pPr>
        <w:pStyle w:val="14"/>
        <w:jc w:val="center"/>
        <w:rPr>
          <w:rFonts w:hint="eastAsia" w:ascii="方正小标宋_GBK" w:hAnsi="方正小标宋_GBK" w:eastAsia="方正小标宋_GBK" w:cs="方正小标宋_GBK"/>
          <w:sz w:val="84"/>
          <w:szCs w:val="84"/>
        </w:rPr>
      </w:pPr>
    </w:p>
    <w:p w14:paraId="32821A4C">
      <w:pPr>
        <w:pStyle w:val="14"/>
        <w:jc w:val="center"/>
        <w:rPr>
          <w:rFonts w:hint="eastAsia" w:ascii="方正小标宋_GBK" w:hAnsi="方正小标宋_GBK" w:eastAsia="方正小标宋_GBK" w:cs="方正小标宋_GBK"/>
          <w:sz w:val="84"/>
          <w:szCs w:val="84"/>
        </w:rPr>
      </w:pPr>
    </w:p>
    <w:p w14:paraId="4296BE25">
      <w:pPr>
        <w:pStyle w:val="14"/>
        <w:jc w:val="center"/>
        <w:rPr>
          <w:rFonts w:hint="eastAsia" w:ascii="方正小标宋_GBK" w:hAnsi="方正小标宋_GBK" w:eastAsia="方正小标宋_GBK" w:cs="方正小标宋_GBK"/>
          <w:sz w:val="84"/>
          <w:szCs w:val="84"/>
        </w:rPr>
      </w:pPr>
    </w:p>
    <w:p w14:paraId="0C00579D">
      <w:pPr>
        <w:pStyle w:val="14"/>
        <w:jc w:val="center"/>
        <w:rPr>
          <w:rFonts w:hint="eastAsia" w:ascii="方正小标宋_GBK" w:hAnsi="方正小标宋_GBK" w:eastAsia="方正小标宋_GBK" w:cs="方正小标宋_GBK"/>
          <w:sz w:val="84"/>
          <w:szCs w:val="84"/>
        </w:rPr>
      </w:pPr>
    </w:p>
    <w:p w14:paraId="60B5B9F8">
      <w:pPr>
        <w:pStyle w:val="14"/>
        <w:jc w:val="center"/>
        <w:rPr>
          <w:rFonts w:hint="eastAsia" w:ascii="方正小标宋_GBK" w:hAnsi="方正小标宋_GBK" w:eastAsia="方正小标宋_GBK" w:cs="方正小标宋_GBK"/>
          <w:sz w:val="84"/>
          <w:szCs w:val="84"/>
        </w:rPr>
      </w:pPr>
    </w:p>
    <w:p w14:paraId="325EE902">
      <w:pPr>
        <w:pStyle w:val="14"/>
        <w:jc w:val="center"/>
        <w:rPr>
          <w:rFonts w:hint="eastAsia" w:ascii="方正小标宋_GBK" w:hAnsi="方正小标宋_GBK" w:eastAsia="方正小标宋_GBK" w:cs="方正小标宋_GBK"/>
          <w:sz w:val="84"/>
          <w:szCs w:val="84"/>
        </w:rPr>
      </w:pPr>
    </w:p>
    <w:p w14:paraId="046082E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9197CF9">
      <w:pPr>
        <w:pStyle w:val="14"/>
        <w:jc w:val="center"/>
        <w:rPr>
          <w:rFonts w:hint="eastAsia" w:ascii="方正小标宋_GBK" w:hAnsi="方正小标宋_GBK" w:eastAsia="方正小标宋_GBK" w:cs="方正小标宋_GBK"/>
          <w:sz w:val="84"/>
          <w:szCs w:val="84"/>
        </w:rPr>
      </w:pPr>
    </w:p>
    <w:p w14:paraId="07CA868D">
      <w:pPr>
        <w:pStyle w:val="9"/>
        <w:keepNext w:val="0"/>
        <w:keepLines w:val="0"/>
        <w:widowControl/>
        <w:suppressLineNumbers w:val="0"/>
        <w:shd w:val="clear" w:color="auto" w:fill="FFFFFF"/>
        <w:spacing w:before="0" w:beforeAutospacing="0" w:after="0" w:afterAutospacing="0" w:line="27" w:lineRule="atLeast"/>
        <w:ind w:left="0" w:righ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84"/>
          <w:szCs w:val="84"/>
          <w:shd w:val="clear" w:color="auto" w:fill="FFFFFF"/>
        </w:rPr>
        <w:t>岳阳市机关事务管理局</w:t>
      </w:r>
    </w:p>
    <w:p w14:paraId="6EC6E693">
      <w:pPr>
        <w:pStyle w:val="9"/>
        <w:keepNext w:val="0"/>
        <w:keepLines w:val="0"/>
        <w:widowControl/>
        <w:suppressLineNumbers w:val="0"/>
        <w:shd w:val="clear" w:color="auto" w:fill="FFFFFF"/>
        <w:spacing w:before="0" w:beforeAutospacing="0" w:after="0" w:afterAutospacing="0" w:line="27" w:lineRule="atLeast"/>
        <w:ind w:left="0" w:righ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84"/>
          <w:szCs w:val="84"/>
          <w:shd w:val="clear" w:color="auto" w:fill="FFFFFF"/>
        </w:rPr>
        <w:t>部门概况</w:t>
      </w:r>
    </w:p>
    <w:p w14:paraId="04631C1A">
      <w:pPr>
        <w:pStyle w:val="8"/>
        <w:rPr>
          <w:rFonts w:hint="eastAsia" w:ascii="方正小标宋_GBK" w:hAnsi="方正小标宋_GBK" w:eastAsia="方正小标宋_GBK" w:cs="方正小标宋_GBK"/>
          <w:sz w:val="84"/>
          <w:szCs w:val="84"/>
        </w:rPr>
      </w:pPr>
    </w:p>
    <w:p w14:paraId="31CD2812">
      <w:pPr>
        <w:pStyle w:val="4"/>
        <w:rPr>
          <w:rFonts w:hint="eastAsia" w:ascii="方正小标宋_GBK" w:hAnsi="方正小标宋_GBK" w:eastAsia="方正小标宋_GBK" w:cs="方正小标宋_GBK"/>
          <w:sz w:val="84"/>
          <w:szCs w:val="84"/>
        </w:rPr>
      </w:pPr>
    </w:p>
    <w:p w14:paraId="14B2C1E8">
      <w:pPr>
        <w:rPr>
          <w:rFonts w:hint="eastAsia" w:ascii="方正小标宋_GBK" w:hAnsi="方正小标宋_GBK" w:eastAsia="方正小标宋_GBK" w:cs="方正小标宋_GBK"/>
          <w:sz w:val="84"/>
          <w:szCs w:val="84"/>
        </w:rPr>
      </w:pPr>
    </w:p>
    <w:p w14:paraId="0B9DC854">
      <w:pPr>
        <w:pStyle w:val="8"/>
        <w:rPr>
          <w:rFonts w:hint="eastAsia" w:ascii="方正小标宋_GBK" w:hAnsi="方正小标宋_GBK" w:eastAsia="方正小标宋_GBK" w:cs="方正小标宋_GBK"/>
          <w:sz w:val="84"/>
          <w:szCs w:val="84"/>
        </w:rPr>
      </w:pPr>
    </w:p>
    <w:p w14:paraId="5B99574C">
      <w:pPr>
        <w:pStyle w:val="4"/>
        <w:rPr>
          <w:rFonts w:hint="eastAsia" w:ascii="方正小标宋_GBK" w:hAnsi="方正小标宋_GBK" w:eastAsia="方正小标宋_GBK" w:cs="方正小标宋_GBK"/>
          <w:sz w:val="84"/>
          <w:szCs w:val="84"/>
        </w:rPr>
      </w:pPr>
    </w:p>
    <w:p w14:paraId="3D9FBE73">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01224D7">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一）指导全市机关事务工作，负责市直机关事务的保障、管理和服务工作。组织拟订全市机关事务管理和后勤体制改革工作的具体政策、规章制度、标准并监督实施；负责指导市直机关后勤服务单位业务工作；会同有关部门协调解决机关后勤工作中的有关问题。</w:t>
      </w:r>
    </w:p>
    <w:p w14:paraId="19F0A799">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二）对市直行政事业单位的房地产实施管理，制订相关管理制度并监督执行；负责市直行政事业单位办公用房集中统一管理，协助有关部门管理市直行政事业单位的行政建房计划和投资；根据授权承担市直行政事业单位行政办公用房及其他非经营性项目的集中统一建设职责；按规定管理市直行政事业单位办公用房维修，承办市直行政事业单位房屋维修、危旧房改造事务工作；负责市直行政事业单位行政用房、住宅建设土地使用权证的有关管理工作。指导全市党政机关事业单位办公用房管理和市直行政事业单位物业管理工作。</w:t>
      </w:r>
    </w:p>
    <w:p w14:paraId="19FCE223">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三）负责市直行政事业单位国有资产集中统一管理，承担配置计划审核、产权界定、清查登记、资产处置工作。负责市直行政事业单位公务用车的编制、配备、更新、处置以及预算内专项用于解决市领导和市直单位公务用车的经费管理工作，指导监督全市公务用车管理工作。</w:t>
      </w:r>
    </w:p>
    <w:p w14:paraId="65997D38">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（四）统筹异地交流来岳任职市级领导干部住房建设、管理及相关服务工作；按规定管理市直单位职工住房补贴资金。</w:t>
      </w:r>
    </w:p>
    <w:p w14:paraId="264A2DC6">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（五）会同相关部门管理、指导、监督、检查全市党政机关事业单位国内公务接待工作。</w:t>
      </w:r>
    </w:p>
    <w:p w14:paraId="736E3A3D">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六）统筹协调全市公共机构节能工作，会同有关部门制定推动全市公共机构节能的规划、规章制度并组织实施，负责公共机构节约能源管理工作，组织开展能耗统计、监测和评价考核、节能技术改造及专项资金管理工作。</w:t>
      </w:r>
    </w:p>
    <w:p w14:paraId="5E2A3731">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（七）按规定指导并组织实施市直机关后勤员工培训工作。</w:t>
      </w:r>
    </w:p>
    <w:p w14:paraId="238DA1B8">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（八）完成市委、市政府交办的其他事项。</w:t>
      </w:r>
    </w:p>
    <w:p w14:paraId="651EE2FE">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九）与市财政局、市国资委在国有资产管理方面的职责分工。市财政局负责制定行政事业单位国有资产管理规章制度，并负责组织实施和监督检查。市机关事务管理局负责市直行政事业单位的国有资产管理，承担产权界定、清查登记、资产处置工作，制定市直行政事业单位国有资产管理具体制度和办法并组织实施，接受市财政部门的指导和监督检查。市直行政事业单位按规定负责所属事业单位及派出机构的国有资产管理。市级党政机关事业单位对外出租出借的经营性国有资产，由市机关事务管理局集中统一监管，承担产权界定、清查登记、资产处置等工作。市直党政机关事业单位利用国有资产举办的企业应按规定脱钩，其国有资产产权划转，由市政府授权市国资委履行出资人职责，进行集中统一监管。</w:t>
      </w:r>
    </w:p>
    <w:p w14:paraId="191E20B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CB3758F">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lang w:val="en-US" w:eastAsia="zh-CN"/>
        </w:rPr>
        <w:t xml:space="preserve"> </w:t>
      </w:r>
      <w:r>
        <w:rPr>
          <w:rFonts w:hint="eastAsia" w:ascii="仿宋" w:hAnsi="仿宋" w:eastAsia="仿宋" w:cs="仿宋"/>
          <w:i w:val="0"/>
          <w:iCs w:val="0"/>
          <w:caps w:val="0"/>
          <w:color w:val="1E2022"/>
          <w:spacing w:val="0"/>
          <w:sz w:val="32"/>
          <w:szCs w:val="32"/>
          <w:shd w:val="clear" w:color="auto" w:fill="FFFFFF"/>
        </w:rPr>
        <w:t>（一）内设机构设置。</w:t>
      </w:r>
    </w:p>
    <w:p w14:paraId="0E0ECD98">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岳阳市机关事务管理局内设机构包括：办公室、资产管理科（公务用车管理科）、办公用房管理科（基建维修科）、公共机构节能管理科、后勤服务管理科、财务科、机关党委。</w:t>
      </w:r>
    </w:p>
    <w:p w14:paraId="3649452A">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下设事业单位包括：</w:t>
      </w:r>
    </w:p>
    <w:p w14:paraId="3A5005FC">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default" w:ascii="Times New Roman" w:hAnsi="Times New Roman" w:cs="Times New Roman"/>
          <w:i w:val="0"/>
          <w:iCs w:val="0"/>
          <w:caps w:val="0"/>
          <w:color w:val="1E2022"/>
          <w:spacing w:val="0"/>
          <w:sz w:val="32"/>
          <w:szCs w:val="32"/>
          <w:shd w:val="clear" w:color="auto" w:fill="FFFFFF"/>
        </w:rPr>
        <w:t>1</w:t>
      </w:r>
      <w:r>
        <w:rPr>
          <w:rFonts w:hint="eastAsia" w:ascii="仿宋" w:hAnsi="仿宋" w:eastAsia="仿宋" w:cs="仿宋"/>
          <w:i w:val="0"/>
          <w:iCs w:val="0"/>
          <w:caps w:val="0"/>
          <w:color w:val="1E2022"/>
          <w:spacing w:val="0"/>
          <w:sz w:val="32"/>
          <w:szCs w:val="32"/>
          <w:shd w:val="clear" w:color="auto" w:fill="FFFFFF"/>
        </w:rPr>
        <w:t>、市直行政事业单位资产管理事务中心</w:t>
      </w:r>
    </w:p>
    <w:p w14:paraId="7CDFCF1C">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default" w:ascii="Times New Roman" w:hAnsi="Times New Roman" w:cs="Times New Roman"/>
          <w:i w:val="0"/>
          <w:iCs w:val="0"/>
          <w:caps w:val="0"/>
          <w:color w:val="1E2022"/>
          <w:spacing w:val="0"/>
          <w:sz w:val="32"/>
          <w:szCs w:val="32"/>
          <w:shd w:val="clear" w:color="auto" w:fill="FFFFFF"/>
        </w:rPr>
        <w:t>2</w:t>
      </w:r>
      <w:r>
        <w:rPr>
          <w:rFonts w:hint="eastAsia" w:ascii="仿宋" w:hAnsi="仿宋" w:eastAsia="仿宋" w:cs="仿宋"/>
          <w:i w:val="0"/>
          <w:iCs w:val="0"/>
          <w:caps w:val="0"/>
          <w:color w:val="1E2022"/>
          <w:spacing w:val="0"/>
          <w:sz w:val="32"/>
          <w:szCs w:val="32"/>
          <w:shd w:val="clear" w:color="auto" w:fill="FFFFFF"/>
        </w:rPr>
        <w:t>、市直机关事业单位公务用车服务中心</w:t>
      </w:r>
    </w:p>
    <w:p w14:paraId="6A0D83A8">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（二）决算单位构成。</w:t>
      </w:r>
    </w:p>
    <w:p w14:paraId="7BACC39B">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本单位</w:t>
      </w:r>
      <w:r>
        <w:rPr>
          <w:rFonts w:hint="default" w:ascii="Times New Roman" w:hAnsi="Times New Roman" w:cs="Times New Roman"/>
          <w:i w:val="0"/>
          <w:iCs w:val="0"/>
          <w:caps w:val="0"/>
          <w:color w:val="1E2022"/>
          <w:spacing w:val="0"/>
          <w:sz w:val="32"/>
          <w:szCs w:val="32"/>
          <w:shd w:val="clear" w:color="auto" w:fill="FFFFFF"/>
        </w:rPr>
        <w:t>20</w:t>
      </w:r>
      <w:r>
        <w:rPr>
          <w:rFonts w:hint="default" w:ascii="Times New Roman" w:hAnsi="Times New Roman" w:eastAsia="仿宋" w:cs="Times New Roman"/>
          <w:i w:val="0"/>
          <w:iCs w:val="0"/>
          <w:caps w:val="0"/>
          <w:color w:val="1E2022"/>
          <w:spacing w:val="0"/>
          <w:sz w:val="32"/>
          <w:szCs w:val="32"/>
          <w:shd w:val="clear" w:color="auto" w:fill="FFFFFF"/>
        </w:rPr>
        <w:t>2</w:t>
      </w:r>
      <w:r>
        <w:rPr>
          <w:rFonts w:hint="eastAsia" w:ascii="Times New Roman" w:hAnsi="Times New Roman" w:eastAsia="仿宋" w:cs="Times New Roman"/>
          <w:i w:val="0"/>
          <w:iCs w:val="0"/>
          <w:caps w:val="0"/>
          <w:color w:val="1E2022"/>
          <w:spacing w:val="0"/>
          <w:sz w:val="32"/>
          <w:szCs w:val="32"/>
          <w:shd w:val="clear" w:color="auto" w:fill="FFFFFF"/>
          <w:lang w:val="en-US" w:eastAsia="zh-CN"/>
        </w:rPr>
        <w:t>3</w:t>
      </w:r>
      <w:r>
        <w:rPr>
          <w:rFonts w:hint="eastAsia" w:ascii="仿宋" w:hAnsi="仿宋" w:eastAsia="仿宋" w:cs="仿宋"/>
          <w:i w:val="0"/>
          <w:iCs w:val="0"/>
          <w:caps w:val="0"/>
          <w:color w:val="1E2022"/>
          <w:spacing w:val="0"/>
          <w:sz w:val="32"/>
          <w:szCs w:val="32"/>
          <w:shd w:val="clear" w:color="auto" w:fill="FFFFFF"/>
        </w:rPr>
        <w:t>年部门决算汇总公开单位构成包括：</w:t>
      </w:r>
      <w:r>
        <w:rPr>
          <w:rFonts w:hint="eastAsia" w:ascii="仿宋" w:hAnsi="仿宋" w:eastAsia="仿宋" w:cs="仿宋"/>
          <w:i w:val="0"/>
          <w:iCs w:val="0"/>
          <w:caps w:val="0"/>
          <w:color w:val="1E2022"/>
          <w:spacing w:val="0"/>
          <w:sz w:val="32"/>
          <w:szCs w:val="32"/>
          <w:shd w:val="clear" w:color="auto" w:fill="FFFFFF"/>
          <w:lang w:eastAsia="zh-CN"/>
        </w:rPr>
        <w:t>岳阳市</w:t>
      </w:r>
      <w:r>
        <w:rPr>
          <w:rFonts w:hint="eastAsia" w:ascii="仿宋" w:hAnsi="仿宋" w:eastAsia="仿宋" w:cs="仿宋"/>
          <w:i w:val="0"/>
          <w:iCs w:val="0"/>
          <w:caps w:val="0"/>
          <w:color w:val="1E2022"/>
          <w:spacing w:val="0"/>
          <w:sz w:val="32"/>
          <w:szCs w:val="32"/>
          <w:shd w:val="clear" w:color="auto" w:fill="FFFFFF"/>
        </w:rPr>
        <w:t>机关事务管理局单位本级。本单位无独立核算的下属单位，</w:t>
      </w:r>
      <w:r>
        <w:rPr>
          <w:rFonts w:hint="default" w:ascii="Times New Roman" w:hAnsi="Times New Roman" w:eastAsia="仿宋" w:cs="Times New Roman"/>
          <w:i w:val="0"/>
          <w:iCs w:val="0"/>
          <w:caps w:val="0"/>
          <w:color w:val="1E2022"/>
          <w:spacing w:val="0"/>
          <w:sz w:val="32"/>
          <w:szCs w:val="32"/>
          <w:shd w:val="clear" w:color="auto" w:fill="FFFFFF"/>
        </w:rPr>
        <w:t>202</w:t>
      </w:r>
      <w:r>
        <w:rPr>
          <w:rFonts w:hint="eastAsia" w:ascii="Times New Roman" w:hAnsi="Times New Roman" w:eastAsia="仿宋" w:cs="Times New Roman"/>
          <w:i w:val="0"/>
          <w:iCs w:val="0"/>
          <w:caps w:val="0"/>
          <w:color w:val="1E2022"/>
          <w:spacing w:val="0"/>
          <w:sz w:val="32"/>
          <w:szCs w:val="32"/>
          <w:shd w:val="clear" w:color="auto" w:fill="FFFFFF"/>
          <w:lang w:val="en-US" w:eastAsia="zh-CN"/>
        </w:rPr>
        <w:t>3</w:t>
      </w:r>
      <w:r>
        <w:rPr>
          <w:rFonts w:hint="eastAsia" w:ascii="仿宋" w:hAnsi="仿宋" w:eastAsia="仿宋" w:cs="仿宋"/>
          <w:i w:val="0"/>
          <w:iCs w:val="0"/>
          <w:caps w:val="0"/>
          <w:color w:val="1E2022"/>
          <w:spacing w:val="0"/>
          <w:sz w:val="32"/>
          <w:szCs w:val="32"/>
          <w:shd w:val="clear" w:color="auto" w:fill="FFFFFF"/>
        </w:rPr>
        <w:t>年度部门决算汇总公开单位仅包括</w:t>
      </w:r>
      <w:r>
        <w:rPr>
          <w:rFonts w:hint="eastAsia" w:ascii="仿宋" w:hAnsi="仿宋" w:eastAsia="仿宋" w:cs="仿宋"/>
          <w:i w:val="0"/>
          <w:iCs w:val="0"/>
          <w:caps w:val="0"/>
          <w:color w:val="1E2022"/>
          <w:spacing w:val="0"/>
          <w:sz w:val="32"/>
          <w:szCs w:val="32"/>
          <w:shd w:val="clear" w:color="auto" w:fill="FFFFFF"/>
          <w:lang w:eastAsia="zh-CN"/>
        </w:rPr>
        <w:t>岳阳市</w:t>
      </w:r>
      <w:r>
        <w:rPr>
          <w:rFonts w:hint="eastAsia" w:ascii="仿宋" w:hAnsi="仿宋" w:eastAsia="仿宋" w:cs="仿宋"/>
          <w:i w:val="0"/>
          <w:iCs w:val="0"/>
          <w:caps w:val="0"/>
          <w:color w:val="1E2022"/>
          <w:spacing w:val="0"/>
          <w:sz w:val="32"/>
          <w:szCs w:val="32"/>
          <w:shd w:val="clear" w:color="auto" w:fill="FFFFFF"/>
        </w:rPr>
        <w:t>机关事务管理局单位本级。</w:t>
      </w:r>
    </w:p>
    <w:p w14:paraId="7BA68F15">
      <w:pPr>
        <w:pStyle w:val="8"/>
        <w:rPr>
          <w:rFonts w:hint="eastAsia" w:eastAsiaTheme="minorEastAsia"/>
          <w:lang w:val="en-US" w:eastAsia="zh-CN"/>
        </w:rPr>
      </w:pPr>
    </w:p>
    <w:p w14:paraId="0EC08733">
      <w:pPr>
        <w:tabs>
          <w:tab w:val="left" w:pos="630"/>
          <w:tab w:val="left" w:pos="840"/>
        </w:tabs>
      </w:pPr>
    </w:p>
    <w:p w14:paraId="39BAB8BB">
      <w:pPr>
        <w:pStyle w:val="8"/>
      </w:pPr>
    </w:p>
    <w:p w14:paraId="6C48D223">
      <w:pPr>
        <w:pStyle w:val="4"/>
      </w:pPr>
    </w:p>
    <w:p w14:paraId="39C76627"/>
    <w:p w14:paraId="69C56422">
      <w:pPr>
        <w:pStyle w:val="8"/>
      </w:pPr>
    </w:p>
    <w:p w14:paraId="03D4BFF1">
      <w:pPr>
        <w:pStyle w:val="4"/>
      </w:pPr>
    </w:p>
    <w:p w14:paraId="76847C66"/>
    <w:p w14:paraId="5375BB86">
      <w:pPr>
        <w:pStyle w:val="8"/>
      </w:pPr>
    </w:p>
    <w:p w14:paraId="02594511">
      <w:pPr>
        <w:pStyle w:val="4"/>
      </w:pPr>
    </w:p>
    <w:p w14:paraId="66C75208"/>
    <w:p w14:paraId="01BA93FE">
      <w:pPr>
        <w:pStyle w:val="8"/>
      </w:pPr>
    </w:p>
    <w:p w14:paraId="5F590D4B">
      <w:pPr>
        <w:pStyle w:val="4"/>
      </w:pPr>
    </w:p>
    <w:p w14:paraId="69F1A171"/>
    <w:p w14:paraId="3A6DBB0D">
      <w:pPr>
        <w:pStyle w:val="8"/>
      </w:pPr>
    </w:p>
    <w:p w14:paraId="5F7BED92">
      <w:pPr>
        <w:pStyle w:val="4"/>
      </w:pPr>
    </w:p>
    <w:p w14:paraId="5BC7F794"/>
    <w:p w14:paraId="43BD5B8E">
      <w:pPr>
        <w:pStyle w:val="8"/>
      </w:pPr>
    </w:p>
    <w:p w14:paraId="59996EB4">
      <w:pPr>
        <w:pStyle w:val="4"/>
      </w:pPr>
    </w:p>
    <w:p w14:paraId="27C48EC6"/>
    <w:p w14:paraId="50F4B8DC">
      <w:pPr>
        <w:pStyle w:val="8"/>
      </w:pPr>
    </w:p>
    <w:p w14:paraId="60C6C4EE">
      <w:pPr>
        <w:pStyle w:val="4"/>
      </w:pPr>
    </w:p>
    <w:p w14:paraId="6AD32F75"/>
    <w:p w14:paraId="7B394CA8">
      <w:pPr>
        <w:pStyle w:val="8"/>
      </w:pPr>
    </w:p>
    <w:p w14:paraId="203FCA44">
      <w:pPr>
        <w:pStyle w:val="4"/>
      </w:pPr>
    </w:p>
    <w:p w14:paraId="4FB500F7"/>
    <w:p w14:paraId="3F965EE2">
      <w:pPr>
        <w:pStyle w:val="14"/>
        <w:jc w:val="center"/>
        <w:rPr>
          <w:rFonts w:hint="eastAsia" w:ascii="方正小标宋_GBK" w:hAnsi="方正小标宋_GBK" w:eastAsia="方正小标宋_GBK" w:cs="方正小标宋_GBK"/>
          <w:sz w:val="84"/>
          <w:szCs w:val="84"/>
        </w:rPr>
      </w:pPr>
    </w:p>
    <w:p w14:paraId="1CD73126">
      <w:pPr>
        <w:pStyle w:val="4"/>
      </w:pPr>
    </w:p>
    <w:p w14:paraId="66CC21DE"/>
    <w:p w14:paraId="6A56341E">
      <w:pPr>
        <w:pStyle w:val="8"/>
      </w:pPr>
    </w:p>
    <w:p w14:paraId="45EBF097">
      <w:pPr>
        <w:pStyle w:val="4"/>
      </w:pPr>
    </w:p>
    <w:p w14:paraId="52A44A91"/>
    <w:p w14:paraId="29C10F65">
      <w:pPr>
        <w:pStyle w:val="8"/>
      </w:pPr>
    </w:p>
    <w:p w14:paraId="46EEDACA">
      <w:pPr>
        <w:pStyle w:val="4"/>
      </w:pPr>
    </w:p>
    <w:p w14:paraId="475F6DE3"/>
    <w:p w14:paraId="5EF76E90">
      <w:pPr>
        <w:pStyle w:val="14"/>
        <w:jc w:val="center"/>
        <w:rPr>
          <w:rFonts w:hint="eastAsia" w:ascii="方正小标宋_GBK" w:hAnsi="方正小标宋_GBK" w:eastAsia="方正小标宋_GBK" w:cs="方正小标宋_GBK"/>
          <w:sz w:val="84"/>
          <w:szCs w:val="84"/>
        </w:rPr>
      </w:pPr>
    </w:p>
    <w:p w14:paraId="12EE03C2">
      <w:pPr>
        <w:pStyle w:val="14"/>
        <w:jc w:val="center"/>
        <w:rPr>
          <w:rFonts w:hint="eastAsia" w:ascii="方正小标宋_GBK" w:hAnsi="方正小标宋_GBK" w:eastAsia="方正小标宋_GBK" w:cs="方正小标宋_GBK"/>
          <w:sz w:val="84"/>
          <w:szCs w:val="84"/>
        </w:rPr>
      </w:pPr>
    </w:p>
    <w:p w14:paraId="2D6FEF9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CB66782">
      <w:pPr>
        <w:pStyle w:val="14"/>
        <w:jc w:val="center"/>
        <w:rPr>
          <w:rFonts w:hint="eastAsia" w:ascii="方正小标宋_GBK" w:hAnsi="方正小标宋_GBK" w:eastAsia="方正小标宋_GBK" w:cs="方正小标宋_GBK"/>
          <w:sz w:val="84"/>
          <w:szCs w:val="84"/>
        </w:rPr>
      </w:pPr>
    </w:p>
    <w:p w14:paraId="724B24A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0E0F7E5">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2A622CE">
      <w:pPr>
        <w:pStyle w:val="14"/>
        <w:jc w:val="center"/>
        <w:rPr>
          <w:rFonts w:hint="eastAsia" w:ascii="仿宋_GB2312" w:hAnsi="仿宋_GB2312" w:eastAsia="仿宋_GB2312" w:cs="仿宋_GB2312"/>
          <w:b w:val="0"/>
          <w:bCs w:val="0"/>
          <w:sz w:val="72"/>
          <w:szCs w:val="72"/>
          <w:lang w:eastAsia="zh-CN"/>
        </w:rPr>
      </w:pPr>
    </w:p>
    <w:p w14:paraId="41D68567">
      <w:pPr>
        <w:pStyle w:val="14"/>
        <w:jc w:val="center"/>
        <w:rPr>
          <w:rFonts w:hint="eastAsia" w:ascii="仿宋_GB2312" w:hAnsi="仿宋_GB2312" w:eastAsia="仿宋_GB2312" w:cs="仿宋_GB2312"/>
          <w:b w:val="0"/>
          <w:bCs w:val="0"/>
          <w:sz w:val="72"/>
          <w:szCs w:val="72"/>
          <w:lang w:eastAsia="zh-CN"/>
        </w:rPr>
      </w:pPr>
    </w:p>
    <w:p w14:paraId="00284034">
      <w:pPr>
        <w:pStyle w:val="14"/>
        <w:jc w:val="center"/>
        <w:rPr>
          <w:rFonts w:hint="eastAsia" w:ascii="仿宋_GB2312" w:hAnsi="仿宋_GB2312" w:eastAsia="仿宋_GB2312" w:cs="仿宋_GB2312"/>
          <w:b w:val="0"/>
          <w:bCs w:val="0"/>
          <w:sz w:val="72"/>
          <w:szCs w:val="72"/>
          <w:lang w:eastAsia="zh-CN"/>
        </w:rPr>
      </w:pPr>
    </w:p>
    <w:p w14:paraId="0C5B9DB7">
      <w:pPr>
        <w:pStyle w:val="14"/>
        <w:jc w:val="center"/>
        <w:rPr>
          <w:rFonts w:hint="eastAsia" w:ascii="仿宋_GB2312" w:hAnsi="仿宋_GB2312" w:eastAsia="仿宋_GB2312" w:cs="仿宋_GB2312"/>
          <w:b w:val="0"/>
          <w:bCs w:val="0"/>
          <w:sz w:val="72"/>
          <w:szCs w:val="72"/>
          <w:lang w:eastAsia="zh-CN"/>
        </w:rPr>
      </w:pPr>
    </w:p>
    <w:p w14:paraId="6DF9CD95">
      <w:pPr>
        <w:pStyle w:val="14"/>
        <w:jc w:val="center"/>
        <w:rPr>
          <w:rFonts w:hint="eastAsia" w:ascii="仿宋_GB2312" w:hAnsi="仿宋_GB2312" w:eastAsia="仿宋_GB2312" w:cs="仿宋_GB2312"/>
          <w:b w:val="0"/>
          <w:bCs w:val="0"/>
          <w:sz w:val="72"/>
          <w:szCs w:val="72"/>
          <w:lang w:eastAsia="zh-CN"/>
        </w:rPr>
      </w:pPr>
    </w:p>
    <w:p w14:paraId="2F33B36B">
      <w:pPr>
        <w:pStyle w:val="14"/>
        <w:jc w:val="center"/>
        <w:rPr>
          <w:rFonts w:hint="eastAsia" w:ascii="仿宋_GB2312" w:hAnsi="仿宋_GB2312" w:eastAsia="仿宋_GB2312" w:cs="仿宋_GB2312"/>
          <w:b w:val="0"/>
          <w:bCs w:val="0"/>
          <w:sz w:val="72"/>
          <w:szCs w:val="72"/>
          <w:lang w:eastAsia="zh-CN"/>
        </w:rPr>
      </w:pPr>
    </w:p>
    <w:p w14:paraId="54972D71">
      <w:pPr>
        <w:pStyle w:val="14"/>
        <w:jc w:val="center"/>
        <w:rPr>
          <w:rFonts w:hint="eastAsia" w:ascii="仿宋_GB2312" w:hAnsi="仿宋_GB2312" w:eastAsia="仿宋_GB2312" w:cs="仿宋_GB2312"/>
          <w:b w:val="0"/>
          <w:bCs w:val="0"/>
          <w:sz w:val="72"/>
          <w:szCs w:val="72"/>
          <w:lang w:eastAsia="zh-CN"/>
        </w:rPr>
      </w:pPr>
    </w:p>
    <w:p w14:paraId="11C9C4FE">
      <w:pPr>
        <w:pStyle w:val="14"/>
        <w:jc w:val="center"/>
        <w:rPr>
          <w:rFonts w:hint="eastAsia" w:ascii="方正小标宋_GBK" w:hAnsi="方正小标宋_GBK" w:eastAsia="方正小标宋_GBK" w:cs="方正小标宋_GBK"/>
          <w:sz w:val="72"/>
          <w:szCs w:val="72"/>
        </w:rPr>
      </w:pPr>
    </w:p>
    <w:p w14:paraId="4C50630B">
      <w:pPr>
        <w:pStyle w:val="14"/>
        <w:jc w:val="center"/>
        <w:rPr>
          <w:rFonts w:hint="eastAsia" w:ascii="方正小标宋_GBK" w:hAnsi="方正小标宋_GBK" w:eastAsia="方正小标宋_GBK" w:cs="方正小标宋_GBK"/>
          <w:sz w:val="72"/>
          <w:szCs w:val="72"/>
        </w:rPr>
      </w:pPr>
    </w:p>
    <w:p w14:paraId="4D0E6BFE">
      <w:pPr>
        <w:pStyle w:val="14"/>
        <w:jc w:val="both"/>
        <w:rPr>
          <w:rFonts w:hint="eastAsia" w:ascii="方正小标宋_GBK" w:hAnsi="方正小标宋_GBK" w:eastAsia="方正小标宋_GBK" w:cs="方正小标宋_GBK"/>
          <w:sz w:val="72"/>
          <w:szCs w:val="72"/>
        </w:rPr>
      </w:pPr>
    </w:p>
    <w:p w14:paraId="67A00AC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EA8B0A7">
      <w:pPr>
        <w:pStyle w:val="14"/>
        <w:jc w:val="center"/>
        <w:rPr>
          <w:rFonts w:hint="eastAsia" w:ascii="方正小标宋_GBK" w:hAnsi="方正小标宋_GBK" w:eastAsia="方正小标宋_GBK" w:cs="方正小标宋_GBK"/>
          <w:sz w:val="70"/>
          <w:szCs w:val="70"/>
        </w:rPr>
      </w:pPr>
    </w:p>
    <w:p w14:paraId="34487682">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257C3419">
      <w:pPr>
        <w:pStyle w:val="14"/>
        <w:jc w:val="center"/>
        <w:rPr>
          <w:rFonts w:hint="eastAsia" w:ascii="方正小标宋_GBK" w:hAnsi="方正小标宋_GBK" w:eastAsia="方正小标宋_GBK" w:cs="方正小标宋_GBK"/>
          <w:sz w:val="70"/>
          <w:szCs w:val="70"/>
        </w:rPr>
      </w:pPr>
    </w:p>
    <w:p w14:paraId="463C54F5">
      <w:pPr>
        <w:pStyle w:val="14"/>
        <w:jc w:val="center"/>
        <w:rPr>
          <w:rFonts w:hint="eastAsia" w:ascii="方正小标宋_GBK" w:hAnsi="方正小标宋_GBK" w:eastAsia="方正小标宋_GBK" w:cs="方正小标宋_GBK"/>
          <w:sz w:val="70"/>
          <w:szCs w:val="70"/>
        </w:rPr>
      </w:pPr>
    </w:p>
    <w:p w14:paraId="24D3F40A">
      <w:pPr>
        <w:pStyle w:val="14"/>
        <w:jc w:val="center"/>
        <w:rPr>
          <w:rFonts w:hint="eastAsia" w:ascii="方正小标宋_GBK" w:hAnsi="方正小标宋_GBK" w:eastAsia="方正小标宋_GBK" w:cs="方正小标宋_GBK"/>
          <w:sz w:val="70"/>
          <w:szCs w:val="70"/>
        </w:rPr>
      </w:pPr>
    </w:p>
    <w:p w14:paraId="0F99AEAE">
      <w:pPr>
        <w:widowControl/>
        <w:jc w:val="left"/>
        <w:rPr>
          <w:rFonts w:hint="eastAsia" w:ascii="仿宋_GB2312" w:hAnsi="仿宋_GB2312" w:eastAsia="仿宋_GB2312" w:cs="仿宋_GB2312"/>
          <w:sz w:val="32"/>
          <w:szCs w:val="32"/>
        </w:rPr>
      </w:pPr>
    </w:p>
    <w:p w14:paraId="2BA3DE30">
      <w:pPr>
        <w:pStyle w:val="8"/>
        <w:rPr>
          <w:rFonts w:hint="eastAsia" w:ascii="仿宋_GB2312" w:hAnsi="仿宋_GB2312" w:eastAsia="仿宋_GB2312" w:cs="仿宋_GB2312"/>
          <w:sz w:val="32"/>
          <w:szCs w:val="32"/>
        </w:rPr>
      </w:pPr>
    </w:p>
    <w:p w14:paraId="3CA16B1D">
      <w:pPr>
        <w:pStyle w:val="4"/>
        <w:rPr>
          <w:rFonts w:hint="eastAsia" w:ascii="仿宋_GB2312" w:hAnsi="仿宋_GB2312" w:eastAsia="仿宋_GB2312" w:cs="仿宋_GB2312"/>
          <w:sz w:val="32"/>
          <w:szCs w:val="32"/>
        </w:rPr>
      </w:pPr>
    </w:p>
    <w:p w14:paraId="181EA389">
      <w:pPr>
        <w:rPr>
          <w:rFonts w:hint="eastAsia"/>
        </w:rPr>
      </w:pPr>
    </w:p>
    <w:p w14:paraId="5D0CE8C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FFCCB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3664.35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6521.33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2022年有</w:t>
      </w:r>
      <w:r>
        <w:rPr>
          <w:rFonts w:hint="eastAsia" w:ascii="仿宋" w:hAnsi="仿宋" w:eastAsia="仿宋" w:cs="仿宋"/>
          <w:i w:val="0"/>
          <w:iCs w:val="0"/>
          <w:caps w:val="0"/>
          <w:color w:val="000000"/>
          <w:spacing w:val="0"/>
          <w:sz w:val="32"/>
          <w:szCs w:val="32"/>
          <w:shd w:val="clear" w:color="auto" w:fill="FFFFFF"/>
        </w:rPr>
        <w:t>纪委悟园改扩建项目的建设支出和市委人才周转住房维修改造项目支出。</w:t>
      </w:r>
    </w:p>
    <w:p w14:paraId="393678A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A0F96C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3664.35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3604.85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98.38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w:t>
      </w:r>
    </w:p>
    <w:p w14:paraId="6E68E2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FAAFE4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3664.35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731.02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2933.33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80.05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A5E6E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597782F">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3604.85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6379.47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63.89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2022年有</w:t>
      </w:r>
      <w:r>
        <w:rPr>
          <w:rFonts w:hint="eastAsia" w:ascii="仿宋" w:hAnsi="仿宋" w:eastAsia="仿宋" w:cs="仿宋"/>
          <w:i w:val="0"/>
          <w:iCs w:val="0"/>
          <w:caps w:val="0"/>
          <w:color w:val="000000"/>
          <w:spacing w:val="0"/>
          <w:sz w:val="32"/>
          <w:szCs w:val="32"/>
          <w:shd w:val="clear" w:color="auto" w:fill="FFFFFF"/>
        </w:rPr>
        <w:t>纪委悟园改扩建项目的建设支出和市委人才周转住房维修改造项目支出。</w:t>
      </w:r>
    </w:p>
    <w:p w14:paraId="343C8DB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1F0B6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07A3D76E">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3604.85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98.38</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6379.47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2022年有</w:t>
      </w:r>
      <w:r>
        <w:rPr>
          <w:rFonts w:hint="eastAsia" w:ascii="仿宋" w:hAnsi="仿宋" w:eastAsia="仿宋" w:cs="仿宋"/>
          <w:i w:val="0"/>
          <w:iCs w:val="0"/>
          <w:caps w:val="0"/>
          <w:color w:val="000000"/>
          <w:spacing w:val="0"/>
          <w:sz w:val="32"/>
          <w:szCs w:val="32"/>
          <w:shd w:val="clear" w:color="auto" w:fill="FFFFFF"/>
        </w:rPr>
        <w:t>纪委悟园改扩建项目的建设支出和市委人才周转住房维修改造项目支出。</w:t>
      </w:r>
    </w:p>
    <w:p w14:paraId="00BB898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68A39CD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3604.85</w:t>
      </w:r>
      <w:r>
        <w:rPr>
          <w:rFonts w:hint="eastAsia" w:ascii="仿宋_GB2312" w:hAnsi="仿宋_GB2312" w:eastAsia="仿宋_GB2312" w:cs="仿宋_GB2312"/>
          <w:sz w:val="32"/>
          <w:szCs w:val="32"/>
        </w:rPr>
        <w:t>万元，主要用于以下方面：一般公共服务（类）支出3270.26万元，占</w:t>
      </w:r>
      <w:r>
        <w:rPr>
          <w:rFonts w:hint="eastAsia" w:ascii="仿宋_GB2312" w:hAnsi="仿宋_GB2312" w:eastAsia="仿宋_GB2312" w:cs="仿宋_GB2312"/>
          <w:sz w:val="32"/>
          <w:szCs w:val="32"/>
          <w:lang w:val="en-US" w:eastAsia="zh-CN"/>
        </w:rPr>
        <w:t>90.72</w:t>
      </w:r>
      <w:r>
        <w:rPr>
          <w:rFonts w:hint="eastAsia" w:ascii="仿宋_GB2312" w:hAnsi="仿宋_GB2312" w:eastAsia="仿宋_GB2312" w:cs="仿宋_GB2312"/>
          <w:sz w:val="32"/>
          <w:szCs w:val="32"/>
        </w:rPr>
        <w:t>%；</w:t>
      </w:r>
      <w:r>
        <w:rPr>
          <w:rFonts w:hint="eastAsia" w:ascii="仿宋" w:hAnsi="仿宋" w:eastAsia="仿宋" w:cs="仿宋"/>
          <w:i w:val="0"/>
          <w:iCs w:val="0"/>
          <w:caps w:val="0"/>
          <w:color w:val="000000"/>
          <w:spacing w:val="0"/>
          <w:sz w:val="32"/>
          <w:szCs w:val="32"/>
          <w:shd w:val="clear" w:color="auto" w:fill="FFFFFF"/>
        </w:rPr>
        <w:t>科学技术（类）支出195.4万元，占</w:t>
      </w:r>
      <w:r>
        <w:rPr>
          <w:rFonts w:hint="eastAsia" w:ascii="仿宋" w:hAnsi="仿宋" w:eastAsia="仿宋" w:cs="仿宋"/>
          <w:i w:val="0"/>
          <w:iCs w:val="0"/>
          <w:caps w:val="0"/>
          <w:color w:val="000000"/>
          <w:spacing w:val="0"/>
          <w:sz w:val="32"/>
          <w:szCs w:val="32"/>
          <w:shd w:val="clear" w:color="auto" w:fill="FFFFFF"/>
          <w:lang w:val="en-US" w:eastAsia="zh-CN"/>
        </w:rPr>
        <w:t>5.42</w:t>
      </w:r>
      <w:r>
        <w:rPr>
          <w:rFonts w:hint="default" w:ascii="Times New Roman" w:hAnsi="Times New Roman" w:eastAsia="仿宋"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社会保障和就业（类）支出46.2万元，占</w:t>
      </w:r>
      <w:r>
        <w:rPr>
          <w:rFonts w:hint="eastAsia" w:ascii="仿宋" w:hAnsi="仿宋" w:eastAsia="仿宋" w:cs="仿宋"/>
          <w:i w:val="0"/>
          <w:iCs w:val="0"/>
          <w:caps w:val="0"/>
          <w:color w:val="000000"/>
          <w:spacing w:val="0"/>
          <w:sz w:val="32"/>
          <w:szCs w:val="32"/>
          <w:shd w:val="clear" w:color="auto" w:fill="FFFFFF"/>
          <w:lang w:val="en-US" w:eastAsia="zh-CN"/>
        </w:rPr>
        <w:t>1.28</w:t>
      </w:r>
      <w:r>
        <w:rPr>
          <w:rFonts w:hint="default" w:ascii="Times New Roman" w:hAnsi="Times New Roman" w:eastAsia="仿宋"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卫生健康（类）支出37.01万元，占</w:t>
      </w:r>
      <w:r>
        <w:rPr>
          <w:rFonts w:hint="eastAsia" w:ascii="仿宋" w:hAnsi="仿宋" w:eastAsia="仿宋" w:cs="仿宋"/>
          <w:i w:val="0"/>
          <w:iCs w:val="0"/>
          <w:caps w:val="0"/>
          <w:color w:val="000000"/>
          <w:spacing w:val="0"/>
          <w:sz w:val="32"/>
          <w:szCs w:val="32"/>
          <w:shd w:val="clear" w:color="auto" w:fill="FFFFFF"/>
          <w:lang w:val="en-US" w:eastAsia="zh-CN"/>
        </w:rPr>
        <w:t>1.03</w:t>
      </w:r>
      <w:r>
        <w:rPr>
          <w:rFonts w:hint="default" w:ascii="Times New Roman" w:hAnsi="Times New Roman" w:eastAsia="仿宋" w:cs="Times New Roman"/>
          <w:i w:val="0"/>
          <w:iCs w:val="0"/>
          <w:caps w:val="0"/>
          <w:color w:val="000000"/>
          <w:spacing w:val="0"/>
          <w:sz w:val="32"/>
          <w:szCs w:val="32"/>
          <w:shd w:val="clear" w:color="auto" w:fill="FFFFFF"/>
        </w:rPr>
        <w:t>%;节能环保</w:t>
      </w:r>
      <w:r>
        <w:rPr>
          <w:rFonts w:hint="eastAsia" w:ascii="仿宋" w:hAnsi="仿宋" w:eastAsia="仿宋" w:cs="仿宋"/>
          <w:i w:val="0"/>
          <w:iCs w:val="0"/>
          <w:caps w:val="0"/>
          <w:color w:val="000000"/>
          <w:spacing w:val="0"/>
          <w:sz w:val="32"/>
          <w:szCs w:val="32"/>
          <w:shd w:val="clear" w:color="auto" w:fill="FFFFFF"/>
        </w:rPr>
        <w:t>（类）</w:t>
      </w:r>
      <w:r>
        <w:rPr>
          <w:rFonts w:hint="default" w:ascii="Times New Roman" w:hAnsi="Times New Roman" w:eastAsia="仿宋" w:cs="Times New Roman"/>
          <w:i w:val="0"/>
          <w:iCs w:val="0"/>
          <w:caps w:val="0"/>
          <w:color w:val="000000"/>
          <w:spacing w:val="0"/>
          <w:sz w:val="32"/>
          <w:szCs w:val="32"/>
          <w:shd w:val="clear" w:color="auto" w:fill="FFFFFF"/>
        </w:rPr>
        <w:t>支出</w:t>
      </w:r>
      <w:r>
        <w:rPr>
          <w:rFonts w:hint="eastAsia" w:ascii="Times New Roman" w:hAnsi="Times New Roman" w:eastAsia="仿宋" w:cs="Times New Roman"/>
          <w:i w:val="0"/>
          <w:iCs w:val="0"/>
          <w:caps w:val="0"/>
          <w:color w:val="000000"/>
          <w:spacing w:val="0"/>
          <w:sz w:val="32"/>
          <w:szCs w:val="32"/>
          <w:shd w:val="clear" w:color="auto" w:fill="FFFFFF"/>
          <w:lang w:val="en-US" w:eastAsia="zh-CN"/>
        </w:rPr>
        <w:t>10万元，</w:t>
      </w:r>
      <w:r>
        <w:rPr>
          <w:rFonts w:hint="eastAsia" w:ascii="仿宋" w:hAnsi="仿宋" w:eastAsia="仿宋" w:cs="仿宋"/>
          <w:i w:val="0"/>
          <w:iCs w:val="0"/>
          <w:caps w:val="0"/>
          <w:color w:val="000000"/>
          <w:spacing w:val="0"/>
          <w:sz w:val="32"/>
          <w:szCs w:val="32"/>
          <w:shd w:val="clear" w:color="auto" w:fill="FFFFFF"/>
        </w:rPr>
        <w:t>占</w:t>
      </w:r>
      <w:r>
        <w:rPr>
          <w:rFonts w:hint="eastAsia" w:ascii="仿宋" w:hAnsi="仿宋" w:eastAsia="仿宋" w:cs="仿宋"/>
          <w:i w:val="0"/>
          <w:iCs w:val="0"/>
          <w:caps w:val="0"/>
          <w:color w:val="000000"/>
          <w:spacing w:val="0"/>
          <w:sz w:val="32"/>
          <w:szCs w:val="32"/>
          <w:shd w:val="clear" w:color="auto" w:fill="FFFFFF"/>
          <w:lang w:val="en-US" w:eastAsia="zh-CN"/>
        </w:rPr>
        <w:t>0.28</w:t>
      </w:r>
      <w:r>
        <w:rPr>
          <w:rFonts w:hint="default" w:ascii="Times New Roman" w:hAnsi="Times New Roman" w:eastAsia="仿宋" w:cs="Times New Roman"/>
          <w:i w:val="0"/>
          <w:iCs w:val="0"/>
          <w:caps w:val="0"/>
          <w:color w:val="000000"/>
          <w:spacing w:val="0"/>
          <w:sz w:val="32"/>
          <w:szCs w:val="32"/>
          <w:shd w:val="clear" w:color="auto" w:fill="FFFFFF"/>
        </w:rPr>
        <w:t>%;住房保障</w:t>
      </w:r>
      <w:r>
        <w:rPr>
          <w:rFonts w:hint="eastAsia" w:ascii="仿宋" w:hAnsi="仿宋" w:eastAsia="仿宋" w:cs="仿宋"/>
          <w:i w:val="0"/>
          <w:iCs w:val="0"/>
          <w:caps w:val="0"/>
          <w:color w:val="000000"/>
          <w:spacing w:val="0"/>
          <w:sz w:val="32"/>
          <w:szCs w:val="32"/>
          <w:shd w:val="clear" w:color="auto" w:fill="FFFFFF"/>
        </w:rPr>
        <w:t>（类）</w:t>
      </w:r>
      <w:r>
        <w:rPr>
          <w:rFonts w:hint="default" w:ascii="Times New Roman" w:hAnsi="Times New Roman" w:eastAsia="仿宋" w:cs="Times New Roman"/>
          <w:i w:val="0"/>
          <w:iCs w:val="0"/>
          <w:caps w:val="0"/>
          <w:color w:val="000000"/>
          <w:spacing w:val="0"/>
          <w:sz w:val="32"/>
          <w:szCs w:val="32"/>
          <w:shd w:val="clear" w:color="auto" w:fill="FFFFFF"/>
        </w:rPr>
        <w:t>支出45.98</w:t>
      </w:r>
      <w:r>
        <w:rPr>
          <w:rFonts w:hint="eastAsia" w:ascii="Times New Roman" w:hAnsi="Times New Roman" w:eastAsia="仿宋" w:cs="Times New Roman"/>
          <w:i w:val="0"/>
          <w:iCs w:val="0"/>
          <w:caps w:val="0"/>
          <w:color w:val="000000"/>
          <w:spacing w:val="0"/>
          <w:sz w:val="32"/>
          <w:szCs w:val="32"/>
          <w:shd w:val="clear" w:color="auto" w:fill="FFFFFF"/>
          <w:lang w:eastAsia="zh-CN"/>
        </w:rPr>
        <w:t>万元，</w:t>
      </w:r>
      <w:r>
        <w:rPr>
          <w:rFonts w:hint="eastAsia" w:ascii="仿宋" w:hAnsi="仿宋" w:eastAsia="仿宋" w:cs="仿宋"/>
          <w:i w:val="0"/>
          <w:iCs w:val="0"/>
          <w:caps w:val="0"/>
          <w:color w:val="000000"/>
          <w:spacing w:val="0"/>
          <w:sz w:val="32"/>
          <w:szCs w:val="32"/>
          <w:shd w:val="clear" w:color="auto" w:fill="FFFFFF"/>
        </w:rPr>
        <w:t>占</w:t>
      </w:r>
      <w:r>
        <w:rPr>
          <w:rFonts w:hint="eastAsia" w:ascii="仿宋" w:hAnsi="仿宋" w:eastAsia="仿宋" w:cs="仿宋"/>
          <w:i w:val="0"/>
          <w:iCs w:val="0"/>
          <w:caps w:val="0"/>
          <w:color w:val="000000"/>
          <w:spacing w:val="0"/>
          <w:sz w:val="32"/>
          <w:szCs w:val="32"/>
          <w:shd w:val="clear" w:color="auto" w:fill="FFFFFF"/>
          <w:lang w:val="en-US" w:eastAsia="zh-CN"/>
        </w:rPr>
        <w:t>1.27</w:t>
      </w:r>
      <w:r>
        <w:rPr>
          <w:rFonts w:hint="default" w:ascii="Times New Roman" w:hAnsi="Times New Roman" w:eastAsia="仿宋" w:cs="Times New Roman"/>
          <w:i w:val="0"/>
          <w:iCs w:val="0"/>
          <w:caps w:val="0"/>
          <w:color w:val="000000"/>
          <w:spacing w:val="0"/>
          <w:sz w:val="32"/>
          <w:szCs w:val="32"/>
          <w:shd w:val="clear" w:color="auto" w:fill="FFFFFF"/>
        </w:rPr>
        <w:t>%</w:t>
      </w:r>
      <w:r>
        <w:rPr>
          <w:rFonts w:hint="eastAsia" w:ascii="Times New Roman" w:hAnsi="Times New Roman" w:eastAsia="仿宋" w:cs="Times New Roman"/>
          <w:i w:val="0"/>
          <w:iCs w:val="0"/>
          <w:caps w:val="0"/>
          <w:color w:val="000000"/>
          <w:spacing w:val="0"/>
          <w:sz w:val="32"/>
          <w:szCs w:val="32"/>
          <w:shd w:val="clear" w:color="auto" w:fill="FFFFFF"/>
          <w:lang w:eastAsia="zh-CN"/>
        </w:rPr>
        <w:t>。</w:t>
      </w:r>
    </w:p>
    <w:p w14:paraId="36781F5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（三）一般公共预算财政拨款支出决算具体情况</w:t>
      </w:r>
    </w:p>
    <w:p w14:paraId="1F291D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1312.23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3604.85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274.71</w:t>
      </w:r>
      <w:r>
        <w:rPr>
          <w:rFonts w:hint="eastAsia" w:ascii="仿宋_GB2312" w:hAnsi="仿宋_GB2312" w:eastAsia="仿宋_GB2312" w:cs="仿宋_GB2312"/>
          <w:sz w:val="32"/>
          <w:szCs w:val="32"/>
        </w:rPr>
        <w:t>%，其中：</w:t>
      </w:r>
    </w:p>
    <w:p w14:paraId="36E4CEE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1、一般公共服务（类）政府办公厅（室）及相关机构事务（款）行政运行（项）。</w:t>
      </w:r>
    </w:p>
    <w:p w14:paraId="74A0189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1177.47</w:t>
      </w:r>
      <w:r>
        <w:rPr>
          <w:rFonts w:hint="eastAsia" w:ascii="仿宋_GB2312" w:hAnsi="仿宋_GB2312" w:eastAsia="仿宋_GB2312" w:cs="仿宋_GB2312"/>
          <w:color w:val="000000" w:themeColor="text1"/>
          <w:sz w:val="32"/>
          <w:szCs w:val="32"/>
          <w14:textFill>
            <w14:solidFill>
              <w14:schemeClr w14:val="tx1"/>
            </w14:solidFill>
          </w14:textFill>
        </w:rPr>
        <w:t>万元，支出决算为1734.32万元，完成年初预算的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147.29</w:t>
      </w:r>
      <w:r>
        <w:rPr>
          <w:rFonts w:hint="eastAsia" w:ascii="仿宋_GB2312" w:hAnsi="仿宋_GB2312" w:eastAsia="仿宋_GB2312" w:cs="仿宋_GB2312"/>
          <w:color w:val="000000" w:themeColor="text1"/>
          <w:sz w:val="32"/>
          <w:szCs w:val="32"/>
          <w14:textFill>
            <w14:solidFill>
              <w14:schemeClr w14:val="tx1"/>
            </w14:solidFill>
          </w14:textFill>
        </w:rPr>
        <w:t>%，决算数大于年初预算数的主要原因是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：悟园信息化建设项目、人民大会堂南湖厅的湘绣《天下洞庭》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未列入我单位2023年初预算</w:t>
      </w:r>
      <w:r>
        <w:rPr>
          <w:rFonts w:hint="eastAsia" w:ascii="仿宋_GB2312" w:hAnsi="仿宋_GB2312" w:eastAsia="仿宋_GB2312" w:cs="仿宋_GB2312"/>
          <w:color w:val="FF0000"/>
          <w:sz w:val="32"/>
          <w:szCs w:val="32"/>
          <w:lang w:val="en-US" w:eastAsia="zh-CN"/>
        </w:rPr>
        <w:t>。</w:t>
      </w:r>
    </w:p>
    <w:p w14:paraId="1D156C9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2、一般公共服务（类）政府办公厅（室）及相关机构事务（款）一般行政管理事务（项）。</w:t>
      </w:r>
    </w:p>
    <w:p w14:paraId="4ED078E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万元，支出决算为520.21万元，决算数大于年初预算数的主要原因是：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2022年非税收入返还在2023年使用，二是三资改革处置项目、原规划执法支队旧办公楼维修改造项目未列入我单位2023年初预算。</w:t>
      </w:r>
    </w:p>
    <w:p w14:paraId="1516958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一般公共服务（类）政府办公厅（室）及相关机构事务（款）专项业务及机关事务管理（项）。</w:t>
      </w:r>
    </w:p>
    <w:p w14:paraId="3B42803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72.56</w:t>
      </w:r>
      <w:r>
        <w:rPr>
          <w:rFonts w:hint="eastAsia" w:ascii="仿宋_GB2312" w:hAnsi="仿宋_GB2312" w:eastAsia="仿宋_GB2312" w:cs="仿宋_GB2312"/>
          <w:color w:val="000000" w:themeColor="text1"/>
          <w:sz w:val="32"/>
          <w:szCs w:val="32"/>
          <w14:textFill>
            <w14:solidFill>
              <w14:schemeClr w14:val="tx1"/>
            </w14:solidFill>
          </w14:textFill>
        </w:rPr>
        <w:t>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市人大常委办公楼电梯更换项目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未列入我单位2023年初预算。</w:t>
      </w:r>
    </w:p>
    <w:p w14:paraId="17118D3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一般公共服务（类）政府办公厅（室）及相关机构事务（款）其他政府办公厅（室）及相关机构事务支出（项）。</w:t>
      </w:r>
    </w:p>
    <w:p w14:paraId="42C197A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万元，支出决算为943.17万元，决算数大于年初预算数的主要原因是：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悟园改扩建项目支出、市委组织部信息档案库改造工程项目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未列入我单位2023年初预算。</w:t>
      </w:r>
    </w:p>
    <w:p w14:paraId="5D5201A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5、科学技术支出</w:t>
      </w:r>
      <w:r>
        <w:rPr>
          <w:rFonts w:hint="eastAsia" w:ascii="仿宋_GB2312" w:hAnsi="仿宋_GB2312" w:eastAsia="仿宋_GB2312" w:cs="仿宋_GB2312"/>
          <w:sz w:val="32"/>
          <w:szCs w:val="32"/>
        </w:rPr>
        <w:t>（类）其他科学技术支出（款</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（项）。</w:t>
      </w:r>
    </w:p>
    <w:p w14:paraId="35F37EB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万元，支出决算为195.4万元，决算数大于年初预算数的主要原因是：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市委人才周转住房维修改造项目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未列入我单位2023年初预算</w:t>
      </w:r>
      <w:r>
        <w:rPr>
          <w:rFonts w:hint="eastAsia" w:ascii="仿宋_GB2312" w:hAnsi="仿宋_GB2312" w:eastAsia="仿宋_GB2312" w:cs="仿宋_GB2312"/>
          <w:color w:val="FF0000"/>
          <w:sz w:val="32"/>
          <w:szCs w:val="32"/>
          <w:lang w:val="en-US" w:eastAsia="zh-CN"/>
        </w:rPr>
        <w:t>。</w:t>
      </w:r>
    </w:p>
    <w:p w14:paraId="6E747C8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6、社会保</w:t>
      </w:r>
      <w:r>
        <w:rPr>
          <w:rFonts w:hint="eastAsia" w:ascii="仿宋_GB2312" w:hAnsi="仿宋_GB2312" w:eastAsia="仿宋_GB2312" w:cs="仿宋_GB2312"/>
          <w:sz w:val="32"/>
          <w:szCs w:val="32"/>
          <w:lang w:val="en-US" w:eastAsia="zh-CN"/>
        </w:rPr>
        <w:t>障和就业支出</w:t>
      </w:r>
      <w:r>
        <w:rPr>
          <w:rFonts w:hint="eastAsia" w:ascii="仿宋_GB2312" w:hAnsi="仿宋_GB2312" w:eastAsia="仿宋_GB2312" w:cs="仿宋_GB2312"/>
          <w:sz w:val="32"/>
          <w:szCs w:val="32"/>
        </w:rPr>
        <w:t>（类）行政事业单位养老支出</w:t>
      </w:r>
      <w:r>
        <w:rPr>
          <w:rFonts w:hint="eastAsia" w:ascii="仿宋_GB2312" w:hAnsi="仿宋_GB2312" w:eastAsia="仿宋_GB2312" w:cs="仿宋_GB2312"/>
          <w:sz w:val="32"/>
          <w:szCs w:val="32"/>
          <w:lang w:eastAsia="zh-CN"/>
        </w:rPr>
        <w:t>（款） 机关事业单位基本养老保险缴费支出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4F547EA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年初预算为46.88万元，支出决算为46.2万元，完成年初预算的98.55%，决算数小于年初预算数的主要原因是： 2022年年中我单位有退休同志一名，该同志养老保险年初纳入我单位预算，导致我单位养老保险年末决算支出小于年初预算。</w:t>
      </w:r>
    </w:p>
    <w:p w14:paraId="12C9445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7、卫生健康支出（类）行政事业单位医疗（款） 行政单位医疗（项）</w:t>
      </w:r>
    </w:p>
    <w:p w14:paraId="777844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年初预算为37.01万元，支出决算为37.01万元，完成年初预算的100%，决算数等于年初预算数的主要原因是：我单位严格按预算执行决算。</w:t>
      </w:r>
    </w:p>
    <w:p w14:paraId="27472BF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8、卫生健康支出（类）行政事业单位医疗（款） 公务员医疗补助（项）</w:t>
      </w:r>
    </w:p>
    <w:p w14:paraId="30ABDA2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年初预算为4.88万元，支出决算为0万元，完成年初预算的0%，决算数小于年初预算数的主要原因是：财政直接代付。</w:t>
      </w:r>
    </w:p>
    <w:p w14:paraId="7241CB6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9、节能环保支出（类）能源节约利用（款）能源节约利用（项） </w:t>
      </w:r>
    </w:p>
    <w:p w14:paraId="238C7EA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年初预算为0万元，支出决算为10万元，决算数大于年初预算数的主要原因是：年中省局拨付我局公共机构节能补助资金10万元，年初并未纳入预算。</w:t>
      </w:r>
    </w:p>
    <w:p w14:paraId="5DDF519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10、住房保障支出（类）住房改革支出（款）住房公积金（项）</w:t>
      </w:r>
    </w:p>
    <w:p w14:paraId="10071A9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年初预算为45.98万元，支出决算为45.98万元，完成年初预算的100%，决算数等于年初预算数的主要原因是：我单位严格按预算执行决算。</w:t>
      </w:r>
    </w:p>
    <w:p w14:paraId="688C48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yellow"/>
        </w:rPr>
      </w:pPr>
      <w:r>
        <w:rPr>
          <w:rFonts w:hint="eastAsia" w:ascii="黑体" w:hAnsi="黑体" w:eastAsia="黑体" w:cs="黑体"/>
          <w:b w:val="0"/>
          <w:bCs/>
          <w:sz w:val="32"/>
          <w:szCs w:val="32"/>
          <w:highlight w:val="none"/>
        </w:rPr>
        <w:t>六、一般公共预算财政拨款基本支出决算情况说明</w:t>
      </w:r>
    </w:p>
    <w:p w14:paraId="751FBF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671.51</w:t>
      </w:r>
      <w:r>
        <w:rPr>
          <w:rFonts w:hint="eastAsia" w:ascii="仿宋_GB2312" w:hAnsi="仿宋_GB2312" w:eastAsia="仿宋_GB2312" w:cs="仿宋_GB2312"/>
          <w:sz w:val="32"/>
          <w:szCs w:val="32"/>
        </w:rPr>
        <w:t>万元，其中：</w:t>
      </w:r>
    </w:p>
    <w:p w14:paraId="3DCB43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565.19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84.17</w:t>
      </w:r>
      <w:r>
        <w:rPr>
          <w:rFonts w:hint="eastAsia" w:ascii="仿宋_GB2312" w:hAnsi="仿宋_GB2312" w:eastAsia="仿宋_GB2312" w:cs="仿宋_GB2312"/>
          <w:sz w:val="32"/>
          <w:szCs w:val="32"/>
        </w:rPr>
        <w:t>%,</w:t>
      </w:r>
      <w:r>
        <w:rPr>
          <w:rFonts w:hint="eastAsia" w:ascii="仿宋" w:hAnsi="仿宋" w:eastAsia="仿宋" w:cs="仿宋"/>
          <w:i w:val="0"/>
          <w:iCs w:val="0"/>
          <w:caps w:val="0"/>
          <w:color w:val="000000"/>
          <w:spacing w:val="0"/>
          <w:sz w:val="32"/>
          <w:szCs w:val="32"/>
          <w:shd w:val="clear" w:color="auto" w:fill="FFFFFF"/>
        </w:rPr>
        <w:t>主要包括主要包括基本工资、津贴补贴、奖金、伙食补助费、绩效工资、机关事业单位基本养老保险缴费、职业年金缴费、职工基本医疗保险缴费、公务员医疗补助缴费、其他社会保障缴费、住房公积金、医疗费、其他工资福利支出、离休费、退休费、生活补助、医疗费补助、奖励金。</w:t>
      </w:r>
    </w:p>
    <w:p w14:paraId="47AB91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宋体" w:eastAsia="黑体" w:cs="黑体"/>
          <w:i w:val="0"/>
          <w:iCs w:val="0"/>
          <w:caps w:val="0"/>
          <w:color w:val="000000"/>
          <w:spacing w:val="0"/>
          <w:sz w:val="24"/>
          <w:szCs w:val="24"/>
        </w:rPr>
      </w:pPr>
      <w:r>
        <w:rPr>
          <w:rFonts w:hint="eastAsia" w:ascii="仿宋_GB2312" w:hAnsi="仿宋_GB2312" w:eastAsia="仿宋_GB2312" w:cs="仿宋_GB2312"/>
          <w:b/>
          <w:bCs/>
          <w:sz w:val="32"/>
          <w:szCs w:val="32"/>
        </w:rPr>
        <w:t>公用经费106.32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15.83</w:t>
      </w:r>
      <w:r>
        <w:rPr>
          <w:rFonts w:hint="eastAsia" w:ascii="仿宋_GB2312" w:hAnsi="仿宋_GB2312" w:eastAsia="仿宋_GB2312" w:cs="仿宋_GB2312"/>
          <w:sz w:val="32"/>
          <w:szCs w:val="32"/>
        </w:rPr>
        <w:t>%，</w:t>
      </w:r>
      <w:r>
        <w:rPr>
          <w:rFonts w:hint="eastAsia" w:ascii="仿宋" w:hAnsi="仿宋" w:eastAsia="仿宋" w:cs="仿宋"/>
          <w:i w:val="0"/>
          <w:iCs w:val="0"/>
          <w:caps w:val="0"/>
          <w:color w:val="000000"/>
          <w:spacing w:val="0"/>
          <w:sz w:val="32"/>
          <w:szCs w:val="32"/>
          <w:shd w:val="clear" w:color="auto" w:fill="FFFFFF"/>
        </w:rPr>
        <w:t>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信息网络及软件购置更新、公务用车购置、其他交通工具购置、无形资产购置、其他资本性支出。</w:t>
      </w:r>
    </w:p>
    <w:p w14:paraId="5CADE7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i w:val="0"/>
          <w:iCs/>
          <w:color w:val="FF0000"/>
          <w:kern w:val="0"/>
          <w:sz w:val="36"/>
          <w:szCs w:val="36"/>
          <w:lang w:val="en-US" w:eastAsia="zh-CN" w:bidi="ar-SA"/>
        </w:rPr>
      </w:pPr>
      <w:r>
        <w:rPr>
          <w:rFonts w:hint="eastAsia" w:ascii="黑体" w:hAnsi="黑体" w:eastAsia="黑体" w:cs="黑体"/>
          <w:b w:val="0"/>
          <w:bCs/>
          <w:sz w:val="32"/>
          <w:szCs w:val="32"/>
        </w:rPr>
        <w:t>七、政府性基金预算收入支出决算情况</w:t>
      </w:r>
    </w:p>
    <w:p w14:paraId="144762B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2023年度政府性基金预算财政拨款收入0万元；年初结转和结余0万元；支出0万元，其中基本支出0万元，项目支出0万元；年末结转和结余0万元。</w:t>
      </w:r>
    </w:p>
    <w:p w14:paraId="0506A20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51779DC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2023年度国有资本经营预算财政拨款收入0万元；年初结转和结余0万；支出0万元，其中：基本支出0万元，项目支出0万元；年末结转和结余0万元。</w:t>
      </w:r>
    </w:p>
    <w:p w14:paraId="280A75A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465FA41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1378ED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“三公”经费财政拨款支出预算为73.26万元，支出决算为73.26万元，完成预算的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w:t>
      </w:r>
      <w:r>
        <w:rPr>
          <w:rFonts w:hint="eastAsia" w:ascii="仿宋_GB2312" w:hAnsi="仿宋_GB2312" w:eastAsia="仿宋_GB2312" w:cs="仿宋_GB2312"/>
          <w:sz w:val="32"/>
          <w:szCs w:val="32"/>
          <w:highlight w:val="none"/>
        </w:rPr>
        <w:t>算数</w:t>
      </w:r>
      <w:r>
        <w:rPr>
          <w:rFonts w:hint="eastAsia" w:ascii="仿宋_GB2312" w:hAnsi="仿宋_GB2312" w:eastAsia="仿宋_GB2312" w:cs="仿宋_GB2312"/>
          <w:sz w:val="32"/>
          <w:szCs w:val="32"/>
          <w:highlight w:val="none"/>
          <w:lang w:eastAsia="zh-CN"/>
        </w:rPr>
        <w:t>等于</w:t>
      </w:r>
      <w:r>
        <w:rPr>
          <w:rFonts w:hint="eastAsia" w:ascii="仿宋_GB2312" w:hAnsi="仿宋_GB2312" w:eastAsia="仿宋_GB2312" w:cs="仿宋_GB2312"/>
          <w:sz w:val="32"/>
          <w:szCs w:val="32"/>
          <w:highlight w:val="none"/>
        </w:rPr>
        <w:t>预算数的主要</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我单位严格按预算执行决算。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41.07</w:t>
      </w:r>
      <w:r>
        <w:rPr>
          <w:rFonts w:hint="eastAsia" w:ascii="仿宋_GB2312" w:hAnsi="仿宋_GB2312" w:eastAsia="仿宋_GB2312" w:cs="仿宋_GB2312"/>
          <w:sz w:val="32"/>
          <w:szCs w:val="32"/>
        </w:rPr>
        <w:t>万元，减</w:t>
      </w:r>
      <w:r>
        <w:rPr>
          <w:rFonts w:hint="eastAsia" w:ascii="仿宋_GB2312" w:hAnsi="仿宋_GB2312" w:eastAsia="仿宋_GB2312" w:cs="仿宋_GB2312"/>
          <w:sz w:val="32"/>
          <w:szCs w:val="32"/>
          <w:lang w:val="en-US" w:eastAsia="zh-CN"/>
        </w:rPr>
        <w:t>少35.92%,减少的主</w:t>
      </w:r>
      <w:r>
        <w:rPr>
          <w:rFonts w:hint="eastAsia" w:ascii="仿宋_GB2312" w:hAnsi="仿宋_GB2312" w:eastAsia="仿宋_GB2312" w:cs="仿宋_GB2312"/>
          <w:sz w:val="32"/>
          <w:szCs w:val="32"/>
        </w:rPr>
        <w:t>要原因是</w:t>
      </w:r>
      <w:r>
        <w:rPr>
          <w:rFonts w:hint="eastAsia" w:ascii="仿宋_GB2312" w:hAnsi="仿宋_GB2312" w:eastAsia="仿宋_GB2312" w:cs="仿宋_GB2312"/>
          <w:sz w:val="32"/>
          <w:szCs w:val="32"/>
          <w:lang w:val="en-US" w:eastAsia="zh-CN"/>
        </w:rPr>
        <w:t>2022年我单位购买了两辆公务用车，2023年我单位未购置公务用车</w:t>
      </w:r>
      <w:r>
        <w:rPr>
          <w:rFonts w:hint="eastAsia" w:ascii="仿宋_GB2312" w:hAnsi="仿宋_GB2312" w:eastAsia="仿宋_GB2312" w:cs="仿宋_GB2312"/>
          <w:sz w:val="32"/>
          <w:szCs w:val="32"/>
        </w:rPr>
        <w:t>。其中：</w:t>
      </w:r>
    </w:p>
    <w:p w14:paraId="3FEF706A">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4DDAB2B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务接待费支出预算为1.18万元，支出决算为1.18万元，完成预算的100%，决算数等于预算数的主要原因是严格执行中央八项规定；与上年相比减少0.87万元，减少42.44%,减少的主要原因是按有关政策厉行节约，严控公务接待支出。</w:t>
      </w:r>
      <w:r>
        <w:rPr>
          <w:rFonts w:hint="eastAsia" w:ascii="仿宋_GB2312" w:hAnsi="仿宋_GB2312" w:eastAsia="仿宋_GB2312" w:cs="仿宋_GB2312"/>
          <w:b w:val="0"/>
          <w:bCs/>
          <w:color w:val="FF0000"/>
          <w:kern w:val="0"/>
          <w:sz w:val="32"/>
          <w:szCs w:val="32"/>
          <w:lang w:val="en-US" w:eastAsia="zh-CN" w:bidi="ar-SA"/>
        </w:rPr>
        <w:t xml:space="preserve"> </w:t>
      </w:r>
    </w:p>
    <w:p w14:paraId="61CF26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w:t>
      </w:r>
      <w:r>
        <w:rPr>
          <w:rFonts w:hint="eastAsia" w:ascii="仿宋_GB2312" w:hAnsi="仿宋_GB2312" w:eastAsia="仿宋_GB2312" w:cs="仿宋_GB2312"/>
          <w:color w:val="000000" w:themeColor="text1"/>
          <w:sz w:val="32"/>
          <w:szCs w:val="32"/>
          <w14:textFill>
            <w14:solidFill>
              <w14:schemeClr w14:val="tx1"/>
            </w14:solidFill>
          </w14:textFill>
        </w:rPr>
        <w:t>务用车购置费支出预算为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决算数等于预算数，主要原因是我单位严格按预算执行决算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，与上年相比减少51.98万元，减少的主要原因是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2023年我单位</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未购置公务用车。</w:t>
      </w:r>
    </w:p>
    <w:p w14:paraId="09060BA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color w:val="000000" w:themeColor="text1"/>
          <w:sz w:val="32"/>
          <w:szCs w:val="32"/>
          <w14:textFill>
            <w14:solidFill>
              <w14:schemeClr w14:val="tx1"/>
            </w14:solidFill>
          </w14:textFill>
        </w:rPr>
        <w:t>72.08万元，支出决算为72.08万元，完成预算的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于预算数的主要原因是</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与上年相比增加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11.77</w:t>
      </w:r>
      <w:r>
        <w:rPr>
          <w:rFonts w:hint="eastAsia" w:ascii="仿宋_GB2312" w:hAnsi="仿宋_GB2312" w:eastAsia="仿宋_GB2312" w:cs="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19.52</w:t>
      </w:r>
      <w:r>
        <w:rPr>
          <w:rFonts w:hint="eastAsia" w:ascii="仿宋_GB2312" w:hAnsi="仿宋_GB2312" w:eastAsia="仿宋_GB2312" w:cs="仿宋_GB2312"/>
          <w:color w:val="000000" w:themeColor="text1"/>
          <w:sz w:val="32"/>
          <w:szCs w:val="32"/>
          <w14:textFill>
            <w14:solidFill>
              <w14:schemeClr w14:val="tx1"/>
            </w14:solidFill>
          </w14:textFill>
        </w:rPr>
        <w:t>%,增长的主要原因是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我单位公车中心的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公务用车使用年限都较长，导致维修保养支出费用相对较</w:t>
      </w:r>
      <w:r>
        <w:rPr>
          <w:rFonts w:hint="eastAsia" w:ascii="仿宋_GB2312" w:hAnsi="仿宋_GB2312" w:eastAsia="仿宋_GB2312" w:cs="仿宋_GB2312"/>
          <w:sz w:val="32"/>
          <w:szCs w:val="32"/>
          <w:lang w:val="en-US" w:eastAsia="zh-CN"/>
        </w:rPr>
        <w:t>高，加上2023年油价上涨，导致2023年</w:t>
      </w: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w:t>
      </w:r>
    </w:p>
    <w:p w14:paraId="60D24C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76845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年度“三公”经费财政拨款支出决算中，公务接待费支出决算1.18万元，占</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%,公务用车购置费及运行维护费支出决算72.08万元，占</w:t>
      </w:r>
      <w:r>
        <w:rPr>
          <w:rFonts w:hint="eastAsia" w:ascii="仿宋_GB2312" w:hAnsi="仿宋_GB2312" w:eastAsia="仿宋_GB2312" w:cs="仿宋_GB2312"/>
          <w:sz w:val="32"/>
          <w:szCs w:val="32"/>
          <w:lang w:val="en-US" w:eastAsia="zh-CN"/>
        </w:rPr>
        <w:t>98.39</w:t>
      </w:r>
      <w:r>
        <w:rPr>
          <w:rFonts w:hint="eastAsia" w:ascii="仿宋_GB2312" w:hAnsi="仿宋_GB2312" w:eastAsia="仿宋_GB2312" w:cs="仿宋_GB2312"/>
          <w:sz w:val="32"/>
          <w:szCs w:val="32"/>
        </w:rPr>
        <w:t>%。其中：</w:t>
      </w:r>
    </w:p>
    <w:p w14:paraId="55D33AB4">
      <w:pPr>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790" w:leftChars="0" w:firstLine="0" w:firstLineChars="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因公出国（境）费支出决算为0万元，全年安排因公出国（境）团</w:t>
      </w:r>
    </w:p>
    <w:p w14:paraId="428ED3FC">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组0个，累计0人次，我单位2023年度无因公出国（境）费支出。  </w:t>
      </w:r>
    </w:p>
    <w:p w14:paraId="09DC617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省局，永州、娄底、扬州、广西贺州等机关事务管理局来我局调研</w:t>
      </w:r>
      <w:r>
        <w:rPr>
          <w:rFonts w:hint="eastAsia" w:ascii="仿宋_GB2312" w:hAnsi="仿宋_GB2312" w:eastAsia="仿宋_GB2312" w:cs="仿宋_GB2312"/>
          <w:sz w:val="32"/>
          <w:szCs w:val="32"/>
        </w:rPr>
        <w:t>发生的接待支出。</w:t>
      </w:r>
    </w:p>
    <w:p w14:paraId="260D4B3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3、公务用车购置费及运行维护费支出决算为72.08万元，其中：</w:t>
      </w:r>
      <w:r>
        <w:rPr>
          <w:rFonts w:hint="eastAsia" w:ascii="仿宋_GB2312" w:hAnsi="仿宋_GB2312" w:eastAsia="仿宋_GB2312" w:cs="仿宋_GB2312"/>
          <w:sz w:val="32"/>
          <w:szCs w:val="32"/>
          <w:lang w:val="en-US" w:eastAsia="zh-CN"/>
        </w:rPr>
        <w:t>公务用车购置费0万元，当年没有购置公务用车</w:t>
      </w:r>
      <w:r>
        <w:rPr>
          <w:rFonts w:hint="eastAsia" w:ascii="仿宋_GB2312" w:hAnsi="仿宋_GB2312" w:eastAsia="仿宋_GB2312" w:cs="仿宋_GB2312"/>
          <w:sz w:val="32"/>
          <w:szCs w:val="32"/>
        </w:rPr>
        <w:t>。公务用车运行维护费72.08万元，主要是</w:t>
      </w:r>
      <w:r>
        <w:rPr>
          <w:rFonts w:hint="eastAsia" w:ascii="仿宋_GB2312" w:hAnsi="仿宋_GB2312" w:eastAsia="仿宋_GB2312" w:cs="仿宋_GB2312"/>
          <w:sz w:val="32"/>
          <w:szCs w:val="32"/>
          <w:lang w:eastAsia="zh-CN"/>
        </w:rPr>
        <w:t>我局二级机构公车中心的</w:t>
      </w:r>
      <w:r>
        <w:rPr>
          <w:rFonts w:hint="eastAsia" w:ascii="仿宋_GB2312" w:hAnsi="仿宋_GB2312" w:eastAsia="仿宋_GB2312" w:cs="仿宋_GB2312"/>
          <w:sz w:val="32"/>
          <w:szCs w:val="32"/>
          <w:lang w:val="en-US" w:eastAsia="zh-CN"/>
        </w:rPr>
        <w:t>25台公车保障全市公务出行产生的公务用车的维修保养费和油料费等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w:t>
      </w:r>
    </w:p>
    <w:p w14:paraId="21EB5E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1F2CA0B">
      <w:pPr>
        <w:pStyle w:val="9"/>
        <w:keepNext w:val="0"/>
        <w:keepLines w:val="0"/>
        <w:widowControl/>
        <w:suppressLineNumbers w:val="0"/>
        <w:shd w:val="clear" w:color="auto" w:fill="FFFFFF"/>
        <w:spacing w:before="0" w:beforeAutospacing="0" w:after="0" w:afterAutospacing="0" w:line="27" w:lineRule="atLeast"/>
        <w:ind w:left="0" w:right="0" w:firstLine="640"/>
        <w:jc w:val="left"/>
        <w:rPr>
          <w:rFonts w:hint="eastAsia" w:ascii="黑体" w:hAnsi="宋体" w:eastAsia="黑体" w:cs="黑体"/>
          <w:i w:val="0"/>
          <w:iCs w:val="0"/>
          <w:caps w:val="0"/>
          <w:color w:val="000000"/>
          <w:spacing w:val="0"/>
          <w:sz w:val="24"/>
          <w:szCs w:val="24"/>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年度机关运行经费支出106.32万元，比年初预算数减少</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5.52</w:t>
      </w:r>
      <w:r>
        <w:rPr>
          <w:rFonts w:hint="eastAsia" w:ascii="仿宋_GB2312" w:hAnsi="仿宋_GB2312" w:eastAsia="仿宋_GB2312" w:cs="仿宋_GB2312"/>
          <w:sz w:val="32"/>
          <w:szCs w:val="32"/>
        </w:rPr>
        <w:t>%。主要原因是</w:t>
      </w:r>
      <w:r>
        <w:rPr>
          <w:rFonts w:hint="eastAsia" w:ascii="仿宋" w:hAnsi="仿宋" w:eastAsia="仿宋" w:cs="仿宋"/>
          <w:i w:val="0"/>
          <w:iCs w:val="0"/>
          <w:caps w:val="0"/>
          <w:color w:val="000000"/>
          <w:spacing w:val="0"/>
          <w:sz w:val="32"/>
          <w:szCs w:val="32"/>
          <w:shd w:val="clear" w:color="auto" w:fill="FFFFFF"/>
        </w:rPr>
        <w:t>响应政府“过紧日子”优化资金使用效率。</w:t>
      </w:r>
    </w:p>
    <w:p w14:paraId="443CF53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1E12DB2">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年度，会议费年初预算1万元，支出决算为0.22万元，完成年初预算的22%。用于召开全市机关事务工作会议，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全市县市区机关事务工作相关会议。</w:t>
      </w:r>
    </w:p>
    <w:p w14:paraId="21CF844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2万元，支出决算为1.76万元，完成年初预算的88%。用于开展全市公共机构节能培训、我单位2023年事业人员培训支出，人数230人，内容为全市公共机构节能能耗统计培训、2023年事业人员培训费用支出。</w:t>
      </w:r>
    </w:p>
    <w:p w14:paraId="077338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51AE8D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D372C9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648.5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369.5</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648.5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648.5</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无法计算</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w:t>
      </w:r>
      <w:r>
        <w:rPr>
          <w:rFonts w:hint="eastAsia" w:ascii="仿宋_GB2312" w:hAnsi="仿宋_GB2312" w:eastAsia="仿宋_GB2312" w:cs="仿宋_GB2312"/>
          <w:color w:val="auto"/>
          <w:sz w:val="32"/>
          <w:szCs w:val="32"/>
          <w:lang w:eastAsia="zh-CN"/>
        </w:rPr>
        <w:t>的比重</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6C0A328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31948C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，副部（省）级及以上领导用车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离退休干部服务用车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eastAsia="zh-CN"/>
        </w:rPr>
        <w:t>（不含车辆）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08FFB73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180F8E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5CC3D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1444765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3604.85万元，政府性基金预算支出0万元，国有资本经营预算支出0万元。从评价情况来看，整体支出绩效评价中，2023年整体支出3604.85万元，其中：基本支出731.02万元，项目支出2933.33万元，本单位整体支出绩效自评综合评分96分，评价结果等次为优秀。</w:t>
      </w:r>
    </w:p>
    <w:p w14:paraId="2388E38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2266.15万元，占一般公共预算项目支出总额的77.26%。组织对政府性基金预算项目支出开展绩效自评，项目0个，共涉及资金0万元，无法计算占政府性基金预算项目支出总额的比重。组织对国有资本经营预算项目支出开展绩效自评，项目0个，共涉及资金0万元，无法计算占国有资本经营预算项目支出总额的比重。从评价情况来看，项目绩效自评得分100分，评价结果等次为优秀。</w:t>
      </w:r>
    </w:p>
    <w:p w14:paraId="427D4C9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14:paraId="14AF60B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根据年初设定的绩效目标，绩效自评得分为100分。全年预算数为3604.85万元，执行数为3604.85万元，完成预算的100%。绩效目标完成情况：</w:t>
      </w:r>
    </w:p>
    <w:p w14:paraId="6C993F3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202</w:t>
      </w:r>
      <w:r>
        <w:rPr>
          <w:rFonts w:hint="eastAsia" w:ascii="仿宋_GB2312" w:hAnsi="仿宋_GB2312" w:eastAsia="仿宋_GB2312" w:cs="仿宋_GB2312"/>
          <w:b w:val="0"/>
          <w:bCs w:val="0"/>
          <w:color w:val="000000"/>
          <w:kern w:val="0"/>
          <w:sz w:val="32"/>
          <w:szCs w:val="32"/>
          <w:lang w:val="en-US" w:eastAsia="zh-CN" w:bidi="ar-SA"/>
        </w:rPr>
        <w:t>3</w:t>
      </w:r>
      <w:r>
        <w:rPr>
          <w:rFonts w:hint="default" w:ascii="仿宋_GB2312" w:hAnsi="仿宋_GB2312" w:eastAsia="仿宋_GB2312" w:cs="仿宋_GB2312"/>
          <w:b w:val="0"/>
          <w:bCs w:val="0"/>
          <w:color w:val="000000"/>
          <w:kern w:val="0"/>
          <w:sz w:val="32"/>
          <w:szCs w:val="32"/>
          <w:lang w:val="en-US" w:eastAsia="zh-CN" w:bidi="ar-SA"/>
        </w:rPr>
        <w:t>年整体支出绩效情况如下：</w:t>
      </w:r>
    </w:p>
    <w:p w14:paraId="7FEB55C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“三资”运作改革，全面清查摸清了232家市本级行政事业单位拥有、管控的全部国有资产“家底”。经实地勘查、逐一核对，分类制定了相应处置方案</w:t>
      </w:r>
      <w:r>
        <w:rPr>
          <w:rFonts w:hint="eastAsia" w:ascii="仿宋_GB2312" w:hAnsi="仿宋_GB2312" w:eastAsia="仿宋_GB2312" w:cs="仿宋_GB2312"/>
          <w:b w:val="0"/>
          <w:bCs w:val="0"/>
          <w:color w:val="000000"/>
          <w:kern w:val="0"/>
          <w:sz w:val="32"/>
          <w:szCs w:val="32"/>
          <w:lang w:val="en-US" w:eastAsia="zh-CN" w:bidi="ar-SA"/>
        </w:rPr>
        <w:t>。</w:t>
      </w:r>
    </w:p>
    <w:p w14:paraId="2D1E67E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严格控制国有资产的配置处置。全年共审核市直单位资产配置325宗，涉及金额4.39亿元；审核资产处置233宗，涉及金额3.38亿元；共办理大中修项目31个，维修面积2.1万平方米；办公楼加装更换电梯项目4个，共涉及申报工程预算2389.9万元，核减工程预算266万元，工程预算核减率达11.1%。用尽千方百计抓“盘活”。以改革思维、创新手段多方沟通协调，通过调剂整合优化办公场地等方式，腾挪可处置资产，目前已完成资产处置3.62亿元，完成租金收缴1300余万元；调剂市公安局岳阳楼区分局便衣大队、市交通运输行政综合执法支队等26家单位办公用房，涉及工作人员1039名，办公用房使用面积18901㎡；公物仓归集各类电脑设备205台，捐赠71台电脑、7台打印机，借用37台电脑、10台打印机，虚拟仓调拨14套桌椅。</w:t>
      </w:r>
    </w:p>
    <w:p w14:paraId="3A046EE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297765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在绩效管理过程中，主要存在以下问题：一是财务人员人数过少，导致工作开展不够全面细致；二是组织学习预算绩效管理的次数少，学习形式单一。</w:t>
      </w:r>
    </w:p>
    <w:p w14:paraId="30550E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下一步改进措施：</w:t>
      </w:r>
    </w:p>
    <w:p w14:paraId="391EEC1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1、增加财务人员，提高财务业务水平。</w:t>
      </w:r>
    </w:p>
    <w:p w14:paraId="2E32617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科学合理编制预算，严格执行预算。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14:paraId="2AA1CFF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预算绩效管理开展情况、绩效目标和绩效评价报告等，已在市政府部门财政预决算公开平台上向社会公开，详见附件。</w:t>
      </w:r>
    </w:p>
    <w:p w14:paraId="59E0947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p>
    <w:p w14:paraId="1696D0CC">
      <w:pPr>
        <w:pStyle w:val="14"/>
        <w:jc w:val="both"/>
        <w:rPr>
          <w:sz w:val="72"/>
          <w:szCs w:val="72"/>
        </w:rPr>
      </w:pPr>
    </w:p>
    <w:p w14:paraId="6F3772DC">
      <w:pPr>
        <w:pStyle w:val="14"/>
        <w:jc w:val="center"/>
        <w:rPr>
          <w:sz w:val="72"/>
          <w:szCs w:val="72"/>
        </w:rPr>
      </w:pPr>
    </w:p>
    <w:p w14:paraId="54F4D3CD">
      <w:pPr>
        <w:pStyle w:val="14"/>
        <w:jc w:val="center"/>
        <w:rPr>
          <w:rFonts w:hint="eastAsia" w:ascii="方正小标宋_GBK" w:hAnsi="方正小标宋_GBK" w:eastAsia="方正小标宋_GBK" w:cs="方正小标宋_GBK"/>
          <w:sz w:val="70"/>
          <w:szCs w:val="70"/>
          <w:lang w:eastAsia="zh-CN"/>
        </w:rPr>
      </w:pPr>
    </w:p>
    <w:p w14:paraId="7486B780">
      <w:pPr>
        <w:pStyle w:val="14"/>
        <w:jc w:val="center"/>
        <w:rPr>
          <w:rFonts w:hint="eastAsia" w:ascii="方正小标宋_GBK" w:hAnsi="方正小标宋_GBK" w:eastAsia="方正小标宋_GBK" w:cs="方正小标宋_GBK"/>
          <w:sz w:val="70"/>
          <w:szCs w:val="70"/>
          <w:lang w:eastAsia="zh-CN"/>
        </w:rPr>
      </w:pPr>
    </w:p>
    <w:p w14:paraId="7053C31B">
      <w:pPr>
        <w:pStyle w:val="14"/>
        <w:jc w:val="center"/>
        <w:rPr>
          <w:rFonts w:hint="eastAsia" w:ascii="方正小标宋_GBK" w:hAnsi="方正小标宋_GBK" w:eastAsia="方正小标宋_GBK" w:cs="方正小标宋_GBK"/>
          <w:sz w:val="72"/>
          <w:szCs w:val="72"/>
        </w:rPr>
      </w:pPr>
    </w:p>
    <w:p w14:paraId="73C6081A">
      <w:pPr>
        <w:pStyle w:val="14"/>
        <w:jc w:val="center"/>
        <w:rPr>
          <w:rFonts w:hint="eastAsia" w:ascii="方正小标宋_GBK" w:hAnsi="方正小标宋_GBK" w:eastAsia="方正小标宋_GBK" w:cs="方正小标宋_GBK"/>
          <w:sz w:val="72"/>
          <w:szCs w:val="72"/>
        </w:rPr>
      </w:pPr>
    </w:p>
    <w:p w14:paraId="00EF1BE7">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F205AB0">
      <w:pPr>
        <w:jc w:val="center"/>
        <w:rPr>
          <w:rFonts w:hint="eastAsia" w:ascii="方正小标宋_GBK" w:hAnsi="方正小标宋_GBK" w:eastAsia="方正小标宋_GBK" w:cs="方正小标宋_GBK"/>
          <w:color w:val="000000"/>
          <w:kern w:val="0"/>
          <w:sz w:val="70"/>
          <w:szCs w:val="70"/>
        </w:rPr>
      </w:pPr>
    </w:p>
    <w:p w14:paraId="6B2E18CC">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30C40944">
      <w:pPr>
        <w:pStyle w:val="8"/>
      </w:pPr>
    </w:p>
    <w:p w14:paraId="1E51C894">
      <w:pPr>
        <w:pStyle w:val="4"/>
      </w:pPr>
    </w:p>
    <w:p w14:paraId="6BBB1710"/>
    <w:p w14:paraId="7A6556CA">
      <w:pPr>
        <w:pStyle w:val="8"/>
      </w:pPr>
    </w:p>
    <w:p w14:paraId="0EB2B070">
      <w:pPr>
        <w:pStyle w:val="4"/>
      </w:pPr>
    </w:p>
    <w:p w14:paraId="2B4C4DB0"/>
    <w:p w14:paraId="0606E349">
      <w:pPr>
        <w:pStyle w:val="8"/>
      </w:pPr>
    </w:p>
    <w:p w14:paraId="362580E1">
      <w:pPr>
        <w:pStyle w:val="4"/>
      </w:pPr>
    </w:p>
    <w:p w14:paraId="71054CEC"/>
    <w:p w14:paraId="3177E998">
      <w:pPr>
        <w:pStyle w:val="8"/>
      </w:pPr>
    </w:p>
    <w:p w14:paraId="7D0ABEBD">
      <w:pPr>
        <w:pStyle w:val="4"/>
      </w:pPr>
    </w:p>
    <w:p w14:paraId="35FE0751"/>
    <w:p w14:paraId="1A0D7ED3">
      <w:pPr>
        <w:pStyle w:val="8"/>
      </w:pPr>
    </w:p>
    <w:p w14:paraId="27A67AE0">
      <w:pPr>
        <w:pStyle w:val="4"/>
      </w:pPr>
    </w:p>
    <w:p w14:paraId="1945212D"/>
    <w:p w14:paraId="1AE4EAAD">
      <w:pPr>
        <w:pStyle w:val="8"/>
      </w:pPr>
    </w:p>
    <w:p w14:paraId="1000C93B">
      <w:pPr>
        <w:pStyle w:val="4"/>
      </w:pPr>
    </w:p>
    <w:p w14:paraId="56E4E34C"/>
    <w:p w14:paraId="66D35A3C">
      <w:pPr>
        <w:pStyle w:val="8"/>
      </w:pPr>
    </w:p>
    <w:p w14:paraId="41BCF3E2">
      <w:pPr>
        <w:pStyle w:val="4"/>
      </w:pPr>
    </w:p>
    <w:p w14:paraId="25748251"/>
    <w:p w14:paraId="5BE49C6A">
      <w:pPr>
        <w:pStyle w:val="8"/>
      </w:pPr>
    </w:p>
    <w:p w14:paraId="1C51052E">
      <w:pPr>
        <w:pStyle w:val="4"/>
      </w:pPr>
    </w:p>
    <w:p w14:paraId="1E1E5A72"/>
    <w:p w14:paraId="116CE42B">
      <w:pPr>
        <w:pStyle w:val="8"/>
      </w:pPr>
    </w:p>
    <w:p w14:paraId="31466586">
      <w:pPr>
        <w:pStyle w:val="4"/>
      </w:pPr>
    </w:p>
    <w:p w14:paraId="28E5975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财政拨款收入：</w:t>
      </w:r>
      <w:r>
        <w:rPr>
          <w:rFonts w:hint="eastAsia" w:ascii="仿宋" w:hAnsi="仿宋" w:eastAsia="仿宋" w:cs="仿宋"/>
          <w:i w:val="0"/>
          <w:iCs w:val="0"/>
          <w:caps w:val="0"/>
          <w:color w:val="000000"/>
          <w:spacing w:val="0"/>
          <w:sz w:val="32"/>
          <w:szCs w:val="32"/>
          <w:shd w:val="clear" w:color="auto" w:fill="FFFFFF"/>
        </w:rPr>
        <w:t>指本级财政当年拨付的资金。</w:t>
      </w:r>
    </w:p>
    <w:p w14:paraId="5470AC3A">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其他收入：</w:t>
      </w:r>
      <w:r>
        <w:rPr>
          <w:rFonts w:hint="eastAsia" w:ascii="仿宋" w:hAnsi="仿宋" w:eastAsia="仿宋" w:cs="仿宋"/>
          <w:i w:val="0"/>
          <w:iCs w:val="0"/>
          <w:caps w:val="0"/>
          <w:color w:val="000000"/>
          <w:spacing w:val="0"/>
          <w:sz w:val="32"/>
          <w:szCs w:val="32"/>
          <w:shd w:val="clear" w:color="auto" w:fill="FFFFFF"/>
        </w:rPr>
        <w:t>指除</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财政拨款收入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上级补助收入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事业收入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经营收入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附属单位上缴收入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等以外的收入。</w:t>
      </w:r>
    </w:p>
    <w:p w14:paraId="4EFBF4E5">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上年结转和结余：</w:t>
      </w:r>
      <w:r>
        <w:rPr>
          <w:rFonts w:hint="eastAsia" w:ascii="仿宋" w:hAnsi="仿宋" w:eastAsia="仿宋" w:cs="仿宋"/>
          <w:i w:val="0"/>
          <w:iCs w:val="0"/>
          <w:caps w:val="0"/>
          <w:color w:val="000000"/>
          <w:spacing w:val="0"/>
          <w:sz w:val="32"/>
          <w:szCs w:val="32"/>
          <w:shd w:val="clear" w:color="auto" w:fill="FFFFFF"/>
        </w:rPr>
        <w:t>指以前年度尚未完成、结转到本年按有关规定继续使用的资金。</w:t>
      </w:r>
    </w:p>
    <w:p w14:paraId="03C8A17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一般公共服务支出（类）：</w:t>
      </w:r>
      <w:r>
        <w:rPr>
          <w:rFonts w:hint="eastAsia" w:ascii="仿宋" w:hAnsi="仿宋" w:eastAsia="仿宋" w:cs="仿宋"/>
          <w:i w:val="0"/>
          <w:iCs w:val="0"/>
          <w:caps w:val="0"/>
          <w:color w:val="000000"/>
          <w:spacing w:val="0"/>
          <w:sz w:val="32"/>
          <w:szCs w:val="32"/>
          <w:shd w:val="clear" w:color="auto"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CCFFCB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社会保障和就业支出（类）：</w:t>
      </w:r>
      <w:r>
        <w:rPr>
          <w:rFonts w:hint="eastAsia" w:ascii="仿宋" w:hAnsi="仿宋" w:eastAsia="仿宋" w:cs="仿宋"/>
          <w:i w:val="0"/>
          <w:iCs w:val="0"/>
          <w:caps w:val="0"/>
          <w:color w:val="000000"/>
          <w:spacing w:val="0"/>
          <w:sz w:val="32"/>
          <w:szCs w:val="32"/>
          <w:shd w:val="clear" w:color="auto" w:fill="FFFFFF"/>
        </w:rPr>
        <w:t>是指用于社会保障和就业方面的支出，包括保障机构正常运转、完成日常和特定的工作任务或事业发展目标的支出。归口管理的行政单位离退休，指离退休人员管理机构统一管理的机关离退休人员的经费。</w:t>
      </w:r>
    </w:p>
    <w:p w14:paraId="1A234EFE">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卫生健康支出（类）：</w:t>
      </w:r>
      <w:r>
        <w:rPr>
          <w:rFonts w:hint="eastAsia" w:ascii="仿宋" w:hAnsi="仿宋" w:eastAsia="仿宋" w:cs="仿宋"/>
          <w:i w:val="0"/>
          <w:iCs w:val="0"/>
          <w:caps w:val="0"/>
          <w:color w:val="000000"/>
          <w:spacing w:val="0"/>
          <w:sz w:val="32"/>
          <w:szCs w:val="32"/>
          <w:shd w:val="clear" w:color="auto" w:fill="FFFFFF"/>
        </w:rPr>
        <w:t>是指用于医疗卫生与计划生育方面的支出，包括保障机构正常运转、完成日常和特定的工作任务或事业发展目标的支出。</w:t>
      </w:r>
    </w:p>
    <w:p w14:paraId="0249FBD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其他支出（类）：</w:t>
      </w:r>
      <w:r>
        <w:rPr>
          <w:rFonts w:hint="eastAsia" w:ascii="仿宋" w:hAnsi="仿宋" w:eastAsia="仿宋" w:cs="仿宋"/>
          <w:i w:val="0"/>
          <w:iCs w:val="0"/>
          <w:caps w:val="0"/>
          <w:color w:val="000000"/>
          <w:spacing w:val="0"/>
          <w:sz w:val="32"/>
          <w:szCs w:val="32"/>
          <w:shd w:val="clear" w:color="auto" w:fill="FFFFFF"/>
        </w:rPr>
        <w:t>是指用于反映除上述项目以外其他不能划分到具体功能科目中的支出项目，包括保障机构正常运转、完成日常和特定的工作任务或事业发展目标的支出。</w:t>
      </w:r>
    </w:p>
    <w:p w14:paraId="70526E3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基本支出：</w:t>
      </w:r>
      <w:r>
        <w:rPr>
          <w:rFonts w:hint="eastAsia" w:ascii="仿宋" w:hAnsi="仿宋" w:eastAsia="仿宋" w:cs="仿宋"/>
          <w:i w:val="0"/>
          <w:iCs w:val="0"/>
          <w:caps w:val="0"/>
          <w:color w:val="000000"/>
          <w:spacing w:val="0"/>
          <w:sz w:val="32"/>
          <w:szCs w:val="32"/>
          <w:shd w:val="clear" w:color="auto" w:fill="FFFFFF"/>
        </w:rPr>
        <w:t>指保障机构正常运转、完成支日常工作任务而发生的人员支出和公用支出。</w:t>
      </w:r>
    </w:p>
    <w:p w14:paraId="4B9BFC8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项目支出：</w:t>
      </w:r>
      <w:r>
        <w:rPr>
          <w:rFonts w:hint="eastAsia" w:ascii="仿宋" w:hAnsi="仿宋" w:eastAsia="仿宋" w:cs="仿宋"/>
          <w:i w:val="0"/>
          <w:iCs w:val="0"/>
          <w:caps w:val="0"/>
          <w:color w:val="000000"/>
          <w:spacing w:val="0"/>
          <w:sz w:val="32"/>
          <w:szCs w:val="32"/>
          <w:shd w:val="clear" w:color="auto" w:fill="FFFFFF"/>
        </w:rPr>
        <w:t>指在基本支出之外为完成特定行政任务和事业发展目标所发生的支出。</w:t>
      </w:r>
    </w:p>
    <w:p w14:paraId="05C85FEB">
      <w:pPr>
        <w:pStyle w:val="9"/>
        <w:keepNext w:val="0"/>
        <w:keepLines w:val="0"/>
        <w:widowControl/>
        <w:suppressLineNumbers w:val="0"/>
        <w:shd w:val="clear" w:color="auto" w:fill="FFFFFF"/>
        <w:spacing w:before="0" w:beforeAutospacing="0" w:after="100" w:afterAutospacing="0" w:line="22" w:lineRule="atLeast"/>
        <w:ind w:right="0" w:firstLine="640" w:firstLineChars="20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“三公”经费：</w:t>
      </w:r>
      <w:r>
        <w:rPr>
          <w:rFonts w:hint="eastAsia" w:ascii="仿宋" w:hAnsi="仿宋" w:eastAsia="仿宋" w:cs="仿宋"/>
          <w:i w:val="0"/>
          <w:iCs w:val="0"/>
          <w:caps w:val="0"/>
          <w:color w:val="000000"/>
          <w:spacing w:val="0"/>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5305AB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政府采购：</w:t>
      </w:r>
      <w:r>
        <w:rPr>
          <w:rFonts w:hint="eastAsia" w:ascii="仿宋" w:hAnsi="仿宋" w:eastAsia="仿宋" w:cs="仿宋"/>
          <w:i w:val="0"/>
          <w:iCs w:val="0"/>
          <w:caps w:val="0"/>
          <w:color w:val="000000"/>
          <w:spacing w:val="0"/>
          <w:sz w:val="32"/>
          <w:szCs w:val="32"/>
          <w:shd w:val="clear" w:color="auto" w:fill="FFFFFF"/>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DFB60C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工资福利支出：</w:t>
      </w:r>
      <w:r>
        <w:rPr>
          <w:rFonts w:hint="eastAsia" w:ascii="仿宋" w:hAnsi="仿宋" w:eastAsia="仿宋" w:cs="仿宋"/>
          <w:i w:val="0"/>
          <w:iCs w:val="0"/>
          <w:caps w:val="0"/>
          <w:color w:val="000000"/>
          <w:spacing w:val="0"/>
          <w:sz w:val="32"/>
          <w:szCs w:val="32"/>
          <w:shd w:val="clear" w:color="auto" w:fill="FFFFFF"/>
        </w:rPr>
        <w:t>反映单位开支的在职职工和编制外长期聘用人员的各类劳动报酬，以及为上述人员缴纳的各项社会保险费等。</w:t>
      </w:r>
    </w:p>
    <w:p w14:paraId="48472350">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基本工资：</w:t>
      </w:r>
      <w:r>
        <w:rPr>
          <w:rFonts w:hint="eastAsia" w:ascii="仿宋" w:hAnsi="仿宋" w:eastAsia="仿宋" w:cs="仿宋"/>
          <w:i w:val="0"/>
          <w:iCs w:val="0"/>
          <w:caps w:val="0"/>
          <w:color w:val="000000"/>
          <w:spacing w:val="0"/>
          <w:sz w:val="32"/>
          <w:szCs w:val="32"/>
          <w:shd w:val="clear" w:color="auto" w:fill="FFFFFF"/>
        </w:rPr>
        <w:t>反映按规定发放的基本工资，包括公务员的职务工资、级别工资；机关工人的岗位工资、技术等级工资；事业单位工作人员的岗位工资、薪级工资；各类学校毕业生试用期</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见习期）工资、新参加工作工人学徒期、熟练期工资；军队（武警）军官、文职干部的职务（专业技术等级）工资、军衔（级别）工资、基础工资和军龄工资；军队士官的军衔等级工资、基础工资和军龄工资等。</w:t>
      </w:r>
    </w:p>
    <w:p w14:paraId="7EF6A78A">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津贴补贴：</w:t>
      </w:r>
      <w:r>
        <w:rPr>
          <w:rFonts w:hint="eastAsia" w:ascii="仿宋" w:hAnsi="仿宋" w:eastAsia="仿宋" w:cs="仿宋"/>
          <w:i w:val="0"/>
          <w:iCs w:val="0"/>
          <w:caps w:val="0"/>
          <w:color w:val="000000"/>
          <w:spacing w:val="0"/>
          <w:sz w:val="32"/>
          <w:szCs w:val="32"/>
          <w:shd w:val="clear" w:color="auto" w:fill="FFFFFF"/>
        </w:rPr>
        <w:t>反映经国家批准建立的机关事业单位艰苦边远地区津贴、机关工作人员地区附加津贴、机关工作人员岗位津贴、事业单位工作人员特殊岗位津贴补贴等。</w:t>
      </w:r>
    </w:p>
    <w:p w14:paraId="033F7D1A">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奖金：</w:t>
      </w:r>
      <w:r>
        <w:rPr>
          <w:rFonts w:hint="eastAsia" w:ascii="仿宋" w:hAnsi="仿宋" w:eastAsia="仿宋" w:cs="仿宋"/>
          <w:i w:val="0"/>
          <w:iCs w:val="0"/>
          <w:caps w:val="0"/>
          <w:color w:val="000000"/>
          <w:spacing w:val="0"/>
          <w:sz w:val="32"/>
          <w:szCs w:val="32"/>
          <w:shd w:val="clear" w:color="auto" w:fill="FFFFFF"/>
        </w:rPr>
        <w:t>反映机关工作人员年终一次性奖金。</w:t>
      </w:r>
    </w:p>
    <w:p w14:paraId="0DC38EA7">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伙食补助费：</w:t>
      </w:r>
      <w:r>
        <w:rPr>
          <w:rFonts w:hint="eastAsia" w:ascii="仿宋" w:hAnsi="仿宋" w:eastAsia="仿宋" w:cs="仿宋"/>
          <w:i w:val="0"/>
          <w:iCs w:val="0"/>
          <w:caps w:val="0"/>
          <w:color w:val="000000"/>
          <w:spacing w:val="0"/>
          <w:sz w:val="32"/>
          <w:szCs w:val="32"/>
          <w:shd w:val="clear" w:color="auto" w:fill="FFFFFF"/>
        </w:rPr>
        <w:t>反映单位发给职工的伙食补助费，如误餐补助等。</w:t>
      </w:r>
    </w:p>
    <w:p w14:paraId="5E7E75DE">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机关事业单位基本养老保险缴费：</w:t>
      </w:r>
      <w:r>
        <w:rPr>
          <w:rFonts w:hint="eastAsia" w:ascii="仿宋" w:hAnsi="仿宋" w:eastAsia="仿宋" w:cs="仿宋"/>
          <w:i w:val="0"/>
          <w:iCs w:val="0"/>
          <w:caps w:val="0"/>
          <w:color w:val="000000"/>
          <w:spacing w:val="0"/>
          <w:sz w:val="32"/>
          <w:szCs w:val="32"/>
          <w:shd w:val="clear" w:color="auto" w:fill="FFFFFF"/>
        </w:rPr>
        <w:t>反映机关事业单位缴纳的基本养老保险费。由单位代扣的工作人员基本养老保险缴费，不在此科目反映。</w:t>
      </w:r>
    </w:p>
    <w:p w14:paraId="3ED661CD">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职工基本医疗保险缴费：</w:t>
      </w:r>
      <w:r>
        <w:rPr>
          <w:rFonts w:hint="eastAsia" w:ascii="仿宋" w:hAnsi="仿宋" w:eastAsia="仿宋" w:cs="仿宋"/>
          <w:i w:val="0"/>
          <w:iCs w:val="0"/>
          <w:caps w:val="0"/>
          <w:color w:val="000000"/>
          <w:spacing w:val="0"/>
          <w:sz w:val="32"/>
          <w:szCs w:val="32"/>
          <w:shd w:val="clear" w:color="auto" w:fill="FFFFFF"/>
        </w:rPr>
        <w:t>反映单位为职工缴纳的基本医疗保险费。</w:t>
      </w:r>
    </w:p>
    <w:p w14:paraId="0EC491B9">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其他社会保障缴费：</w:t>
      </w:r>
      <w:r>
        <w:rPr>
          <w:rFonts w:hint="eastAsia" w:ascii="仿宋" w:hAnsi="仿宋" w:eastAsia="仿宋" w:cs="仿宋"/>
          <w:i w:val="0"/>
          <w:iCs w:val="0"/>
          <w:caps w:val="0"/>
          <w:color w:val="000000"/>
          <w:spacing w:val="0"/>
          <w:sz w:val="32"/>
          <w:szCs w:val="32"/>
          <w:shd w:val="clear" w:color="auto" w:fill="FFFFFF"/>
        </w:rPr>
        <w:t>反映单位为职工缴纳的基本医疗、失业、工伤、生育等社会保险费，残疾人就业保障金，军队（含武警）为军人缴纳的伤亡、退役医疗等社会保险费。</w:t>
      </w:r>
    </w:p>
    <w:p w14:paraId="0E617CAA">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住房公积金：</w:t>
      </w:r>
      <w:r>
        <w:rPr>
          <w:rFonts w:hint="eastAsia" w:ascii="仿宋" w:hAnsi="仿宋" w:eastAsia="仿宋" w:cs="仿宋"/>
          <w:i w:val="0"/>
          <w:iCs w:val="0"/>
          <w:caps w:val="0"/>
          <w:color w:val="000000"/>
          <w:spacing w:val="0"/>
          <w:sz w:val="32"/>
          <w:szCs w:val="32"/>
          <w:shd w:val="clear" w:color="auto" w:fill="FFFFFF"/>
        </w:rPr>
        <w:t>反映行政事业单位按人力资源和社会保障部、财政部规定的基本工资和津贴补贴以及规定比例为职工缴纳的住房公积金。</w:t>
      </w:r>
    </w:p>
    <w:p w14:paraId="720F0D1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医疗费：</w:t>
      </w:r>
      <w:r>
        <w:rPr>
          <w:rFonts w:hint="eastAsia" w:ascii="仿宋" w:hAnsi="仿宋" w:eastAsia="仿宋" w:cs="仿宋"/>
          <w:i w:val="0"/>
          <w:iCs w:val="0"/>
          <w:caps w:val="0"/>
          <w:color w:val="000000"/>
          <w:spacing w:val="0"/>
          <w:sz w:val="32"/>
          <w:szCs w:val="32"/>
          <w:shd w:val="clear" w:color="auto" w:fill="FFFFFF"/>
        </w:rPr>
        <w:t>反映未参加医疗保险单位的医疗经费和单位按规定为职工支出的其他医疗费用。</w:t>
      </w:r>
    </w:p>
    <w:p w14:paraId="62ADFEE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其他工资福利支出：</w:t>
      </w:r>
      <w:r>
        <w:rPr>
          <w:rFonts w:hint="eastAsia" w:ascii="仿宋" w:hAnsi="仿宋" w:eastAsia="仿宋" w:cs="仿宋"/>
          <w:i w:val="0"/>
          <w:iCs w:val="0"/>
          <w:caps w:val="0"/>
          <w:color w:val="000000"/>
          <w:spacing w:val="0"/>
          <w:sz w:val="32"/>
          <w:szCs w:val="32"/>
          <w:shd w:val="clear" w:color="auto" w:fill="FFFFFF"/>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B3B0FC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商品和服务支出：</w:t>
      </w:r>
      <w:r>
        <w:rPr>
          <w:rFonts w:hint="eastAsia" w:ascii="仿宋" w:hAnsi="仿宋" w:eastAsia="仿宋" w:cs="仿宋"/>
          <w:i w:val="0"/>
          <w:iCs w:val="0"/>
          <w:caps w:val="0"/>
          <w:color w:val="000000"/>
          <w:spacing w:val="0"/>
          <w:sz w:val="32"/>
          <w:szCs w:val="32"/>
          <w:shd w:val="clear" w:color="auto" w:fill="FFFFFF"/>
        </w:rPr>
        <w:t>反映单位购买商品和服务的支出（不包括用于购置固定资产的支出、战略性和应急储备支出）。</w:t>
      </w:r>
    </w:p>
    <w:p w14:paraId="4F4A2FE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办公费：</w:t>
      </w:r>
      <w:r>
        <w:rPr>
          <w:rFonts w:hint="eastAsia" w:ascii="仿宋" w:hAnsi="仿宋" w:eastAsia="仿宋" w:cs="仿宋"/>
          <w:i w:val="0"/>
          <w:iCs w:val="0"/>
          <w:caps w:val="0"/>
          <w:color w:val="000000"/>
          <w:spacing w:val="0"/>
          <w:sz w:val="32"/>
          <w:szCs w:val="32"/>
          <w:shd w:val="clear" w:color="auto" w:fill="FFFFFF"/>
        </w:rPr>
        <w:t>反映单位购买按财务会计制度规定不符合固定资产确认标准的日常办公用品、书报杂志等支出。</w:t>
      </w:r>
    </w:p>
    <w:p w14:paraId="354CB44B">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印刷费：</w:t>
      </w:r>
      <w:r>
        <w:rPr>
          <w:rFonts w:hint="eastAsia" w:ascii="仿宋" w:hAnsi="仿宋" w:eastAsia="仿宋" w:cs="仿宋"/>
          <w:i w:val="0"/>
          <w:iCs w:val="0"/>
          <w:caps w:val="0"/>
          <w:color w:val="000000"/>
          <w:spacing w:val="0"/>
          <w:sz w:val="32"/>
          <w:szCs w:val="32"/>
          <w:shd w:val="clear" w:color="auto" w:fill="FFFFFF"/>
        </w:rPr>
        <w:t>反映单位的印刷费支出。</w:t>
      </w:r>
    </w:p>
    <w:p w14:paraId="3052740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咨询费：</w:t>
      </w:r>
      <w:r>
        <w:rPr>
          <w:rFonts w:hint="eastAsia" w:ascii="仿宋" w:hAnsi="仿宋" w:eastAsia="仿宋" w:cs="仿宋"/>
          <w:i w:val="0"/>
          <w:iCs w:val="0"/>
          <w:caps w:val="0"/>
          <w:color w:val="000000"/>
          <w:spacing w:val="0"/>
          <w:sz w:val="32"/>
          <w:szCs w:val="32"/>
          <w:shd w:val="clear" w:color="auto" w:fill="FFFFFF"/>
        </w:rPr>
        <w:t>反映单位咨询方面的支出。</w:t>
      </w:r>
    </w:p>
    <w:p w14:paraId="63DAB05D">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手续费：</w:t>
      </w:r>
      <w:r>
        <w:rPr>
          <w:rFonts w:hint="eastAsia" w:ascii="仿宋" w:hAnsi="仿宋" w:eastAsia="仿宋" w:cs="仿宋"/>
          <w:i w:val="0"/>
          <w:iCs w:val="0"/>
          <w:caps w:val="0"/>
          <w:color w:val="000000"/>
          <w:spacing w:val="0"/>
          <w:sz w:val="32"/>
          <w:szCs w:val="32"/>
          <w:shd w:val="clear" w:color="auto" w:fill="FFFFFF"/>
        </w:rPr>
        <w:t>反映单位支付的各类手续费支出。</w:t>
      </w:r>
    </w:p>
    <w:p w14:paraId="093EC1F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水费：</w:t>
      </w:r>
      <w:r>
        <w:rPr>
          <w:rFonts w:hint="eastAsia" w:ascii="仿宋" w:hAnsi="仿宋" w:eastAsia="仿宋" w:cs="仿宋"/>
          <w:i w:val="0"/>
          <w:iCs w:val="0"/>
          <w:caps w:val="0"/>
          <w:color w:val="000000"/>
          <w:spacing w:val="0"/>
          <w:sz w:val="32"/>
          <w:szCs w:val="32"/>
          <w:shd w:val="clear" w:color="auto" w:fill="FFFFFF"/>
        </w:rPr>
        <w:t>反映单位支付的水费、污水处理费等支出。</w:t>
      </w:r>
    </w:p>
    <w:p w14:paraId="5C163AC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电费：</w:t>
      </w:r>
      <w:r>
        <w:rPr>
          <w:rFonts w:hint="eastAsia" w:ascii="仿宋" w:hAnsi="仿宋" w:eastAsia="仿宋" w:cs="仿宋"/>
          <w:i w:val="0"/>
          <w:iCs w:val="0"/>
          <w:caps w:val="0"/>
          <w:color w:val="000000"/>
          <w:spacing w:val="0"/>
          <w:sz w:val="32"/>
          <w:szCs w:val="32"/>
          <w:shd w:val="clear" w:color="auto" w:fill="FFFFFF"/>
        </w:rPr>
        <w:t>反映单位的电费支出。</w:t>
      </w:r>
    </w:p>
    <w:p w14:paraId="0D92035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邮电费：</w:t>
      </w:r>
      <w:r>
        <w:rPr>
          <w:rFonts w:hint="eastAsia" w:ascii="仿宋" w:hAnsi="仿宋" w:eastAsia="仿宋" w:cs="仿宋"/>
          <w:i w:val="0"/>
          <w:iCs w:val="0"/>
          <w:caps w:val="0"/>
          <w:color w:val="000000"/>
          <w:spacing w:val="0"/>
          <w:sz w:val="32"/>
          <w:szCs w:val="32"/>
          <w:shd w:val="clear" w:color="auto" w:fill="FFFFFF"/>
        </w:rPr>
        <w:t>反映单位开支的信函、包裹、货物等物品的邮寄费及电话费、电报费、传真费、网络通讯费等。</w:t>
      </w:r>
    </w:p>
    <w:p w14:paraId="072F07FE">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物业管理费：</w:t>
      </w:r>
      <w:r>
        <w:rPr>
          <w:rFonts w:hint="eastAsia" w:ascii="仿宋" w:hAnsi="仿宋" w:eastAsia="仿宋" w:cs="仿宋"/>
          <w:i w:val="0"/>
          <w:iCs w:val="0"/>
          <w:caps w:val="0"/>
          <w:color w:val="000000"/>
          <w:spacing w:val="0"/>
          <w:sz w:val="32"/>
          <w:szCs w:val="32"/>
          <w:shd w:val="clear" w:color="auto" w:fill="FFFFFF"/>
        </w:rPr>
        <w:t>反映单位开支的办公用房以及未实行职工住宅物业服务改革的在职职工和离退休人员宿舍等的物业管理费，包括综合治理、绿化、卫生等方面的支出。</w:t>
      </w:r>
    </w:p>
    <w:p w14:paraId="0E48B6F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差旅费：</w:t>
      </w:r>
      <w:r>
        <w:rPr>
          <w:rFonts w:hint="eastAsia" w:ascii="仿宋" w:hAnsi="仿宋" w:eastAsia="仿宋" w:cs="仿宋"/>
          <w:i w:val="0"/>
          <w:iCs w:val="0"/>
          <w:caps w:val="0"/>
          <w:color w:val="000000"/>
          <w:spacing w:val="0"/>
          <w:sz w:val="32"/>
          <w:szCs w:val="32"/>
          <w:shd w:val="clear" w:color="auto" w:fill="FFFFFF"/>
        </w:rPr>
        <w:t>反映单位工作人员出差发生的城市间交通费、住宿费、伙食补贴费和市内交通费。</w:t>
      </w:r>
    </w:p>
    <w:p w14:paraId="60F0DAA4">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维修(护）费：</w:t>
      </w:r>
      <w:r>
        <w:rPr>
          <w:rFonts w:hint="eastAsia" w:ascii="仿宋" w:hAnsi="仿宋" w:eastAsia="仿宋" w:cs="仿宋"/>
          <w:i w:val="0"/>
          <w:iCs w:val="0"/>
          <w:caps w:val="0"/>
          <w:color w:val="000000"/>
          <w:spacing w:val="0"/>
          <w:sz w:val="32"/>
          <w:szCs w:val="32"/>
          <w:shd w:val="clear" w:color="auto" w:fill="FFFFFF"/>
        </w:rPr>
        <w:t>反映单位日常开支的固定资产（不包括车船等交通工具）修理和维护费用，网络信息系统运行与维护费用，以及按规定提取的修购基金。</w:t>
      </w:r>
    </w:p>
    <w:p w14:paraId="7D16C8D9">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租赁费：</w:t>
      </w:r>
      <w:r>
        <w:rPr>
          <w:rFonts w:hint="eastAsia" w:ascii="仿宋" w:hAnsi="仿宋" w:eastAsia="仿宋" w:cs="仿宋"/>
          <w:i w:val="0"/>
          <w:iCs w:val="0"/>
          <w:caps w:val="0"/>
          <w:color w:val="000000"/>
          <w:spacing w:val="0"/>
          <w:sz w:val="32"/>
          <w:szCs w:val="32"/>
          <w:shd w:val="clear" w:color="auto" w:fill="FFFFFF"/>
        </w:rPr>
        <w:t>反映租赁办公用房、宿舍、专用通讯网以及其他设备等方面的费用。</w:t>
      </w:r>
    </w:p>
    <w:p w14:paraId="67D0A181">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会议费：</w:t>
      </w:r>
      <w:r>
        <w:rPr>
          <w:rFonts w:hint="eastAsia" w:ascii="仿宋" w:hAnsi="仿宋" w:eastAsia="仿宋" w:cs="仿宋"/>
          <w:i w:val="0"/>
          <w:iCs w:val="0"/>
          <w:caps w:val="0"/>
          <w:color w:val="000000"/>
          <w:spacing w:val="0"/>
          <w:sz w:val="32"/>
          <w:szCs w:val="32"/>
          <w:shd w:val="clear" w:color="auto" w:fill="FFFFFF"/>
        </w:rPr>
        <w:t>反映会议中按规定开支的住宿费、伙食费、会议室租金、交通费、文件印刷费、医药费等。</w:t>
      </w:r>
    </w:p>
    <w:p w14:paraId="31CC0653">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培训费：</w:t>
      </w:r>
      <w:r>
        <w:rPr>
          <w:rFonts w:hint="eastAsia" w:ascii="仿宋" w:hAnsi="仿宋" w:eastAsia="仿宋" w:cs="仿宋"/>
          <w:i w:val="0"/>
          <w:iCs w:val="0"/>
          <w:caps w:val="0"/>
          <w:color w:val="000000"/>
          <w:spacing w:val="0"/>
          <w:sz w:val="32"/>
          <w:szCs w:val="32"/>
          <w:shd w:val="clear" w:color="auto" w:fill="FFFFFF"/>
        </w:rPr>
        <w:t>反映除因公出国（境）培训费以外的各类培训支出。</w:t>
      </w:r>
    </w:p>
    <w:p w14:paraId="72209BD7">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公务接待费：</w:t>
      </w:r>
      <w:r>
        <w:rPr>
          <w:rFonts w:hint="eastAsia" w:ascii="仿宋" w:hAnsi="仿宋" w:eastAsia="仿宋" w:cs="仿宋"/>
          <w:i w:val="0"/>
          <w:iCs w:val="0"/>
          <w:caps w:val="0"/>
          <w:color w:val="000000"/>
          <w:spacing w:val="0"/>
          <w:sz w:val="32"/>
          <w:szCs w:val="32"/>
          <w:shd w:val="clear" w:color="auto" w:fill="FFFFFF"/>
        </w:rPr>
        <w:t>反映单位按规定开支的各类公务接待（含外宾接待）费用。</w:t>
      </w:r>
    </w:p>
    <w:p w14:paraId="70E200BF">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劳务费：</w:t>
      </w:r>
      <w:r>
        <w:rPr>
          <w:rFonts w:hint="eastAsia" w:ascii="仿宋" w:hAnsi="仿宋" w:eastAsia="仿宋" w:cs="仿宋"/>
          <w:i w:val="0"/>
          <w:iCs w:val="0"/>
          <w:caps w:val="0"/>
          <w:color w:val="000000"/>
          <w:spacing w:val="0"/>
          <w:sz w:val="32"/>
          <w:szCs w:val="32"/>
          <w:shd w:val="clear" w:color="auto" w:fill="FFFFFF"/>
        </w:rPr>
        <w:t>反映支付给单位和个人的劳务费用，如临时聘用人员、钟点工工资，稿费、翻译费，评审费等。</w:t>
      </w:r>
    </w:p>
    <w:p w14:paraId="5F6D1F3D">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委托业务费：</w:t>
      </w:r>
      <w:r>
        <w:rPr>
          <w:rFonts w:hint="eastAsia" w:ascii="仿宋" w:hAnsi="仿宋" w:eastAsia="仿宋" w:cs="仿宋"/>
          <w:i w:val="0"/>
          <w:iCs w:val="0"/>
          <w:caps w:val="0"/>
          <w:color w:val="000000"/>
          <w:spacing w:val="0"/>
          <w:sz w:val="32"/>
          <w:szCs w:val="32"/>
          <w:shd w:val="clear" w:color="auto" w:fill="FFFFFF"/>
        </w:rPr>
        <w:t>反映因委托外单位办理业务而支付的委托业务费。</w:t>
      </w:r>
    </w:p>
    <w:p w14:paraId="2F13D9D9">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工会经费：</w:t>
      </w:r>
      <w:r>
        <w:rPr>
          <w:rFonts w:hint="eastAsia" w:ascii="仿宋" w:hAnsi="仿宋" w:eastAsia="仿宋" w:cs="仿宋"/>
          <w:i w:val="0"/>
          <w:iCs w:val="0"/>
          <w:caps w:val="0"/>
          <w:color w:val="000000"/>
          <w:spacing w:val="0"/>
          <w:sz w:val="32"/>
          <w:szCs w:val="32"/>
          <w:shd w:val="clear" w:color="auto" w:fill="FFFFFF"/>
        </w:rPr>
        <w:t>反映单位按规定提取的工会经费。</w:t>
      </w:r>
    </w:p>
    <w:p w14:paraId="6E48F90C">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福利费：</w:t>
      </w:r>
      <w:r>
        <w:rPr>
          <w:rFonts w:hint="eastAsia" w:ascii="仿宋" w:hAnsi="仿宋" w:eastAsia="仿宋" w:cs="仿宋"/>
          <w:i w:val="0"/>
          <w:iCs w:val="0"/>
          <w:caps w:val="0"/>
          <w:color w:val="000000"/>
          <w:spacing w:val="0"/>
          <w:sz w:val="32"/>
          <w:szCs w:val="32"/>
          <w:shd w:val="clear" w:color="auto" w:fill="FFFFFF"/>
        </w:rPr>
        <w:t>反映单位按规定提取的福利费。</w:t>
      </w:r>
    </w:p>
    <w:p w14:paraId="2C9FE269">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公务用车运行维护费：</w:t>
      </w:r>
      <w:r>
        <w:rPr>
          <w:rFonts w:hint="eastAsia" w:ascii="仿宋" w:hAnsi="仿宋" w:eastAsia="仿宋" w:cs="仿宋"/>
          <w:i w:val="0"/>
          <w:iCs w:val="0"/>
          <w:caps w:val="0"/>
          <w:color w:val="000000"/>
          <w:spacing w:val="0"/>
          <w:sz w:val="32"/>
          <w:szCs w:val="32"/>
          <w:shd w:val="clear" w:color="auto" w:fill="FFFFFF"/>
        </w:rPr>
        <w:t>反映单位按规定保留的公务用车燃料费、维修费、过桥过路费、保险费、安全奖励费用等支出。</w:t>
      </w:r>
    </w:p>
    <w:p w14:paraId="4BF8AD40">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其他交通费用：</w:t>
      </w:r>
      <w:r>
        <w:rPr>
          <w:rFonts w:hint="eastAsia" w:ascii="仿宋" w:hAnsi="仿宋" w:eastAsia="仿宋" w:cs="仿宋"/>
          <w:i w:val="0"/>
          <w:iCs w:val="0"/>
          <w:caps w:val="0"/>
          <w:color w:val="000000"/>
          <w:spacing w:val="0"/>
          <w:sz w:val="32"/>
          <w:szCs w:val="32"/>
          <w:shd w:val="clear" w:color="auto" w:fill="FFFFFF"/>
        </w:rPr>
        <w:t>反映单位除公务用车运行维护费以外的其他交通费用。如公务交通补贴，租车费用、出租车费用，飞机、船舶等的燃料费、维修费、保险费等。</w:t>
      </w:r>
    </w:p>
    <w:p w14:paraId="403811F8">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其他商品和服务支出：</w:t>
      </w:r>
      <w:r>
        <w:rPr>
          <w:rFonts w:hint="eastAsia" w:ascii="仿宋" w:hAnsi="仿宋" w:eastAsia="仿宋" w:cs="仿宋"/>
          <w:i w:val="0"/>
          <w:iCs w:val="0"/>
          <w:caps w:val="0"/>
          <w:color w:val="000000"/>
          <w:spacing w:val="0"/>
          <w:sz w:val="32"/>
          <w:szCs w:val="32"/>
          <w:shd w:val="clear" w:color="auto" w:fill="FFFFFF"/>
        </w:rPr>
        <w:t>反映上述科目未包括的日常公用支出。如行政赔偿费和诉讼费、国内组织的会员费、来访费、广告宣传、其他劳务费及离休人员特需费、公用经费等。</w:t>
      </w:r>
    </w:p>
    <w:p w14:paraId="1E4382EB">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对个人和家庭的补助：</w:t>
      </w:r>
      <w:r>
        <w:rPr>
          <w:rFonts w:hint="eastAsia" w:ascii="仿宋" w:hAnsi="仿宋" w:eastAsia="仿宋" w:cs="仿宋"/>
          <w:i w:val="0"/>
          <w:iCs w:val="0"/>
          <w:caps w:val="0"/>
          <w:color w:val="000000"/>
          <w:spacing w:val="0"/>
          <w:sz w:val="32"/>
          <w:szCs w:val="32"/>
          <w:shd w:val="clear" w:color="auto" w:fill="FFFFFF"/>
        </w:rPr>
        <w:t>反映政府用于对个人和家庭的补助支出。</w:t>
      </w:r>
    </w:p>
    <w:p w14:paraId="181E7E57">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退休费：</w:t>
      </w:r>
      <w:r>
        <w:rPr>
          <w:rFonts w:hint="eastAsia" w:ascii="仿宋" w:hAnsi="仿宋" w:eastAsia="仿宋" w:cs="仿宋"/>
          <w:i w:val="0"/>
          <w:iCs w:val="0"/>
          <w:caps w:val="0"/>
          <w:color w:val="000000"/>
          <w:spacing w:val="0"/>
          <w:sz w:val="32"/>
          <w:szCs w:val="32"/>
          <w:shd w:val="clear" w:color="auto" w:fill="FFFFFF"/>
        </w:rPr>
        <w:t>反映行政事业单位和军队移交政府安置的退休人员的退休费和其他补贴。</w:t>
      </w:r>
    </w:p>
    <w:p w14:paraId="2744DAC6">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抚恤金：</w:t>
      </w:r>
      <w:r>
        <w:rPr>
          <w:rFonts w:hint="eastAsia" w:ascii="仿宋" w:hAnsi="仿宋" w:eastAsia="仿宋" w:cs="仿宋"/>
          <w:i w:val="0"/>
          <w:iCs w:val="0"/>
          <w:caps w:val="0"/>
          <w:color w:val="000000"/>
          <w:spacing w:val="0"/>
          <w:sz w:val="32"/>
          <w:szCs w:val="32"/>
          <w:shd w:val="clear" w:color="auto" w:fill="FFFFFF"/>
        </w:rPr>
        <w:t>反映按规定开支的烈士遗属、牺牲病故人员遗属的一次性和定期抚恤金，伤残人员的抚恤金，离退休人员等其他人员的各项抚恤金。</w:t>
      </w:r>
    </w:p>
    <w:p w14:paraId="05075476">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生活补助：</w:t>
      </w:r>
      <w:r>
        <w:rPr>
          <w:rFonts w:hint="eastAsia" w:ascii="仿宋" w:hAnsi="仿宋" w:eastAsia="仿宋" w:cs="仿宋"/>
          <w:i w:val="0"/>
          <w:iCs w:val="0"/>
          <w:caps w:val="0"/>
          <w:color w:val="000000"/>
          <w:spacing w:val="0"/>
          <w:sz w:val="32"/>
          <w:szCs w:val="32"/>
          <w:shd w:val="clear" w:color="auto" w:fill="FFFFFF"/>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745BB3A0">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救济费：</w:t>
      </w:r>
      <w:r>
        <w:rPr>
          <w:rFonts w:hint="eastAsia" w:ascii="仿宋" w:hAnsi="仿宋" w:eastAsia="仿宋" w:cs="仿宋"/>
          <w:i w:val="0"/>
          <w:iCs w:val="0"/>
          <w:caps w:val="0"/>
          <w:color w:val="000000"/>
          <w:spacing w:val="0"/>
          <w:sz w:val="32"/>
          <w:szCs w:val="32"/>
          <w:shd w:val="clear" w:color="auto" w:fill="FFFFFF"/>
        </w:rPr>
        <w:t>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0DFBF94A">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奖励金：</w:t>
      </w:r>
      <w:r>
        <w:rPr>
          <w:rFonts w:hint="eastAsia" w:ascii="仿宋" w:hAnsi="仿宋" w:eastAsia="仿宋" w:cs="仿宋"/>
          <w:i w:val="0"/>
          <w:iCs w:val="0"/>
          <w:caps w:val="0"/>
          <w:color w:val="000000"/>
          <w:spacing w:val="0"/>
          <w:sz w:val="32"/>
          <w:szCs w:val="32"/>
          <w:shd w:val="clear" w:color="auto" w:fill="FFFFFF"/>
        </w:rPr>
        <w:t>反映政府各部门的奖励支出，如对个体私营经济的奖励、计划生育目标责任奖励、独生子女父母奖励等。</w:t>
      </w:r>
    </w:p>
    <w:p w14:paraId="3F549E1E">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其他对个人和家庭的补助支出：</w:t>
      </w:r>
      <w:r>
        <w:rPr>
          <w:rFonts w:hint="eastAsia" w:ascii="仿宋" w:hAnsi="仿宋" w:eastAsia="仿宋" w:cs="仿宋"/>
          <w:i w:val="0"/>
          <w:iCs w:val="0"/>
          <w:caps w:val="0"/>
          <w:color w:val="000000"/>
          <w:spacing w:val="0"/>
          <w:sz w:val="32"/>
          <w:szCs w:val="32"/>
          <w:shd w:val="clear" w:color="auto" w:fill="FFFFFF"/>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2A1B9A3E">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办公设备购置：</w:t>
      </w:r>
      <w:r>
        <w:rPr>
          <w:rFonts w:hint="eastAsia" w:ascii="仿宋" w:hAnsi="仿宋" w:eastAsia="仿宋" w:cs="仿宋"/>
          <w:i w:val="0"/>
          <w:iCs w:val="0"/>
          <w:caps w:val="0"/>
          <w:color w:val="000000"/>
          <w:spacing w:val="0"/>
          <w:sz w:val="32"/>
          <w:szCs w:val="32"/>
          <w:shd w:val="clear" w:color="auto" w:fill="FFFFFF"/>
        </w:rPr>
        <w:t>反映用于购置并按财务会计制度规定纳入固定资产核算范围的办公家具和办公设备的支出，以及按规定提取的修购基金。</w:t>
      </w:r>
    </w:p>
    <w:p w14:paraId="6414B35C">
      <w:pPr>
        <w:pStyle w:val="4"/>
        <w:ind w:left="0" w:leftChars="0" w:firstLine="640" w:firstLineChars="200"/>
      </w:pPr>
      <w:r>
        <w:rPr>
          <w:rFonts w:hint="eastAsia" w:ascii="黑体" w:hAnsi="宋体" w:eastAsia="黑体" w:cs="黑体"/>
          <w:i w:val="0"/>
          <w:iCs w:val="0"/>
          <w:caps w:val="0"/>
          <w:color w:val="000000"/>
          <w:spacing w:val="0"/>
          <w:sz w:val="32"/>
          <w:szCs w:val="32"/>
          <w:shd w:val="clear" w:color="auto" w:fill="FFFFFF"/>
        </w:rPr>
        <w:t>机关运行经费：</w:t>
      </w:r>
      <w:r>
        <w:rPr>
          <w:rFonts w:hint="eastAsia" w:ascii="仿宋" w:hAnsi="仿宋" w:eastAsia="仿宋" w:cs="仿宋"/>
          <w:i w:val="0"/>
          <w:iCs w:val="0"/>
          <w:caps w:val="0"/>
          <w:color w:val="000000"/>
          <w:spacing w:val="0"/>
          <w:sz w:val="32"/>
          <w:szCs w:val="32"/>
          <w:shd w:val="clear" w:color="auto" w:fill="FFFFFF"/>
        </w:rPr>
        <w:t>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hint="default" w:ascii="Times New Roman" w:hAnsi="Times New Roman" w:cs="Times New Roman"/>
          <w:i w:val="0"/>
          <w:iCs w:val="0"/>
          <w:caps w:val="0"/>
          <w:color w:val="000000"/>
          <w:spacing w:val="0"/>
          <w:sz w:val="32"/>
          <w:szCs w:val="32"/>
          <w:shd w:val="clear" w:color="auto" w:fill="FFFFFF"/>
        </w:rPr>
        <w:t> </w:t>
      </w:r>
      <w:r>
        <w:rPr>
          <w:rFonts w:hint="eastAsia" w:ascii="仿宋" w:hAnsi="仿宋" w:eastAsia="仿宋" w:cs="仿宋"/>
          <w:i w:val="0"/>
          <w:iCs w:val="0"/>
          <w:caps w:val="0"/>
          <w:color w:val="000000"/>
          <w:spacing w:val="0"/>
          <w:sz w:val="32"/>
          <w:szCs w:val="32"/>
          <w:shd w:val="clear" w:color="auto" w:fill="FFFFFF"/>
        </w:rPr>
        <w:t>办公用房物业管理费、</w:t>
      </w:r>
      <w:r>
        <w:rPr>
          <w:rFonts w:hint="default" w:ascii="Times New Roman" w:hAnsi="Times New Roman" w:cs="Times New Roman"/>
          <w:i w:val="0"/>
          <w:iCs w:val="0"/>
          <w:caps w:val="0"/>
          <w:color w:val="000000"/>
          <w:spacing w:val="0"/>
          <w:sz w:val="32"/>
          <w:szCs w:val="32"/>
          <w:shd w:val="clear" w:color="auto" w:fill="FFFFFF"/>
        </w:rPr>
        <w:t> </w:t>
      </w:r>
      <w:r>
        <w:rPr>
          <w:rFonts w:hint="eastAsia" w:ascii="仿宋" w:hAnsi="仿宋" w:eastAsia="仿宋" w:cs="仿宋"/>
          <w:i w:val="0"/>
          <w:iCs w:val="0"/>
          <w:caps w:val="0"/>
          <w:color w:val="000000"/>
          <w:spacing w:val="0"/>
          <w:sz w:val="32"/>
          <w:szCs w:val="32"/>
          <w:shd w:val="clear" w:color="auto" w:fill="FFFFFF"/>
        </w:rPr>
        <w:t>公务用车运行维护费以及其他费用。</w:t>
      </w:r>
    </w:p>
    <w:p w14:paraId="53378839"/>
    <w:p w14:paraId="6552CFAB">
      <w:pPr>
        <w:pStyle w:val="8"/>
      </w:pPr>
    </w:p>
    <w:p w14:paraId="69CBAEEA">
      <w:pPr>
        <w:pStyle w:val="4"/>
      </w:pPr>
    </w:p>
    <w:p w14:paraId="17F27010"/>
    <w:p w14:paraId="422B61B8">
      <w:pPr>
        <w:pStyle w:val="8"/>
      </w:pPr>
    </w:p>
    <w:p w14:paraId="68D4948B">
      <w:pPr>
        <w:pStyle w:val="4"/>
      </w:pPr>
    </w:p>
    <w:p w14:paraId="0644D178"/>
    <w:p w14:paraId="16CC8650">
      <w:pPr>
        <w:pStyle w:val="8"/>
      </w:pPr>
    </w:p>
    <w:p w14:paraId="3CC7F268">
      <w:pPr>
        <w:pStyle w:val="4"/>
      </w:pPr>
    </w:p>
    <w:p w14:paraId="5BC04201">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0B0B64D">
      <w:pPr>
        <w:pStyle w:val="14"/>
        <w:jc w:val="both"/>
        <w:rPr>
          <w:rFonts w:hint="eastAsia" w:ascii="方正小标宋_GBK" w:hAnsi="方正小标宋_GBK" w:eastAsia="方正小标宋_GBK" w:cs="方正小标宋_GBK"/>
          <w:sz w:val="70"/>
          <w:szCs w:val="70"/>
          <w:lang w:eastAsia="zh-CN"/>
        </w:rPr>
      </w:pPr>
    </w:p>
    <w:p w14:paraId="111AE5FE">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598583C">
      <w:pPr>
        <w:ind w:firstLine="640" w:firstLineChars="200"/>
        <w:jc w:val="left"/>
        <w:rPr>
          <w:rFonts w:hint="eastAsia" w:ascii="宋体" w:hAnsi="宋体" w:eastAsia="宋体" w:cs="黑体"/>
          <w:b/>
          <w:color w:val="000000"/>
          <w:kern w:val="0"/>
          <w:sz w:val="32"/>
          <w:szCs w:val="32"/>
          <w:lang w:val="en-US" w:eastAsia="zh-CN"/>
        </w:rPr>
      </w:pPr>
    </w:p>
    <w:p w14:paraId="1F8DCC7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66C71D5D">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3D640216"/>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2ACFC"/>
    <w:multiLevelType w:val="singleLevel"/>
    <w:tmpl w:val="0502ACFC"/>
    <w:lvl w:ilvl="0" w:tentative="0">
      <w:start w:val="1"/>
      <w:numFmt w:val="decimal"/>
      <w:suff w:val="nothing"/>
      <w:lvlText w:val="%1、"/>
      <w:lvlJc w:val="left"/>
      <w:pPr>
        <w:ind w:left="790" w:leftChars="0" w:firstLine="0" w:firstLineChars="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2RiNmVjYWEzZWVjZjQ5ODA5NjIwNzIyM2IwYjcifQ=="/>
    <w:docVar w:name="KSO_WPS_MARK_KEY" w:val="3b5d5700-ab70-4078-a3f4-7dcbe21e48cb"/>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54DE8"/>
    <w:rsid w:val="0086638C"/>
    <w:rsid w:val="008A3E8D"/>
    <w:rsid w:val="009237C4"/>
    <w:rsid w:val="00944C48"/>
    <w:rsid w:val="00950252"/>
    <w:rsid w:val="00967F5D"/>
    <w:rsid w:val="009A0F95"/>
    <w:rsid w:val="009B3ADF"/>
    <w:rsid w:val="009B4D8E"/>
    <w:rsid w:val="009C3B52"/>
    <w:rsid w:val="009E6817"/>
    <w:rsid w:val="009E6E9A"/>
    <w:rsid w:val="00A01D2B"/>
    <w:rsid w:val="00A34398"/>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42E9E"/>
    <w:rsid w:val="00F74360"/>
    <w:rsid w:val="00F818A4"/>
    <w:rsid w:val="00FB462F"/>
    <w:rsid w:val="00FE16FA"/>
    <w:rsid w:val="00FE328A"/>
    <w:rsid w:val="00FE6269"/>
    <w:rsid w:val="00FF5CD6"/>
    <w:rsid w:val="01BD616A"/>
    <w:rsid w:val="01C070EF"/>
    <w:rsid w:val="01C247F0"/>
    <w:rsid w:val="01C32272"/>
    <w:rsid w:val="03067406"/>
    <w:rsid w:val="036D482C"/>
    <w:rsid w:val="03FD0897"/>
    <w:rsid w:val="044959AE"/>
    <w:rsid w:val="046E56D3"/>
    <w:rsid w:val="049D07A1"/>
    <w:rsid w:val="052C3508"/>
    <w:rsid w:val="052F448C"/>
    <w:rsid w:val="05606F49"/>
    <w:rsid w:val="059958AD"/>
    <w:rsid w:val="06C857E7"/>
    <w:rsid w:val="07024AB1"/>
    <w:rsid w:val="07BA06BE"/>
    <w:rsid w:val="07D14A60"/>
    <w:rsid w:val="07D76969"/>
    <w:rsid w:val="07F6721E"/>
    <w:rsid w:val="08C24A73"/>
    <w:rsid w:val="08E46EA7"/>
    <w:rsid w:val="0A922065"/>
    <w:rsid w:val="0B20514C"/>
    <w:rsid w:val="0B8D3582"/>
    <w:rsid w:val="0BA12222"/>
    <w:rsid w:val="0C38149C"/>
    <w:rsid w:val="0C992E66"/>
    <w:rsid w:val="0C996F37"/>
    <w:rsid w:val="0E224840"/>
    <w:rsid w:val="0E7D3C55"/>
    <w:rsid w:val="0F0415AF"/>
    <w:rsid w:val="0F772FF0"/>
    <w:rsid w:val="0FC10A69"/>
    <w:rsid w:val="0FD53E86"/>
    <w:rsid w:val="101E557F"/>
    <w:rsid w:val="10352FA6"/>
    <w:rsid w:val="11146D91"/>
    <w:rsid w:val="11B40E99"/>
    <w:rsid w:val="12583BA5"/>
    <w:rsid w:val="12D77CF6"/>
    <w:rsid w:val="130B4CCD"/>
    <w:rsid w:val="13BA5B9C"/>
    <w:rsid w:val="144968D3"/>
    <w:rsid w:val="144E4536"/>
    <w:rsid w:val="169961A3"/>
    <w:rsid w:val="16BB4159"/>
    <w:rsid w:val="16FC29C4"/>
    <w:rsid w:val="170E6162"/>
    <w:rsid w:val="174817BF"/>
    <w:rsid w:val="18154FDF"/>
    <w:rsid w:val="19044F98"/>
    <w:rsid w:val="19067AD5"/>
    <w:rsid w:val="19314B62"/>
    <w:rsid w:val="19420680"/>
    <w:rsid w:val="196C5C41"/>
    <w:rsid w:val="19A406CA"/>
    <w:rsid w:val="19C0314D"/>
    <w:rsid w:val="1AA36FC3"/>
    <w:rsid w:val="1AAF2DD5"/>
    <w:rsid w:val="1B155FFD"/>
    <w:rsid w:val="1B5238E3"/>
    <w:rsid w:val="1CD501DC"/>
    <w:rsid w:val="1D97DEFF"/>
    <w:rsid w:val="1DAF11C4"/>
    <w:rsid w:val="1DFF72E5"/>
    <w:rsid w:val="1E9C7B48"/>
    <w:rsid w:val="1EEF1B50"/>
    <w:rsid w:val="1EFC6F07"/>
    <w:rsid w:val="1F0527A6"/>
    <w:rsid w:val="1F1D5B17"/>
    <w:rsid w:val="1FD00E3E"/>
    <w:rsid w:val="201605FE"/>
    <w:rsid w:val="20C03FCA"/>
    <w:rsid w:val="216C1EE4"/>
    <w:rsid w:val="21D4060F"/>
    <w:rsid w:val="2223038E"/>
    <w:rsid w:val="223C6D39"/>
    <w:rsid w:val="22AB4DEF"/>
    <w:rsid w:val="22AC03C2"/>
    <w:rsid w:val="22F94B6E"/>
    <w:rsid w:val="234165E7"/>
    <w:rsid w:val="238060CC"/>
    <w:rsid w:val="244B6A99"/>
    <w:rsid w:val="246918CD"/>
    <w:rsid w:val="24836BF3"/>
    <w:rsid w:val="25074C4E"/>
    <w:rsid w:val="25101CDA"/>
    <w:rsid w:val="254856B7"/>
    <w:rsid w:val="25DF4931"/>
    <w:rsid w:val="26754E25"/>
    <w:rsid w:val="26955359"/>
    <w:rsid w:val="27451C7A"/>
    <w:rsid w:val="27567996"/>
    <w:rsid w:val="295D00EB"/>
    <w:rsid w:val="2ACC37C5"/>
    <w:rsid w:val="2B143BB9"/>
    <w:rsid w:val="2B396377"/>
    <w:rsid w:val="2B43250A"/>
    <w:rsid w:val="2B4A6612"/>
    <w:rsid w:val="2B696EC7"/>
    <w:rsid w:val="2B7E35E9"/>
    <w:rsid w:val="2BD8717A"/>
    <w:rsid w:val="2C210873"/>
    <w:rsid w:val="2C784B05"/>
    <w:rsid w:val="2D0F4C79"/>
    <w:rsid w:val="2D6F5F97"/>
    <w:rsid w:val="2DDA5646"/>
    <w:rsid w:val="2E7B51CF"/>
    <w:rsid w:val="2E8D40A8"/>
    <w:rsid w:val="2EBC3A3B"/>
    <w:rsid w:val="2ED139E0"/>
    <w:rsid w:val="2ED67E68"/>
    <w:rsid w:val="2F005429"/>
    <w:rsid w:val="2F2730EA"/>
    <w:rsid w:val="2F4A23A5"/>
    <w:rsid w:val="2F6973D6"/>
    <w:rsid w:val="2FDF85B8"/>
    <w:rsid w:val="2FFFEE04"/>
    <w:rsid w:val="30503E51"/>
    <w:rsid w:val="306772F9"/>
    <w:rsid w:val="308A2D31"/>
    <w:rsid w:val="31B97BA0"/>
    <w:rsid w:val="31C55B00"/>
    <w:rsid w:val="31C95635"/>
    <w:rsid w:val="32F24425"/>
    <w:rsid w:val="332C7A82"/>
    <w:rsid w:val="34B51B07"/>
    <w:rsid w:val="34DF85B0"/>
    <w:rsid w:val="35B474AB"/>
    <w:rsid w:val="3618394C"/>
    <w:rsid w:val="36A77D38"/>
    <w:rsid w:val="36B62551"/>
    <w:rsid w:val="370621EB"/>
    <w:rsid w:val="3743343A"/>
    <w:rsid w:val="37620175"/>
    <w:rsid w:val="377D6A97"/>
    <w:rsid w:val="37824373"/>
    <w:rsid w:val="378F2234"/>
    <w:rsid w:val="37E312B6"/>
    <w:rsid w:val="38145D11"/>
    <w:rsid w:val="38AE268C"/>
    <w:rsid w:val="397D1A60"/>
    <w:rsid w:val="3A5307BE"/>
    <w:rsid w:val="3A7257F0"/>
    <w:rsid w:val="3A9F75B9"/>
    <w:rsid w:val="3AAD14C4"/>
    <w:rsid w:val="3AC5307C"/>
    <w:rsid w:val="3B8F36BC"/>
    <w:rsid w:val="3BBC450D"/>
    <w:rsid w:val="3BCD002B"/>
    <w:rsid w:val="3CB215A2"/>
    <w:rsid w:val="3CC86FC9"/>
    <w:rsid w:val="3D3A6003"/>
    <w:rsid w:val="3D6313C6"/>
    <w:rsid w:val="3E122463"/>
    <w:rsid w:val="3E9B6EC4"/>
    <w:rsid w:val="3F5E2485"/>
    <w:rsid w:val="3F8C7AD1"/>
    <w:rsid w:val="3F8E51D3"/>
    <w:rsid w:val="401818B4"/>
    <w:rsid w:val="407709D4"/>
    <w:rsid w:val="40826D65"/>
    <w:rsid w:val="4136428A"/>
    <w:rsid w:val="41666FD7"/>
    <w:rsid w:val="42721A93"/>
    <w:rsid w:val="42C4601A"/>
    <w:rsid w:val="42E377C8"/>
    <w:rsid w:val="451C7473"/>
    <w:rsid w:val="46B46290"/>
    <w:rsid w:val="479D620D"/>
    <w:rsid w:val="47AA1CA0"/>
    <w:rsid w:val="48667E54"/>
    <w:rsid w:val="48870389"/>
    <w:rsid w:val="489B28AD"/>
    <w:rsid w:val="49154775"/>
    <w:rsid w:val="491FF225"/>
    <w:rsid w:val="49400E3C"/>
    <w:rsid w:val="49582C60"/>
    <w:rsid w:val="495C4EE9"/>
    <w:rsid w:val="49A800A8"/>
    <w:rsid w:val="4A8A42D6"/>
    <w:rsid w:val="4AD66954"/>
    <w:rsid w:val="4B2D7363"/>
    <w:rsid w:val="4BD92CFF"/>
    <w:rsid w:val="4C205671"/>
    <w:rsid w:val="4C480DB4"/>
    <w:rsid w:val="4C827C94"/>
    <w:rsid w:val="4D7C592E"/>
    <w:rsid w:val="4D8F494F"/>
    <w:rsid w:val="4DC40DEA"/>
    <w:rsid w:val="4E391564"/>
    <w:rsid w:val="4E563093"/>
    <w:rsid w:val="4E5A52AA"/>
    <w:rsid w:val="4F7534EA"/>
    <w:rsid w:val="4F93631E"/>
    <w:rsid w:val="4FBD16E0"/>
    <w:rsid w:val="4FFD214C"/>
    <w:rsid w:val="505B24E3"/>
    <w:rsid w:val="50660874"/>
    <w:rsid w:val="50CD4DA0"/>
    <w:rsid w:val="510F580A"/>
    <w:rsid w:val="5117649A"/>
    <w:rsid w:val="51413A5A"/>
    <w:rsid w:val="51FB1F8F"/>
    <w:rsid w:val="521066B1"/>
    <w:rsid w:val="52D970DD"/>
    <w:rsid w:val="5352765A"/>
    <w:rsid w:val="54E164CF"/>
    <w:rsid w:val="5505540A"/>
    <w:rsid w:val="55062E8C"/>
    <w:rsid w:val="55FD59A2"/>
    <w:rsid w:val="560D5C3D"/>
    <w:rsid w:val="567355E1"/>
    <w:rsid w:val="57545F54"/>
    <w:rsid w:val="5777D4F5"/>
    <w:rsid w:val="58450D5F"/>
    <w:rsid w:val="58CC44BC"/>
    <w:rsid w:val="59810AE7"/>
    <w:rsid w:val="598A113A"/>
    <w:rsid w:val="59957788"/>
    <w:rsid w:val="59A96428"/>
    <w:rsid w:val="59AD702D"/>
    <w:rsid w:val="59DD8326"/>
    <w:rsid w:val="5A2B6347"/>
    <w:rsid w:val="5A5752C7"/>
    <w:rsid w:val="5A6545DD"/>
    <w:rsid w:val="5A766A76"/>
    <w:rsid w:val="5ABA3CE7"/>
    <w:rsid w:val="5AE738B1"/>
    <w:rsid w:val="5AF235BA"/>
    <w:rsid w:val="5BE302D1"/>
    <w:rsid w:val="5DEF592A"/>
    <w:rsid w:val="5F677B93"/>
    <w:rsid w:val="5FC34763"/>
    <w:rsid w:val="5FC6BB1E"/>
    <w:rsid w:val="5FF720F1"/>
    <w:rsid w:val="607B63D6"/>
    <w:rsid w:val="60E115FE"/>
    <w:rsid w:val="61857F0D"/>
    <w:rsid w:val="618B7898"/>
    <w:rsid w:val="61AB6AC8"/>
    <w:rsid w:val="61D14789"/>
    <w:rsid w:val="6222328F"/>
    <w:rsid w:val="62444AC8"/>
    <w:rsid w:val="638A3B44"/>
    <w:rsid w:val="63C03FB5"/>
    <w:rsid w:val="63DF6A68"/>
    <w:rsid w:val="646856C7"/>
    <w:rsid w:val="647B46E8"/>
    <w:rsid w:val="64B0133E"/>
    <w:rsid w:val="651932EC"/>
    <w:rsid w:val="65E5173B"/>
    <w:rsid w:val="66E2035A"/>
    <w:rsid w:val="67057615"/>
    <w:rsid w:val="67487CFE"/>
    <w:rsid w:val="67896569"/>
    <w:rsid w:val="67FF5C0B"/>
    <w:rsid w:val="686A10DA"/>
    <w:rsid w:val="68BD6966"/>
    <w:rsid w:val="69147375"/>
    <w:rsid w:val="694B1A4D"/>
    <w:rsid w:val="699A504F"/>
    <w:rsid w:val="6A2A10BB"/>
    <w:rsid w:val="6A541EFF"/>
    <w:rsid w:val="6A9A0475"/>
    <w:rsid w:val="6AD846D7"/>
    <w:rsid w:val="6B1D51CB"/>
    <w:rsid w:val="6B6668C4"/>
    <w:rsid w:val="6BAA4A2F"/>
    <w:rsid w:val="6BEE421F"/>
    <w:rsid w:val="6D1E5C16"/>
    <w:rsid w:val="6D503E66"/>
    <w:rsid w:val="6DE02450"/>
    <w:rsid w:val="6E40376F"/>
    <w:rsid w:val="6EFC0924"/>
    <w:rsid w:val="6F0A66BA"/>
    <w:rsid w:val="6F47651F"/>
    <w:rsid w:val="6F784AF0"/>
    <w:rsid w:val="6FB74722"/>
    <w:rsid w:val="6FDA5A8E"/>
    <w:rsid w:val="6FEF8B7E"/>
    <w:rsid w:val="70645DE9"/>
    <w:rsid w:val="7075590D"/>
    <w:rsid w:val="70B566F6"/>
    <w:rsid w:val="716C6225"/>
    <w:rsid w:val="71A6591B"/>
    <w:rsid w:val="725A00AC"/>
    <w:rsid w:val="732267F0"/>
    <w:rsid w:val="7375030D"/>
    <w:rsid w:val="737D59BA"/>
    <w:rsid w:val="737F32B1"/>
    <w:rsid w:val="7381208C"/>
    <w:rsid w:val="739F4EC0"/>
    <w:rsid w:val="748D12C5"/>
    <w:rsid w:val="751F6635"/>
    <w:rsid w:val="75801B52"/>
    <w:rsid w:val="766024C5"/>
    <w:rsid w:val="76B72ED4"/>
    <w:rsid w:val="77100FE4"/>
    <w:rsid w:val="77245A86"/>
    <w:rsid w:val="777B6495"/>
    <w:rsid w:val="77C37683"/>
    <w:rsid w:val="78A06277"/>
    <w:rsid w:val="79FF515B"/>
    <w:rsid w:val="7A182EEE"/>
    <w:rsid w:val="7A8B129B"/>
    <w:rsid w:val="7A8C2B0C"/>
    <w:rsid w:val="7A931F2A"/>
    <w:rsid w:val="7AD718AD"/>
    <w:rsid w:val="7B700614"/>
    <w:rsid w:val="7BC5229C"/>
    <w:rsid w:val="7BD712BD"/>
    <w:rsid w:val="7BEA6C58"/>
    <w:rsid w:val="7C6565A2"/>
    <w:rsid w:val="7CBD4A32"/>
    <w:rsid w:val="7D1F1254"/>
    <w:rsid w:val="7DCA16EC"/>
    <w:rsid w:val="7E633E69"/>
    <w:rsid w:val="7E646068"/>
    <w:rsid w:val="7E79600D"/>
    <w:rsid w:val="7E9E1962"/>
    <w:rsid w:val="7E9F11B4"/>
    <w:rsid w:val="7EAD081E"/>
    <w:rsid w:val="7F1A2313"/>
    <w:rsid w:val="7F37EC1E"/>
    <w:rsid w:val="7F7DCD9D"/>
    <w:rsid w:val="7F970A6F"/>
    <w:rsid w:val="7FB00142"/>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afterLines="0" w:afterAutospacing="0"/>
      <w:jc w:val="both"/>
    </w:pPr>
    <w:rPr>
      <w:rFonts w:ascii="Times New Roman" w:hAnsi="Times New Roman" w:eastAsia="仿宋" w:cs="Times New Roman"/>
      <w:kern w:val="2"/>
      <w:sz w:val="32"/>
      <w:lang w:val="en-US" w:eastAsia="zh-CN"/>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10151</Words>
  <Characters>10839</Characters>
  <Lines>63</Lines>
  <Paragraphs>18</Paragraphs>
  <TotalTime>11</TotalTime>
  <ScaleCrop>false</ScaleCrop>
  <LinksUpToDate>false</LinksUpToDate>
  <CharactersWithSpaces>10865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Mrs 葉 甜品屋</cp:lastModifiedBy>
  <cp:lastPrinted>2024-09-14T16:13:00Z</cp:lastPrinted>
  <dcterms:modified xsi:type="dcterms:W3CDTF">2025-07-30T06:37:17Z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6C5AE9A4717E45798BEE85C1680FED78_13</vt:lpwstr>
  </property>
</Properties>
</file>