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中共岳阳市委机构编制委员会</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办公室</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val="en-US" w:eastAsia="zh-CN"/>
        </w:rPr>
        <w:t>中共岳阳市委机构编制委员会办公室</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19</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中共岳阳市委机构编制委员会</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办公室</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（一）职能职责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
        </w:rPr>
        <w:t>1.</w:t>
      </w:r>
      <w:r>
        <w:rPr>
          <w:rFonts w:hint="eastAsia" w:eastAsia="仿宋_GB2312" w:cs="仿宋_GB2312"/>
          <w:kern w:val="0"/>
          <w:sz w:val="32"/>
          <w:szCs w:val="32"/>
          <w:lang w:val="en-US" w:eastAsia="zh-CN"/>
        </w:rPr>
        <w:t>贯彻执行中央和省有关行政管理体制和机构改革以及机构编制管理的法律法规和政策；起草机构编制管理的规范性文件；根据授权统一管理全市各级党政机关（含党委、政府各部门，人大、政协，民主党派、人民团体机关，以及其他行政机构，下同）和事业单位的机构编制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
        </w:rPr>
        <w:t>2.</w:t>
      </w:r>
      <w:r>
        <w:rPr>
          <w:rFonts w:hint="eastAsia" w:eastAsia="仿宋_GB2312" w:cs="仿宋_GB2312"/>
          <w:kern w:val="0"/>
          <w:sz w:val="32"/>
          <w:szCs w:val="32"/>
          <w:lang w:val="en-US" w:eastAsia="zh-CN"/>
        </w:rPr>
        <w:t>拟订全市行政管理体制和机构改革总体方案并组织实施；审核市直党政机关各部门和县市区党政机构改革方案；指导、协调全市行政管理体制改革和机构改革工作。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
        </w:rPr>
        <w:t>3.拟</w:t>
      </w:r>
      <w:r>
        <w:rPr>
          <w:rFonts w:hint="eastAsia" w:eastAsia="仿宋_GB2312" w:cs="仿宋_GB2312"/>
          <w:kern w:val="0"/>
          <w:sz w:val="32"/>
          <w:szCs w:val="32"/>
          <w:lang w:val="en-US" w:eastAsia="zh-CN"/>
        </w:rPr>
        <w:t>订全市事业单位管理体制与机构改革总体方案并组织实施；审核全市处级以上事业单位和县市区事业单位机构改革方案；指导、协调全市各级事业单位机构改革工作。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
        </w:rPr>
        <w:t>4.审核</w:t>
      </w:r>
      <w:r>
        <w:rPr>
          <w:rFonts w:hint="eastAsia" w:eastAsia="仿宋_GB2312" w:cs="仿宋_GB2312"/>
          <w:kern w:val="0"/>
          <w:sz w:val="32"/>
          <w:szCs w:val="32"/>
          <w:lang w:val="en-US" w:eastAsia="zh-CN"/>
        </w:rPr>
        <w:t>全市处级机构、县市区党政机关科级机构的设置和调整方案；研究提出市直党政机关职责配置和调整的意见，协调各部门之间、市本级与县市区之间的事权划分和职责分工；审核全市处级机构的内设机构、市直党政机关的科级机构、市直科级事业单位、县市区科级事业单位的设置和调整方案。</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
        </w:rPr>
        <w:t>5.审核市直党政</w:t>
      </w:r>
      <w:r>
        <w:rPr>
          <w:rFonts w:hint="eastAsia" w:eastAsia="仿宋_GB2312" w:cs="仿宋_GB2312"/>
          <w:kern w:val="0"/>
          <w:sz w:val="32"/>
          <w:szCs w:val="32"/>
          <w:lang w:val="en-US" w:eastAsia="zh-CN"/>
        </w:rPr>
        <w:t>机关各部门、全市处级以上事业单位人员编制方案；会同相关部门提出市县党政机关、处级以上事业单位领导职数配备和调整方案；审核市直和县市区党政机关、事业单位科级领导职数；拟订全市各级党政机关行政编制、政法专项编制总额分配和调整方案；拟订全市事业单位机构编制标准和管理办法。</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6.拟订全市乡镇机构改革总体方案并指导实施；管理全市乡镇人员编制总量。</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
        </w:rPr>
        <w:t>7.负责全市</w:t>
      </w:r>
      <w:r>
        <w:rPr>
          <w:rFonts w:hint="eastAsia" w:eastAsia="仿宋_GB2312" w:cs="仿宋_GB2312"/>
          <w:kern w:val="0"/>
          <w:sz w:val="32"/>
          <w:szCs w:val="32"/>
          <w:lang w:val="en-US" w:eastAsia="zh-CN"/>
        </w:rPr>
        <w:t>各级</w:t>
      </w:r>
      <w:r>
        <w:rPr>
          <w:rFonts w:hint="eastAsia" w:ascii="Times New Roman" w:hAnsi="Times New Roman" w:eastAsia="仿宋_GB2312" w:cs="Times New Roman"/>
          <w:color w:val="000000"/>
          <w:kern w:val="0"/>
          <w:sz w:val="32"/>
          <w:szCs w:val="32"/>
          <w:lang w:val="en-US" w:eastAsia="zh-CN" w:bidi="ar"/>
        </w:rPr>
        <w:t>党政机关</w:t>
      </w:r>
      <w:r>
        <w:rPr>
          <w:rFonts w:hint="eastAsia" w:eastAsia="仿宋_GB2312" w:cs="仿宋_GB2312"/>
          <w:kern w:val="0"/>
          <w:sz w:val="32"/>
          <w:szCs w:val="32"/>
          <w:lang w:val="en-US" w:eastAsia="zh-CN"/>
        </w:rPr>
        <w:t>、事业单位机构编制实名制管理；审核纳入市级财政统一发放工资的同级党政机关、事业单位（含收取规费的事业单位）的人员编制性质、数量、实有人数和领导职数；负责全市机构编制统计工作。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
        </w:rPr>
        <w:t>8.贯</w:t>
      </w:r>
      <w:r>
        <w:rPr>
          <w:rFonts w:hint="eastAsia" w:eastAsia="仿宋_GB2312" w:cs="仿宋_GB2312"/>
          <w:kern w:val="0"/>
          <w:sz w:val="32"/>
          <w:szCs w:val="32"/>
          <w:lang w:val="en-US" w:eastAsia="zh-CN"/>
        </w:rPr>
        <w:t>彻执行国家有关事业单位登记管理的法律、法规、规章，拟订全市事业单位登记管理的相关文件并组织实施；指导、协调、监督全市事业单位登记管理工作。</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
        </w:rPr>
        <w:t>9.监</w:t>
      </w:r>
      <w:r>
        <w:rPr>
          <w:rFonts w:hint="eastAsia" w:eastAsia="仿宋_GB2312" w:cs="仿宋_GB2312"/>
          <w:kern w:val="0"/>
          <w:sz w:val="32"/>
          <w:szCs w:val="32"/>
          <w:lang w:val="en-US" w:eastAsia="zh-CN"/>
        </w:rPr>
        <w:t>督检查全市各级党政机关、事业单位机构编制及机构改革方案的执行情况，会同有关部门查处机构编制违规违纪行为。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ascii="Times New Roman" w:hAnsi="Times New Roman" w:eastAsia="仿宋_GB2312" w:cs="Times New Roman"/>
          <w:color w:val="000000"/>
          <w:kern w:val="0"/>
          <w:sz w:val="32"/>
          <w:szCs w:val="32"/>
          <w:lang w:val="en-US" w:eastAsia="zh-CN" w:bidi="ar"/>
        </w:rPr>
        <w:t>10.承办</w:t>
      </w:r>
      <w:r>
        <w:rPr>
          <w:rFonts w:hint="eastAsia" w:eastAsia="仿宋_GB2312" w:cs="仿宋_GB2312"/>
          <w:kern w:val="0"/>
          <w:sz w:val="32"/>
          <w:szCs w:val="32"/>
          <w:lang w:val="en-US" w:eastAsia="zh-CN"/>
        </w:rPr>
        <w:t>市委、市人民政府和市委机构编制委员会交办的其他事项。</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（二）机构设置</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市委编办内设科室</w:t>
      </w:r>
      <w:r>
        <w:rPr>
          <w:rFonts w:hint="eastAsia" w:ascii="Times New Roman" w:hAnsi="Times New Roman" w:eastAsia="仿宋_GB2312" w:cs="Times New Roman"/>
          <w:color w:val="000000"/>
          <w:kern w:val="0"/>
          <w:sz w:val="32"/>
          <w:szCs w:val="32"/>
          <w:lang w:val="en-US" w:eastAsia="zh-CN" w:bidi="ar"/>
        </w:rPr>
        <w:t>8个，所属事业单位1个</w:t>
      </w:r>
      <w:r>
        <w:rPr>
          <w:rFonts w:hint="eastAsia" w:eastAsia="仿宋_GB2312" w:cs="仿宋_GB2312"/>
          <w:kern w:val="0"/>
          <w:sz w:val="32"/>
          <w:szCs w:val="32"/>
          <w:lang w:val="en-US"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lang w:val="en-US" w:eastAsia="zh-CN"/>
        </w:rPr>
      </w:pPr>
      <w:r>
        <w:rPr>
          <w:rFonts w:hint="eastAsia" w:eastAsia="仿宋_GB2312" w:cs="仿宋_GB2312"/>
          <w:kern w:val="0"/>
          <w:sz w:val="32"/>
          <w:szCs w:val="32"/>
          <w:lang w:val="en-US" w:eastAsia="zh-CN"/>
        </w:rPr>
        <w:t>所属事业单位是岳阳市机构编制事务中心。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rPr>
      </w:pPr>
      <w:r>
        <w:rPr>
          <w:rFonts w:hint="eastAsia" w:eastAsia="仿宋_GB2312" w:cs="仿宋_GB2312"/>
          <w:kern w:val="0"/>
          <w:sz w:val="32"/>
          <w:szCs w:val="32"/>
          <w:lang w:val="en-US" w:eastAsia="zh-CN"/>
        </w:rPr>
        <w:t>内设科室分别为综合科、行政机构编制科、事业机构编制科、事业单位登记管理科、实名制管理和信息科、县乡机构编制科、改革与政策法规科（园区机构编制科）、机构编制监督检查科。</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仿宋_GB2312"/>
          <w:color w:val="000000"/>
          <w:kern w:val="0"/>
          <w:sz w:val="32"/>
          <w:szCs w:val="32"/>
          <w:lang w:val="en-US" w:eastAsia="zh-CN" w:bidi="ar"/>
        </w:rPr>
        <w:t>基本支出主要是保障机构正常运转、完成日常工作任务而发生的各项支出，包括在职和退休人员工资福利支出、三公经费、水电、办公经费等商品和服务支出。</w:t>
      </w:r>
    </w:p>
    <w:p>
      <w:pPr>
        <w:keepNext w:val="0"/>
        <w:keepLines w:val="0"/>
        <w:widowControl/>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kern w:val="0"/>
          <w:sz w:val="32"/>
          <w:szCs w:val="32"/>
          <w:lang w:val="en-US" w:eastAsia="zh-CN" w:bidi="ar"/>
        </w:rPr>
        <w:t>1</w:t>
      </w:r>
      <w:r>
        <w:rPr>
          <w:rFonts w:hint="eastAsia" w:ascii="Times New Roman" w:hAnsi="Times New Roman" w:eastAsia="仿宋_GB2312" w:cs="仿宋_GB2312"/>
          <w:color w:val="000000"/>
          <w:kern w:val="0"/>
          <w:sz w:val="32"/>
          <w:szCs w:val="32"/>
          <w:lang w:val="en-US" w:eastAsia="zh-CN" w:bidi="ar"/>
        </w:rPr>
        <w:t>、基本支出具体使用情况：工资福利支出为448.88万；商品和服务支出为</w:t>
      </w:r>
      <w:r>
        <w:rPr>
          <w:rFonts w:hint="eastAsia" w:ascii="Times New Roman" w:hAnsi="Times New Roman" w:eastAsia="仿宋_GB2312" w:cs="Times New Roman"/>
          <w:color w:val="000000"/>
          <w:kern w:val="0"/>
          <w:sz w:val="32"/>
          <w:szCs w:val="32"/>
          <w:lang w:val="en-US" w:eastAsia="zh-CN" w:bidi="ar"/>
        </w:rPr>
        <w:t>89.73</w:t>
      </w:r>
      <w:r>
        <w:rPr>
          <w:rFonts w:hint="eastAsia" w:ascii="Times New Roman" w:hAnsi="Times New Roman" w:eastAsia="仿宋_GB2312" w:cs="仿宋_GB2312"/>
          <w:color w:val="000000"/>
          <w:kern w:val="0"/>
          <w:sz w:val="32"/>
          <w:szCs w:val="32"/>
          <w:lang w:val="en-US" w:eastAsia="zh-CN" w:bidi="ar"/>
        </w:rPr>
        <w:t>万；对个人和家庭的补助为</w:t>
      </w:r>
      <w:r>
        <w:rPr>
          <w:rFonts w:hint="eastAsia" w:ascii="Times New Roman" w:hAnsi="Times New Roman" w:eastAsia="仿宋_GB2312" w:cs="Times New Roman"/>
          <w:color w:val="000000"/>
          <w:kern w:val="0"/>
          <w:sz w:val="32"/>
          <w:szCs w:val="32"/>
          <w:lang w:val="en-US" w:eastAsia="zh-CN" w:bidi="ar"/>
        </w:rPr>
        <w:t>34.30</w:t>
      </w:r>
      <w:r>
        <w:rPr>
          <w:rFonts w:hint="eastAsia" w:ascii="Times New Roman" w:hAnsi="Times New Roman" w:eastAsia="仿宋_GB2312" w:cs="仿宋_GB2312"/>
          <w:color w:val="000000"/>
          <w:kern w:val="0"/>
          <w:sz w:val="32"/>
          <w:szCs w:val="32"/>
          <w:lang w:val="en-US" w:eastAsia="zh-CN" w:bidi="ar"/>
        </w:rPr>
        <w:t>万；资本性支出为0.00万。</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color w:val="000000"/>
          <w:kern w:val="0"/>
          <w:sz w:val="32"/>
          <w:szCs w:val="32"/>
          <w:lang w:val="en-US" w:eastAsia="zh-CN" w:bidi="ar"/>
        </w:rPr>
        <w:t>2</w:t>
      </w:r>
      <w:r>
        <w:rPr>
          <w:rFonts w:hint="eastAsia" w:ascii="Times New Roman" w:hAnsi="Times New Roman" w:eastAsia="仿宋_GB2312" w:cs="Times New Roman"/>
          <w:color w:val="000000"/>
          <w:kern w:val="0"/>
          <w:sz w:val="32"/>
          <w:szCs w:val="32"/>
          <w:lang w:val="en-US" w:eastAsia="zh-CN" w:bidi="ar"/>
        </w:rPr>
        <w:t>、三公经费具体支出情况：我单位</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3年三公经费总支出为2.86万，其中公务接待费0.56万；公务用车购置及运行维护费2.30万，因公出国</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境</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支出</w:t>
      </w:r>
      <w:r>
        <w:rPr>
          <w:rFonts w:hint="default" w:ascii="Times New Roman" w:hAnsi="Times New Roman" w:eastAsia="仿宋_GB2312" w:cs="Times New Roman"/>
          <w:color w:val="000000"/>
          <w:kern w:val="0"/>
          <w:sz w:val="32"/>
          <w:szCs w:val="32"/>
          <w:lang w:val="en-US" w:eastAsia="zh-CN" w:bidi="ar"/>
        </w:rPr>
        <w:t>0</w:t>
      </w:r>
      <w:r>
        <w:rPr>
          <w:rFonts w:hint="eastAsia" w:ascii="Times New Roman" w:hAnsi="Times New Roman" w:eastAsia="仿宋_GB2312" w:cs="Times New Roman"/>
          <w:color w:val="000000"/>
          <w:kern w:val="0"/>
          <w:sz w:val="32"/>
          <w:szCs w:val="32"/>
          <w:lang w:val="en-US" w:eastAsia="zh-CN" w:bidi="ar"/>
        </w:rPr>
        <w:t>.00万。</w:t>
      </w:r>
    </w:p>
    <w:p>
      <w:pPr>
        <w:pStyle w:val="8"/>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0"/>
          <w:sz w:val="32"/>
          <w:szCs w:val="32"/>
          <w:lang w:val="en-US" w:eastAsia="zh-CN" w:bidi="ar"/>
        </w:rPr>
        <w:t>1、项目资金收支情况分析</w:t>
      </w:r>
    </w:p>
    <w:p>
      <w:pPr>
        <w:keepNext w:val="0"/>
        <w:keepLines w:val="0"/>
        <w:widowControl/>
        <w:suppressLineNumbers w:val="0"/>
        <w:spacing w:before="0" w:beforeAutospacing="0" w:after="0" w:afterAutospacing="0" w:line="560" w:lineRule="exact"/>
        <w:ind w:left="0" w:right="0" w:firstLine="640" w:firstLineChars="200"/>
        <w:jc w:val="both"/>
        <w:rPr>
          <w:rFonts w:hint="default" w:ascii="仿宋_GB2312" w:hAnsi="仿宋_GB2312" w:eastAsia="仿宋_GB2312" w:cs="仿宋_GB2312"/>
          <w:color w:val="000000"/>
          <w:sz w:val="32"/>
          <w:szCs w:val="32"/>
          <w:lang w:val="en-US"/>
        </w:rPr>
      </w:pPr>
      <w:r>
        <w:rPr>
          <w:rFonts w:hint="eastAsia" w:ascii="Times New Roman" w:hAnsi="Times New Roman" w:eastAsia="仿宋_GB2312" w:cs="Times New Roman"/>
          <w:color w:val="000000"/>
          <w:kern w:val="0"/>
          <w:sz w:val="32"/>
          <w:szCs w:val="32"/>
          <w:lang w:val="en-US" w:eastAsia="zh-CN" w:bidi="ar"/>
        </w:rPr>
        <w:t>2023</w:t>
      </w:r>
      <w:r>
        <w:rPr>
          <w:rFonts w:hint="eastAsia" w:ascii="仿宋_GB2312" w:hAnsi="仿宋_GB2312" w:eastAsia="仿宋_GB2312" w:cs="仿宋_GB2312"/>
          <w:color w:val="000000"/>
          <w:kern w:val="0"/>
          <w:sz w:val="32"/>
          <w:szCs w:val="32"/>
          <w:lang w:val="en-US" w:eastAsia="zh-CN" w:bidi="ar"/>
        </w:rPr>
        <w:t>年年初市财政共安排专项资金</w:t>
      </w:r>
      <w:r>
        <w:rPr>
          <w:rFonts w:hint="default" w:ascii="Times New Roman" w:hAnsi="Times New Roman" w:eastAsia="仿宋_GB2312" w:cs="Times New Roman"/>
          <w:color w:val="000000"/>
          <w:kern w:val="0"/>
          <w:sz w:val="32"/>
          <w:szCs w:val="32"/>
          <w:lang w:val="en-US" w:eastAsia="zh-CN" w:bidi="ar"/>
        </w:rPr>
        <w:t>21.70</w:t>
      </w:r>
      <w:r>
        <w:rPr>
          <w:rFonts w:hint="eastAsia" w:ascii="仿宋_GB2312" w:hAnsi="仿宋_GB2312" w:eastAsia="仿宋_GB2312" w:cs="仿宋_GB2312"/>
          <w:color w:val="000000"/>
          <w:kern w:val="0"/>
          <w:sz w:val="32"/>
          <w:szCs w:val="32"/>
          <w:lang w:val="en-US" w:eastAsia="zh-CN" w:bidi="ar"/>
        </w:rPr>
        <w:t>万，其中：业务工作经费支出</w:t>
      </w:r>
      <w:r>
        <w:rPr>
          <w:rFonts w:hint="eastAsia" w:ascii="Times New Roman" w:hAnsi="Times New Roman" w:eastAsia="仿宋_GB2312" w:cs="Times New Roman"/>
          <w:color w:val="000000"/>
          <w:kern w:val="0"/>
          <w:sz w:val="32"/>
          <w:szCs w:val="32"/>
          <w:lang w:val="en-US" w:eastAsia="zh-CN" w:bidi="ar"/>
        </w:rPr>
        <w:t>21.70</w:t>
      </w:r>
      <w:r>
        <w:rPr>
          <w:rFonts w:hint="eastAsia" w:ascii="仿宋_GB2312" w:hAnsi="仿宋_GB2312" w:eastAsia="仿宋_GB2312" w:cs="仿宋_GB2312"/>
          <w:color w:val="000000"/>
          <w:kern w:val="0"/>
          <w:sz w:val="32"/>
          <w:szCs w:val="32"/>
          <w:lang w:val="en-US" w:eastAsia="zh-CN" w:bidi="ar"/>
        </w:rPr>
        <w:t>万元，主要用于机构编制实名制网络建设</w:t>
      </w:r>
      <w:r>
        <w:rPr>
          <w:rFonts w:hint="eastAsia" w:ascii="Times New Roman" w:hAnsi="Times New Roman" w:eastAsia="仿宋_GB2312" w:cs="Times New Roman"/>
          <w:color w:val="000000"/>
          <w:kern w:val="0"/>
          <w:sz w:val="32"/>
          <w:szCs w:val="32"/>
          <w:lang w:val="en-US" w:eastAsia="zh-CN" w:bidi="ar"/>
        </w:rPr>
        <w:t>1.80</w:t>
      </w:r>
      <w:r>
        <w:rPr>
          <w:rFonts w:hint="eastAsia" w:ascii="仿宋_GB2312" w:hAnsi="仿宋_GB2312" w:eastAsia="仿宋_GB2312" w:cs="仿宋_GB2312"/>
          <w:color w:val="000000"/>
          <w:kern w:val="0"/>
          <w:sz w:val="32"/>
          <w:szCs w:val="32"/>
          <w:lang w:val="en-US" w:eastAsia="zh-CN" w:bidi="ar"/>
        </w:rPr>
        <w:t>万、事业单位法人履职评估</w:t>
      </w:r>
      <w:r>
        <w:rPr>
          <w:rFonts w:hint="eastAsia" w:ascii="Times New Roman" w:hAnsi="Times New Roman" w:eastAsia="仿宋_GB2312" w:cs="Times New Roman"/>
          <w:color w:val="000000"/>
          <w:kern w:val="0"/>
          <w:sz w:val="32"/>
          <w:szCs w:val="32"/>
          <w:lang w:val="en-US" w:eastAsia="zh-CN" w:bidi="ar"/>
        </w:rPr>
        <w:t>1.80</w:t>
      </w:r>
      <w:r>
        <w:rPr>
          <w:rFonts w:hint="eastAsia" w:ascii="仿宋_GB2312" w:hAnsi="仿宋_GB2312" w:eastAsia="仿宋_GB2312" w:cs="仿宋_GB2312"/>
          <w:color w:val="000000"/>
          <w:kern w:val="0"/>
          <w:sz w:val="32"/>
          <w:szCs w:val="32"/>
          <w:lang w:val="en-US" w:eastAsia="zh-CN" w:bidi="ar"/>
        </w:rPr>
        <w:t>万、中文域名管理工作</w:t>
      </w:r>
      <w:r>
        <w:rPr>
          <w:rFonts w:hint="eastAsia" w:ascii="Times New Roman" w:hAnsi="Times New Roman" w:eastAsia="仿宋_GB2312" w:cs="Times New Roman"/>
          <w:color w:val="000000"/>
          <w:kern w:val="0"/>
          <w:sz w:val="32"/>
          <w:szCs w:val="32"/>
          <w:lang w:val="en-US" w:eastAsia="zh-CN" w:bidi="ar"/>
        </w:rPr>
        <w:t>0.90</w:t>
      </w:r>
      <w:r>
        <w:rPr>
          <w:rFonts w:hint="eastAsia" w:ascii="仿宋_GB2312" w:hAnsi="仿宋_GB2312" w:eastAsia="仿宋_GB2312" w:cs="仿宋_GB2312"/>
          <w:color w:val="000000"/>
          <w:kern w:val="0"/>
          <w:sz w:val="32"/>
          <w:szCs w:val="32"/>
          <w:lang w:val="en-US" w:eastAsia="zh-CN" w:bidi="ar"/>
        </w:rPr>
        <w:t>万、专项工作经费</w:t>
      </w:r>
      <w:r>
        <w:rPr>
          <w:rFonts w:hint="eastAsia" w:ascii="Times New Roman" w:hAnsi="Times New Roman" w:eastAsia="仿宋_GB2312" w:cs="Times New Roman"/>
          <w:color w:val="000000"/>
          <w:kern w:val="0"/>
          <w:sz w:val="32"/>
          <w:szCs w:val="32"/>
          <w:lang w:val="en-US" w:eastAsia="zh-CN" w:bidi="ar"/>
        </w:rPr>
        <w:t>17.20</w:t>
      </w:r>
      <w:r>
        <w:rPr>
          <w:rFonts w:hint="eastAsia" w:ascii="仿宋_GB2312" w:hAnsi="仿宋_GB2312" w:eastAsia="仿宋_GB2312" w:cs="仿宋_GB2312"/>
          <w:color w:val="000000"/>
          <w:kern w:val="0"/>
          <w:sz w:val="32"/>
          <w:szCs w:val="32"/>
          <w:lang w:val="en-US" w:eastAsia="zh-CN" w:bidi="ar"/>
        </w:rPr>
        <w:t>万等方面。</w:t>
      </w:r>
    </w:p>
    <w:p>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0"/>
          <w:sz w:val="32"/>
          <w:szCs w:val="32"/>
          <w:lang w:val="en-US" w:eastAsia="zh-CN" w:bidi="ar"/>
        </w:rPr>
        <w:t>2、专项资金实际使用情况分析</w:t>
      </w:r>
    </w:p>
    <w:p>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lang w:val="en-US"/>
        </w:rPr>
      </w:pPr>
      <w:r>
        <w:rPr>
          <w:rFonts w:hint="eastAsia" w:ascii="Times New Roman" w:hAnsi="Times New Roman" w:eastAsia="仿宋_GB2312" w:cs="Times New Roman"/>
          <w:color w:val="000000"/>
          <w:kern w:val="0"/>
          <w:sz w:val="32"/>
          <w:szCs w:val="32"/>
          <w:lang w:val="en-US" w:eastAsia="zh-CN" w:bidi="ar"/>
        </w:rPr>
        <w:t>2023年共支出专项资金</w:t>
      </w:r>
      <w:bookmarkStart w:id="0" w:name="_GoBack"/>
      <w:r>
        <w:rPr>
          <w:rFonts w:hint="eastAsia" w:ascii="Times New Roman" w:hAnsi="Times New Roman" w:eastAsia="仿宋_GB2312" w:cs="Times New Roman"/>
          <w:color w:val="000000"/>
          <w:kern w:val="0"/>
          <w:sz w:val="32"/>
          <w:szCs w:val="32"/>
          <w:lang w:val="en-US" w:eastAsia="zh-CN" w:bidi="ar"/>
        </w:rPr>
        <w:t>139.33</w:t>
      </w:r>
      <w:bookmarkEnd w:id="0"/>
      <w:r>
        <w:rPr>
          <w:rFonts w:hint="eastAsia" w:ascii="Times New Roman" w:hAnsi="Times New Roman" w:eastAsia="仿宋_GB2312" w:cs="Times New Roman"/>
          <w:color w:val="000000"/>
          <w:kern w:val="0"/>
          <w:sz w:val="32"/>
          <w:szCs w:val="32"/>
          <w:lang w:val="en-US" w:eastAsia="zh-CN" w:bidi="ar"/>
        </w:rPr>
        <w:t>万元，主要用于机构编制实名制网络建设1.80万、事业单位法人履职评估1.80万、中文域名管理工作0.90万、专项工作经费17.20万、追加业务工作经费50.00万、追加运行维护经费67.63万等方面</w:t>
      </w:r>
      <w:r>
        <w:rPr>
          <w:rFonts w:hint="eastAsia" w:ascii="仿宋_GB2312" w:hAnsi="仿宋_GB2312" w:eastAsia="仿宋_GB2312" w:cs="仿宋_GB2312"/>
          <w:color w:val="000000"/>
          <w:kern w:val="0"/>
          <w:sz w:val="32"/>
          <w:szCs w:val="32"/>
          <w:lang w:val="en-US" w:eastAsia="zh-CN" w:bidi="ar"/>
        </w:rPr>
        <w:t>。</w:t>
      </w:r>
    </w:p>
    <w:p>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0"/>
          <w:sz w:val="32"/>
          <w:szCs w:val="32"/>
          <w:lang w:val="en-US" w:eastAsia="zh-CN" w:bidi="ar"/>
        </w:rPr>
        <w:t>3、专项资金管理情况分析</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kern w:val="0"/>
          <w:sz w:val="32"/>
          <w:szCs w:val="32"/>
          <w:lang w:val="en-US" w:eastAsia="zh-CN" w:bidi="ar"/>
        </w:rPr>
        <w:t>专项资金实行综合预算，量入为出，专款专用，确保工作顺利开展。制定专项资金管理办法，规范专项资金使用；严格政府采购程序，做到按章办事，规范操作。</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仿宋_GB2312"/>
          <w:color w:val="000000"/>
          <w:sz w:val="32"/>
          <w:szCs w:val="32"/>
          <w:lang w:eastAsia="zh-CN"/>
        </w:rPr>
        <w:t>本单位无政府性基金预算支出。</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pPr>
        <w:pStyle w:val="4"/>
        <w:keepNext w:val="0"/>
        <w:keepLines w:val="0"/>
        <w:widowControl/>
        <w:suppressLineNumbers w:val="0"/>
        <w:spacing w:before="0" w:beforeAutospacing="0" w:after="0" w:afterAutospacing="0" w:line="560" w:lineRule="exact"/>
        <w:ind w:left="560" w:leftChars="200" w:right="0" w:firstLine="0" w:firstLineChars="0"/>
        <w:jc w:val="both"/>
        <w:rPr>
          <w:rFonts w:hint="default" w:ascii="Times New Roman" w:hAnsi="Times New Roman" w:eastAsia="黑体" w:cs="Times New Roman"/>
          <w:sz w:val="32"/>
          <w:szCs w:val="32"/>
          <w:highlight w:val="none"/>
        </w:rPr>
      </w:pPr>
      <w:r>
        <w:rPr>
          <w:rFonts w:hint="eastAsia" w:ascii="Times New Roman" w:hAnsi="Times New Roman" w:eastAsia="仿宋_GB2312" w:cs="仿宋_GB2312"/>
          <w:color w:val="000000"/>
          <w:kern w:val="0"/>
          <w:sz w:val="32"/>
          <w:szCs w:val="32"/>
          <w:lang w:val="en-US" w:eastAsia="zh-CN" w:bidi="ar"/>
        </w:rPr>
        <w:t>本单位无</w:t>
      </w:r>
      <w:r>
        <w:rPr>
          <w:rFonts w:hint="default" w:ascii="Times New Roman" w:hAnsi="Times New Roman" w:eastAsia="仿宋_GB2312" w:cs="仿宋_GB2312"/>
          <w:color w:val="000000"/>
          <w:kern w:val="0"/>
          <w:sz w:val="32"/>
          <w:szCs w:val="32"/>
          <w:lang w:val="en-US" w:eastAsia="zh-CN" w:bidi="ar"/>
        </w:rPr>
        <w:t>国有资本经营</w:t>
      </w:r>
      <w:r>
        <w:rPr>
          <w:rFonts w:hint="eastAsia" w:ascii="Times New Roman" w:hAnsi="Times New Roman" w:eastAsia="仿宋_GB2312" w:cs="仿宋_GB2312"/>
          <w:color w:val="000000"/>
          <w:kern w:val="0"/>
          <w:sz w:val="32"/>
          <w:szCs w:val="32"/>
          <w:lang w:val="en-US" w:eastAsia="zh-CN" w:bidi="ar"/>
        </w:rPr>
        <w:t>预算支出。</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pPr>
        <w:pStyle w:val="4"/>
        <w:keepNext w:val="0"/>
        <w:keepLines w:val="0"/>
        <w:widowControl/>
        <w:suppressLineNumbers w:val="0"/>
        <w:spacing w:before="0" w:beforeAutospacing="0" w:after="0" w:afterAutospacing="0" w:line="560" w:lineRule="exact"/>
        <w:ind w:left="560" w:leftChars="200" w:right="0" w:firstLine="0" w:firstLineChars="0"/>
        <w:jc w:val="both"/>
        <w:rPr>
          <w:rFonts w:hint="default" w:ascii="Times New Roman" w:hAnsi="Times New Roman" w:eastAsia="黑体" w:cs="Times New Roman"/>
          <w:sz w:val="32"/>
          <w:szCs w:val="32"/>
          <w:highlight w:val="none"/>
        </w:rPr>
      </w:pPr>
      <w:r>
        <w:rPr>
          <w:rFonts w:hint="eastAsia" w:ascii="Times New Roman" w:hAnsi="Times New Roman" w:eastAsia="仿宋_GB2312" w:cs="仿宋_GB2312"/>
          <w:color w:val="000000"/>
          <w:kern w:val="0"/>
          <w:sz w:val="32"/>
          <w:szCs w:val="32"/>
          <w:lang w:val="en-US" w:eastAsia="zh-CN" w:bidi="ar"/>
        </w:rPr>
        <w:t>本单位无社会保险基金预算支出。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4"/>
        <w:keepNext w:val="0"/>
        <w:keepLines w:val="0"/>
        <w:widowControl/>
        <w:suppressLineNumbers w:val="0"/>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我办在市委的坚强领导下，以习近平新时代中国特色社会主义思想为指导，紧扣落实省委编办真抓实干督查激励措施，践行为民服务宗旨，全面履职尽责，守正创新，真抓实干，较好的完成了各项绩效目标。</w:t>
      </w:r>
    </w:p>
    <w:p>
      <w:pPr>
        <w:pStyle w:val="4"/>
        <w:keepNext w:val="0"/>
        <w:keepLines w:val="0"/>
        <w:widowControl/>
        <w:suppressLineNumbers w:val="0"/>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财政供养人员控制在预算编制以内，“三公”经费支出总额较上年减少了1.17万元，下降了29.03%。预算执行方面：根据“总量控制、计划管理”的要求从严控制行政经费，压缩公务费开支，严格控制“三公”经费，支出总额控制在预算总额以内。预算管理方面：切实有效地执行了各项财务管理制度、车辆、资产内部管理制度，资产配置严格政府采购，按照预算科目规定使用财政资金，保障资金支出的规范化、制度化，项目资金坚持按专项资金管理制度有效执行，确保专款专用；履职效能方面：一是坚持党建引领，建设清廉机关，二是全面真抓实干，纵深推进重点改革，三是贴近服务民生，创新拓展经办服务，四是坚持问题导向，全面加强自身建设，群众满意度达到95%以上。</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pStyle w:val="4"/>
        <w:keepNext w:val="0"/>
        <w:keepLines w:val="0"/>
        <w:widowControl/>
        <w:suppressLineNumbers w:val="0"/>
        <w:spacing w:before="0" w:beforeAutospacing="0" w:after="0" w:afterAutospacing="0" w:line="560" w:lineRule="exact"/>
        <w:ind w:left="0" w:right="0" w:firstLine="642" w:firstLineChars="200"/>
        <w:jc w:val="both"/>
        <w:rPr>
          <w:rFonts w:hint="default" w:ascii="Times New Roman" w:hAnsi="Times New Roman" w:eastAsia="楷体_GB2312" w:cs="Times New Roman"/>
          <w:b/>
          <w:bCs w:val="0"/>
          <w:sz w:val="32"/>
          <w:szCs w:val="32"/>
          <w:lang w:val="en-US"/>
        </w:rPr>
      </w:pPr>
      <w:r>
        <w:rPr>
          <w:rFonts w:hint="eastAsia" w:ascii="Times New Roman" w:hAnsi="Times New Roman" w:eastAsia="楷体_GB2312" w:cs="楷体_GB2312"/>
          <w:b/>
          <w:bCs w:val="0"/>
          <w:kern w:val="0"/>
          <w:sz w:val="32"/>
          <w:szCs w:val="32"/>
          <w:lang w:val="en-US" w:eastAsia="zh-CN" w:bidi="ar"/>
        </w:rPr>
        <w:t>（一）履职效能方面：绩效评价人员匮乏，绩效意识薄弱、专业能力不足</w:t>
      </w:r>
    </w:p>
    <w:p>
      <w:pPr>
        <w:pStyle w:val="4"/>
        <w:keepNext w:val="0"/>
        <w:keepLines w:val="0"/>
        <w:widowControl/>
        <w:suppressLineNumbers w:val="0"/>
        <w:shd w:val="clear" w:color="auto" w:fill="FFFFFF"/>
        <w:spacing w:before="0" w:beforeAutospacing="0" w:after="0" w:afterAutospacing="0" w:line="480" w:lineRule="atLeast"/>
        <w:ind w:left="0" w:right="0" w:firstLine="640" w:firstLineChars="200"/>
        <w:rPr>
          <w:rFonts w:hint="default" w:ascii="Times New Roman" w:hAnsi="Times New Roman" w:eastAsia="仿宋_GB2312" w:cs="Times New Roman"/>
          <w:color w:val="000000"/>
          <w:sz w:val="32"/>
          <w:szCs w:val="32"/>
          <w:shd w:val="clear" w:color="auto" w:fill="FFFFFF"/>
          <w:lang w:val="en-US"/>
        </w:rPr>
      </w:pPr>
      <w:r>
        <w:rPr>
          <w:rFonts w:hint="eastAsia" w:ascii="Times New Roman" w:hAnsi="Times New Roman" w:eastAsia="仿宋_GB2312" w:cs="仿宋_GB2312"/>
          <w:color w:val="000000"/>
          <w:sz w:val="32"/>
          <w:szCs w:val="32"/>
          <w:shd w:val="clear" w:color="auto" w:fill="FFFFFF"/>
          <w:lang w:eastAsia="zh-CN"/>
        </w:rPr>
        <w:t>目前未设置</w:t>
      </w:r>
      <w:r>
        <w:rPr>
          <w:rFonts w:hint="eastAsia" w:ascii="Times New Roman" w:hAnsi="Times New Roman" w:eastAsia="仿宋_GB2312" w:cs="仿宋_GB2312"/>
          <w:color w:val="000000"/>
          <w:sz w:val="32"/>
          <w:szCs w:val="32"/>
          <w:shd w:val="clear" w:color="auto" w:fill="FFFFFF"/>
          <w:lang w:val="en-US" w:eastAsia="zh-CN"/>
        </w:rPr>
        <w:t>专门的</w:t>
      </w:r>
      <w:r>
        <w:rPr>
          <w:rFonts w:hint="eastAsia" w:ascii="Times New Roman" w:hAnsi="Times New Roman" w:eastAsia="仿宋_GB2312" w:cs="仿宋_GB2312"/>
          <w:color w:val="000000"/>
          <w:sz w:val="32"/>
          <w:szCs w:val="32"/>
          <w:shd w:val="clear" w:color="auto" w:fill="FFFFFF"/>
          <w:lang w:eastAsia="zh-CN"/>
        </w:rPr>
        <w:t>预算绩效管理部门，无人员配备，是由财务人员兼职，时间和精力分配不足；同时，财务人员大多是会计、财务管理、经济学等专业，而绩效评价工作人员不仅需要掌握财经知识，还要熟悉相关政策、了解财政、预算、项目业务，并持续更新知识体系</w:t>
      </w:r>
      <w:r>
        <w:rPr>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lang w:eastAsia="zh-CN"/>
        </w:rPr>
        <w:t>另外，第三方评价机构对行业部门业务不熟，技术支撑力量不足，需要积极开展培育并引导规范。</w:t>
      </w:r>
    </w:p>
    <w:p>
      <w:pPr>
        <w:pStyle w:val="4"/>
        <w:keepNext w:val="0"/>
        <w:keepLines w:val="0"/>
        <w:widowControl/>
        <w:suppressLineNumbers w:val="0"/>
        <w:spacing w:before="0" w:beforeAutospacing="0" w:after="0" w:afterAutospacing="0" w:line="560" w:lineRule="exact"/>
        <w:ind w:left="0" w:right="0" w:firstLine="642" w:firstLineChars="200"/>
        <w:jc w:val="both"/>
        <w:rPr>
          <w:rFonts w:hint="default" w:ascii="Times New Roman" w:hAnsi="Times New Roman" w:eastAsia="楷体_GB2312" w:cs="Times New Roman"/>
          <w:b/>
          <w:bCs w:val="0"/>
          <w:sz w:val="32"/>
          <w:szCs w:val="32"/>
          <w:lang w:val="en-US"/>
        </w:rPr>
      </w:pPr>
      <w:r>
        <w:rPr>
          <w:rFonts w:hint="eastAsia" w:ascii="Times New Roman" w:hAnsi="Times New Roman" w:eastAsia="楷体_GB2312" w:cs="楷体_GB2312"/>
          <w:b/>
          <w:bCs w:val="0"/>
          <w:kern w:val="0"/>
          <w:sz w:val="32"/>
          <w:szCs w:val="32"/>
          <w:lang w:val="en-US" w:eastAsia="zh-CN" w:bidi="ar"/>
        </w:rPr>
        <w:t>（二）预算和绩效管理方面：绩效目标编制不规范，设定不完整</w:t>
      </w:r>
    </w:p>
    <w:p>
      <w:pPr>
        <w:pStyle w:val="4"/>
        <w:keepNext w:val="0"/>
        <w:keepLines w:val="0"/>
        <w:widowControl/>
        <w:suppressLineNumbers w:val="0"/>
        <w:shd w:val="clear" w:color="auto" w:fill="FFFFFF"/>
        <w:spacing w:before="0" w:beforeAutospacing="0" w:after="0" w:afterAutospacing="0" w:line="480" w:lineRule="atLeast"/>
        <w:ind w:left="0" w:right="0" w:firstLine="640" w:firstLineChars="200"/>
        <w:rPr>
          <w:rFonts w:hint="default" w:ascii="Times New Roman" w:hAnsi="Times New Roman" w:eastAsia="仿宋_GB2312" w:cs="Times New Roman"/>
          <w:color w:val="000000"/>
          <w:sz w:val="32"/>
          <w:szCs w:val="32"/>
          <w:shd w:val="clear" w:color="auto" w:fill="FFFFFF"/>
          <w:lang w:val="en-US"/>
        </w:rPr>
      </w:pPr>
      <w:r>
        <w:rPr>
          <w:rFonts w:hint="eastAsia" w:ascii="Times New Roman" w:hAnsi="Times New Roman" w:eastAsia="仿宋_GB2312" w:cs="仿宋_GB2312"/>
          <w:color w:val="000000"/>
          <w:sz w:val="32"/>
          <w:szCs w:val="32"/>
          <w:shd w:val="clear" w:color="auto" w:fill="FFFFFF"/>
          <w:lang w:eastAsia="zh-CN"/>
        </w:rPr>
        <w:t>绩效目标是项目立项、预算执行、绩效评价的依据。现阶段缺乏对资金使用效果、效率、预算执行刚性约束等动态情况具体、有针对性的考量；部分资金仍未按要求设定绩效目标或设定不完整；绩效目标的设定较为空洞，指标没有细化量化，可衡量性不</w:t>
      </w:r>
      <w:r>
        <w:rPr>
          <w:rFonts w:hint="eastAsia" w:ascii="Times New Roman" w:hAnsi="Times New Roman" w:eastAsia="仿宋_GB2312" w:cs="仿宋_GB2312"/>
          <w:color w:val="000000"/>
          <w:sz w:val="32"/>
          <w:szCs w:val="32"/>
          <w:shd w:val="clear" w:color="auto" w:fill="FFFFFF"/>
          <w:lang w:val="en-US" w:eastAsia="zh-CN"/>
        </w:rPr>
        <w:t>强</w:t>
      </w:r>
      <w:r>
        <w:rPr>
          <w:rFonts w:hint="eastAsia" w:ascii="Times New Roman" w:hAnsi="Times New Roman" w:eastAsia="仿宋_GB2312" w:cs="仿宋_GB2312"/>
          <w:color w:val="000000"/>
          <w:sz w:val="32"/>
          <w:szCs w:val="32"/>
          <w:shd w:val="clear" w:color="auto" w:fill="FFFFFF"/>
          <w:lang w:eastAsia="zh-CN"/>
        </w:rPr>
        <w:t>。</w:t>
      </w:r>
    </w:p>
    <w:p>
      <w:pPr>
        <w:pStyle w:val="4"/>
        <w:keepNext w:val="0"/>
        <w:keepLines w:val="0"/>
        <w:widowControl/>
        <w:suppressLineNumbers w:val="0"/>
        <w:spacing w:before="0" w:beforeAutospacing="0" w:after="0" w:afterAutospacing="0" w:line="560" w:lineRule="exact"/>
        <w:ind w:left="0" w:right="0" w:firstLine="642" w:firstLineChars="200"/>
        <w:jc w:val="both"/>
        <w:rPr>
          <w:rFonts w:hint="default" w:ascii="Times New Roman" w:hAnsi="Times New Roman" w:eastAsia="楷体_GB2312" w:cs="Times New Roman"/>
          <w:b/>
          <w:bCs w:val="0"/>
          <w:sz w:val="32"/>
          <w:szCs w:val="32"/>
          <w:lang w:val="en-US"/>
        </w:rPr>
      </w:pPr>
      <w:r>
        <w:rPr>
          <w:rFonts w:hint="eastAsia" w:ascii="Times New Roman" w:hAnsi="Times New Roman" w:eastAsia="楷体_GB2312" w:cs="楷体_GB2312"/>
          <w:b/>
          <w:bCs w:val="0"/>
          <w:kern w:val="0"/>
          <w:sz w:val="32"/>
          <w:szCs w:val="32"/>
          <w:lang w:val="en-US" w:eastAsia="zh-CN" w:bidi="ar"/>
        </w:rPr>
        <w:t>（三）资金分配使用和管理方面</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tLeast"/>
        <w:ind w:left="0" w:leftChars="0" w:right="0" w:firstLine="640" w:firstLineChars="200"/>
        <w:textAlignment w:val="auto"/>
        <w:rPr>
          <w:rFonts w:hint="default" w:ascii="Times New Roman" w:hAnsi="Times New Roman" w:eastAsia="仿宋_GB2312" w:cs="Times New Roman"/>
          <w:color w:val="000000"/>
          <w:sz w:val="32"/>
          <w:szCs w:val="32"/>
          <w:shd w:val="clear" w:color="auto" w:fill="FFFFFF"/>
          <w:lang w:val="en-US"/>
        </w:rPr>
      </w:pPr>
      <w:r>
        <w:rPr>
          <w:rFonts w:hint="eastAsia" w:ascii="Times New Roman" w:hAnsi="Times New Roman" w:eastAsia="仿宋_GB2312" w:cs="仿宋_GB2312"/>
          <w:color w:val="000000"/>
          <w:sz w:val="32"/>
          <w:szCs w:val="32"/>
          <w:shd w:val="clear" w:color="auto" w:fill="FFFFFF"/>
          <w:lang w:eastAsia="zh-CN"/>
        </w:rPr>
        <w:t>资金分配与项目预算不匹配，使用过程中与压缩财政一般性支出要求不相适。资金分配由财政主导，需根据政府财力获取分配资金，目前存在经费保障不足的困境，政府出台了相关措施压缩经费支出，造成与使用过程中不相适应的局面。</w:t>
      </w:r>
    </w:p>
    <w:p>
      <w:pPr>
        <w:pStyle w:val="4"/>
        <w:keepNext w:val="0"/>
        <w:keepLines w:val="0"/>
        <w:widowControl/>
        <w:suppressLineNumbers w:val="0"/>
        <w:spacing w:before="0" w:beforeAutospacing="0" w:after="0" w:afterAutospacing="0" w:line="560" w:lineRule="exact"/>
        <w:ind w:left="0" w:right="0" w:firstLine="642" w:firstLineChars="200"/>
        <w:jc w:val="both"/>
        <w:rPr>
          <w:rFonts w:hint="default" w:ascii="Times New Roman" w:hAnsi="Times New Roman" w:eastAsia="楷体_GB2312" w:cs="Times New Roman"/>
          <w:b/>
          <w:bCs w:val="0"/>
          <w:sz w:val="32"/>
          <w:szCs w:val="32"/>
          <w:lang w:val="en-US"/>
        </w:rPr>
      </w:pPr>
      <w:r>
        <w:rPr>
          <w:rFonts w:hint="eastAsia" w:ascii="Times New Roman" w:hAnsi="Times New Roman" w:eastAsia="楷体_GB2312" w:cs="楷体_GB2312"/>
          <w:b/>
          <w:bCs w:val="0"/>
          <w:kern w:val="0"/>
          <w:sz w:val="32"/>
          <w:szCs w:val="32"/>
          <w:lang w:val="en-US" w:eastAsia="zh-CN" w:bidi="ar"/>
        </w:rPr>
        <w:t>（四）资产和财务管理与政府采购方面</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
        </w:rPr>
        <w:t>资产采购不够科学。在实际预算执行中，全年实际执行与年初编制预算会存在一定偏差。部分资产管理存在报废年限长</w:t>
      </w:r>
      <w:r>
        <w:rPr>
          <w:rFonts w:hint="default" w:ascii="Times New Roman" w:hAnsi="Times New Roman" w:eastAsia="仿宋_GB2312" w:cs="Times New Roman"/>
          <w:sz w:val="32"/>
          <w:szCs w:val="32"/>
        </w:rPr>
        <w:t>。</w:t>
      </w:r>
    </w:p>
    <w:p>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4"/>
        <w:keepNext w:val="0"/>
        <w:keepLines w:val="0"/>
        <w:widowControl/>
        <w:suppressLineNumbers w:val="0"/>
        <w:shd w:val="clear" w:color="auto" w:fill="FFFFFF"/>
        <w:spacing w:before="0" w:beforeAutospacing="0" w:after="0" w:afterAutospacing="0" w:line="480" w:lineRule="atLeast"/>
        <w:ind w:right="0" w:firstLine="642" w:firstLineChars="200"/>
        <w:rPr>
          <w:rFonts w:hint="default" w:ascii="Times New Roman" w:hAnsi="Times New Roman" w:eastAsia="仿宋_GB2312" w:cs="Times New Roman"/>
          <w:color w:val="000000"/>
          <w:sz w:val="32"/>
          <w:szCs w:val="32"/>
          <w:shd w:val="clear" w:color="auto" w:fill="FFFFFF"/>
          <w:lang w:val="en-US"/>
        </w:rPr>
      </w:pPr>
      <w:r>
        <w:rPr>
          <w:rFonts w:hint="eastAsia" w:ascii="Times New Roman" w:hAnsi="Times New Roman" w:eastAsia="楷体_GB2312" w:cs="楷体_GB2312"/>
          <w:b/>
          <w:bCs w:val="0"/>
          <w:color w:val="auto"/>
          <w:sz w:val="32"/>
          <w:szCs w:val="32"/>
          <w:shd w:val="clear" w:color="auto" w:fill="FFFFFF"/>
          <w:lang w:eastAsia="zh-CN"/>
        </w:rPr>
        <w:t>（一）加快队伍建设，提高绩效意识和管理人员专业水平。</w:t>
      </w:r>
      <w:r>
        <w:rPr>
          <w:rFonts w:hint="eastAsia" w:ascii="Times New Roman" w:hAnsi="Times New Roman" w:eastAsia="仿宋_GB2312" w:cs="仿宋_GB2312"/>
          <w:color w:val="000000"/>
          <w:sz w:val="32"/>
          <w:szCs w:val="32"/>
          <w:shd w:val="clear" w:color="auto" w:fill="FFFFFF"/>
          <w:lang w:eastAsia="zh-CN"/>
        </w:rPr>
        <w:t>增</w:t>
      </w:r>
      <w:r>
        <w:rPr>
          <w:rFonts w:hint="eastAsia" w:ascii="Times New Roman" w:hAnsi="Times New Roman" w:eastAsia="仿宋_GB2312" w:cs="仿宋_GB2312"/>
          <w:color w:val="000000"/>
          <w:sz w:val="32"/>
          <w:szCs w:val="32"/>
          <w:shd w:val="clear" w:color="auto" w:fill="FFFFFF"/>
          <w:lang w:val="en-US" w:eastAsia="zh-CN"/>
        </w:rPr>
        <w:t>强</w:t>
      </w:r>
      <w:r>
        <w:rPr>
          <w:rFonts w:hint="eastAsia" w:ascii="Times New Roman" w:hAnsi="Times New Roman" w:eastAsia="仿宋_GB2312" w:cs="仿宋_GB2312"/>
          <w:color w:val="000000"/>
          <w:sz w:val="32"/>
          <w:szCs w:val="32"/>
          <w:shd w:val="clear" w:color="auto" w:fill="FFFFFF"/>
          <w:lang w:eastAsia="zh-CN"/>
        </w:rPr>
        <w:t>对预算绩效</w:t>
      </w:r>
      <w:r>
        <w:rPr>
          <w:rFonts w:hint="eastAsia" w:ascii="Times New Roman" w:hAnsi="Times New Roman" w:eastAsia="仿宋_GB2312" w:cs="仿宋_GB2312"/>
          <w:color w:val="000000"/>
          <w:sz w:val="32"/>
          <w:szCs w:val="32"/>
          <w:shd w:val="clear" w:color="auto" w:fill="FFFFFF"/>
          <w:lang w:val="en-US" w:eastAsia="zh-CN"/>
        </w:rPr>
        <w:t>的</w:t>
      </w:r>
      <w:r>
        <w:rPr>
          <w:rFonts w:hint="eastAsia" w:ascii="Times New Roman" w:hAnsi="Times New Roman" w:eastAsia="仿宋_GB2312" w:cs="仿宋_GB2312"/>
          <w:color w:val="000000"/>
          <w:sz w:val="32"/>
          <w:szCs w:val="32"/>
          <w:shd w:val="clear" w:color="auto" w:fill="FFFFFF"/>
          <w:lang w:eastAsia="zh-CN"/>
        </w:rPr>
        <w:t>管理，强化专业培训、工作调研、学习交流等措施，培养“一专多能”的复合型人才，重点让主要领导和分管负责人参与到培训中来。</w:t>
      </w:r>
    </w:p>
    <w:p>
      <w:pPr>
        <w:pStyle w:val="4"/>
        <w:keepNext w:val="0"/>
        <w:keepLines w:val="0"/>
        <w:widowControl/>
        <w:suppressLineNumbers w:val="0"/>
        <w:shd w:val="clear" w:color="auto" w:fill="FFFFFF"/>
        <w:spacing w:before="0" w:beforeAutospacing="0" w:after="0" w:afterAutospacing="0" w:line="480" w:lineRule="atLeast"/>
        <w:ind w:right="0" w:firstLine="642" w:firstLineChars="20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楷体_GB2312" w:cs="楷体_GB2312"/>
          <w:b/>
          <w:bCs w:val="0"/>
          <w:color w:val="auto"/>
          <w:sz w:val="32"/>
          <w:szCs w:val="32"/>
          <w:shd w:val="clear" w:color="auto" w:fill="FFFFFF"/>
          <w:lang w:eastAsia="zh-CN"/>
        </w:rPr>
        <w:t>（二）强化绩效目标管理，践行相关程序。</w:t>
      </w:r>
      <w:r>
        <w:rPr>
          <w:rFonts w:hint="eastAsia" w:ascii="Times New Roman" w:hAnsi="Times New Roman" w:eastAsia="仿宋_GB2312" w:cs="仿宋_GB2312"/>
          <w:color w:val="000000"/>
          <w:sz w:val="32"/>
          <w:szCs w:val="32"/>
          <w:shd w:val="clear" w:color="auto" w:fill="FFFFFF"/>
          <w:lang w:eastAsia="zh-CN"/>
        </w:rPr>
        <w:t>绩效目标要随文下达，有项目就有绩效目标</w:t>
      </w:r>
      <w:r>
        <w:rPr>
          <w:rFonts w:hint="eastAsia"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lang w:eastAsia="zh-CN"/>
        </w:rPr>
        <w:t>在事前绩效评估和项目评审的基础上，按照具体可衡量、关联可细化、现实可达到、轻重相匹配的原则系统分析，科学设立绩效目标，反映资金活动的范围、方向与效果。</w:t>
      </w:r>
    </w:p>
    <w:p>
      <w:pPr>
        <w:pStyle w:val="4"/>
        <w:keepNext w:val="0"/>
        <w:keepLines w:val="0"/>
        <w:widowControl/>
        <w:suppressLineNumbers w:val="0"/>
        <w:shd w:val="clear" w:color="auto" w:fill="FFFFFF"/>
        <w:spacing w:before="0" w:beforeAutospacing="0" w:after="0" w:afterAutospacing="0" w:line="480" w:lineRule="atLeast"/>
        <w:ind w:right="0" w:firstLine="642" w:firstLineChars="200"/>
        <w:rPr>
          <w:rFonts w:hint="default" w:ascii="Times New Roman" w:hAnsi="Times New Roman" w:eastAsia="仿宋_GB2312" w:cs="Times New Roman"/>
          <w:color w:val="000000"/>
          <w:sz w:val="32"/>
          <w:szCs w:val="32"/>
          <w:shd w:val="clear" w:color="auto" w:fill="FFFFFF"/>
          <w:lang w:val="en-US"/>
        </w:rPr>
      </w:pPr>
      <w:r>
        <w:rPr>
          <w:rFonts w:hint="eastAsia" w:ascii="Times New Roman" w:hAnsi="Times New Roman" w:eastAsia="楷体_GB2312" w:cs="楷体_GB2312"/>
          <w:b/>
          <w:bCs w:val="0"/>
          <w:color w:val="auto"/>
          <w:sz w:val="32"/>
          <w:szCs w:val="32"/>
          <w:shd w:val="clear" w:color="auto" w:fill="FFFFFF"/>
          <w:lang w:eastAsia="zh-CN"/>
        </w:rPr>
        <w:t>（三）科学分配预算资金，切实有效保障资金供给。</w:t>
      </w:r>
      <w:r>
        <w:rPr>
          <w:rFonts w:hint="eastAsia" w:ascii="Times New Roman" w:hAnsi="Times New Roman" w:eastAsia="仿宋_GB2312" w:cs="仿宋_GB2312"/>
          <w:color w:val="000000"/>
          <w:sz w:val="32"/>
          <w:szCs w:val="32"/>
          <w:shd w:val="clear" w:color="auto" w:fill="FFFFFF"/>
          <w:lang w:eastAsia="zh-CN"/>
        </w:rPr>
        <w:t>需</w:t>
      </w:r>
      <w:r>
        <w:rPr>
          <w:rFonts w:hint="eastAsia" w:ascii="Times New Roman" w:hAnsi="Times New Roman" w:eastAsia="仿宋_GB2312" w:cs="仿宋_GB2312"/>
          <w:color w:val="000000"/>
          <w:sz w:val="32"/>
          <w:szCs w:val="32"/>
          <w:shd w:val="clear" w:color="auto" w:fill="FFFFFF"/>
          <w:lang w:val="en-US" w:eastAsia="zh-CN"/>
        </w:rPr>
        <w:t>综合科</w:t>
      </w:r>
      <w:r>
        <w:rPr>
          <w:rFonts w:hint="eastAsia" w:ascii="Times New Roman" w:hAnsi="Times New Roman" w:eastAsia="仿宋_GB2312" w:cs="仿宋_GB2312"/>
          <w:color w:val="000000"/>
          <w:sz w:val="32"/>
          <w:szCs w:val="32"/>
          <w:shd w:val="clear" w:color="auto" w:fill="FFFFFF"/>
          <w:lang w:eastAsia="zh-CN"/>
        </w:rPr>
        <w:t>加强开源节流，</w:t>
      </w:r>
      <w:r>
        <w:rPr>
          <w:rFonts w:hint="eastAsia" w:ascii="Times New Roman" w:hAnsi="Times New Roman" w:eastAsia="仿宋_GB2312" w:cs="仿宋_GB2312"/>
          <w:color w:val="000000"/>
          <w:sz w:val="32"/>
          <w:szCs w:val="32"/>
          <w:shd w:val="clear" w:color="auto" w:fill="FFFFFF"/>
          <w:lang w:val="en-US" w:eastAsia="zh-CN"/>
        </w:rPr>
        <w:t>加强对资金使用的分析及监管，</w:t>
      </w:r>
      <w:r>
        <w:rPr>
          <w:rFonts w:hint="eastAsia" w:ascii="Times New Roman" w:hAnsi="Times New Roman" w:eastAsia="仿宋_GB2312" w:cs="仿宋_GB2312"/>
          <w:color w:val="000000"/>
          <w:sz w:val="32"/>
          <w:szCs w:val="32"/>
          <w:shd w:val="clear" w:color="auto" w:fill="FFFFFF"/>
          <w:lang w:eastAsia="zh-CN"/>
        </w:rPr>
        <w:t>充分保障单位人员经费和公用经费开支，项目设定后严格按年初计划予以保障，以便工作能顺利开展。</w:t>
      </w:r>
    </w:p>
    <w:p>
      <w:pPr>
        <w:pStyle w:val="2"/>
        <w:numPr>
          <w:ilvl w:val="0"/>
          <w:numId w:val="0"/>
        </w:numPr>
        <w:ind w:firstLine="642" w:firstLineChars="200"/>
        <w:rPr>
          <w:rFonts w:hint="default"/>
        </w:rPr>
      </w:pPr>
      <w:r>
        <w:rPr>
          <w:rFonts w:hint="eastAsia" w:ascii="Times New Roman" w:hAnsi="Times New Roman" w:eastAsia="楷体_GB2312" w:cs="楷体_GB2312"/>
          <w:b/>
          <w:bCs w:val="0"/>
          <w:color w:val="auto"/>
          <w:sz w:val="32"/>
          <w:szCs w:val="32"/>
          <w:shd w:val="clear" w:color="auto" w:fill="FFFFFF"/>
          <w:lang w:eastAsia="zh-CN"/>
        </w:rPr>
        <w:t>（四）全面编制预算，充分运用信息化手段不断完善资产管理水平。</w:t>
      </w:r>
      <w:r>
        <w:rPr>
          <w:rFonts w:hint="eastAsia" w:ascii="Times New Roman" w:hAnsi="Times New Roman" w:eastAsia="仿宋_GB2312" w:cs="仿宋_GB2312"/>
          <w:color w:val="000000"/>
          <w:sz w:val="32"/>
          <w:szCs w:val="32"/>
          <w:shd w:val="clear" w:color="auto" w:fill="FFFFFF"/>
          <w:lang w:eastAsia="zh-CN"/>
        </w:rPr>
        <w:t>严格加强政府采购预算管理工作，政府采购预算编制是否科学、规范，采购项目是否完善、细致直接关系到整个政府采购活动的质量。优化政府采购预算的编制，将预计的省市、其他资金等全口径进行预算，细化采购项目预算的编制工作，制定切实可行的采购计划，增强采购的计划性，减少随意性。</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widowControl/>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Times New Roman" w:hAnsi="Times New Roman" w:eastAsia="仿宋_GB2312" w:cs="仿宋_GB2312"/>
          <w:color w:val="000000"/>
          <w:kern w:val="0"/>
          <w:sz w:val="32"/>
          <w:szCs w:val="32"/>
          <w:lang w:val="en-US" w:eastAsia="zh-CN" w:bidi="ar"/>
        </w:rPr>
        <w:t>按要求予以公开。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09BD1"/>
    <w:multiLevelType w:val="singleLevel"/>
    <w:tmpl w:val="D3F09BD1"/>
    <w:lvl w:ilvl="0" w:tentative="0">
      <w:start w:val="1"/>
      <w:numFmt w:val="chineseCounting"/>
      <w:suff w:val="nothing"/>
      <w:lvlText w:val="%1、"/>
      <w:lvlJc w:val="left"/>
      <w:rPr>
        <w:rFonts w:hint="eastAsia"/>
      </w:rPr>
    </w:lvl>
  </w:abstractNum>
  <w:abstractNum w:abstractNumId="1">
    <w:nsid w:val="71555164"/>
    <w:multiLevelType w:val="singleLevel"/>
    <w:tmpl w:val="71555164"/>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mUzZDhhODM2NjZiM2M1NWNiZmE5NGQ0YjkyYWIifQ=="/>
  </w:docVars>
  <w:rsids>
    <w:rsidRoot w:val="59886344"/>
    <w:rsid w:val="008C555B"/>
    <w:rsid w:val="01853BE4"/>
    <w:rsid w:val="01ED5016"/>
    <w:rsid w:val="048D2BED"/>
    <w:rsid w:val="04EB6681"/>
    <w:rsid w:val="04FF2195"/>
    <w:rsid w:val="053A3164"/>
    <w:rsid w:val="063522A9"/>
    <w:rsid w:val="06823015"/>
    <w:rsid w:val="073405E2"/>
    <w:rsid w:val="08FD35AE"/>
    <w:rsid w:val="0D6E3E0A"/>
    <w:rsid w:val="0F6C64AC"/>
    <w:rsid w:val="11731ED8"/>
    <w:rsid w:val="133D19A4"/>
    <w:rsid w:val="149F06A6"/>
    <w:rsid w:val="14DF0FAE"/>
    <w:rsid w:val="15727DE0"/>
    <w:rsid w:val="15DE49F1"/>
    <w:rsid w:val="16CF7666"/>
    <w:rsid w:val="1864257A"/>
    <w:rsid w:val="18BF1A9E"/>
    <w:rsid w:val="1AED1685"/>
    <w:rsid w:val="1D4C3787"/>
    <w:rsid w:val="1E8A0B5C"/>
    <w:rsid w:val="1F3A4FEF"/>
    <w:rsid w:val="1F8E4729"/>
    <w:rsid w:val="1FDD6387"/>
    <w:rsid w:val="20DA787E"/>
    <w:rsid w:val="21575417"/>
    <w:rsid w:val="220A5F40"/>
    <w:rsid w:val="22D838CA"/>
    <w:rsid w:val="23F635E7"/>
    <w:rsid w:val="23FA6DFD"/>
    <w:rsid w:val="24C35A3D"/>
    <w:rsid w:val="27577AEE"/>
    <w:rsid w:val="276775E3"/>
    <w:rsid w:val="2768429D"/>
    <w:rsid w:val="27C9309C"/>
    <w:rsid w:val="28D51A48"/>
    <w:rsid w:val="2B3F259D"/>
    <w:rsid w:val="2DA33ED8"/>
    <w:rsid w:val="2E2F0C25"/>
    <w:rsid w:val="33A61841"/>
    <w:rsid w:val="344312EE"/>
    <w:rsid w:val="3486019B"/>
    <w:rsid w:val="35E548A3"/>
    <w:rsid w:val="37441A9D"/>
    <w:rsid w:val="378D5F45"/>
    <w:rsid w:val="37DB6685"/>
    <w:rsid w:val="391E2591"/>
    <w:rsid w:val="395064D7"/>
    <w:rsid w:val="3AE61503"/>
    <w:rsid w:val="3D8E7D7C"/>
    <w:rsid w:val="3DEFFF8E"/>
    <w:rsid w:val="3F2D54DA"/>
    <w:rsid w:val="3FD730B5"/>
    <w:rsid w:val="411B167B"/>
    <w:rsid w:val="41D45489"/>
    <w:rsid w:val="420A0E15"/>
    <w:rsid w:val="43D60164"/>
    <w:rsid w:val="440E3217"/>
    <w:rsid w:val="4686245E"/>
    <w:rsid w:val="46C20ACD"/>
    <w:rsid w:val="46E27999"/>
    <w:rsid w:val="48BD345D"/>
    <w:rsid w:val="48D53720"/>
    <w:rsid w:val="4B412124"/>
    <w:rsid w:val="4DB0255D"/>
    <w:rsid w:val="4E745F45"/>
    <w:rsid w:val="4EEE780E"/>
    <w:rsid w:val="5006393C"/>
    <w:rsid w:val="50354C91"/>
    <w:rsid w:val="50F10148"/>
    <w:rsid w:val="51BB6CD3"/>
    <w:rsid w:val="566B13D0"/>
    <w:rsid w:val="568973B2"/>
    <w:rsid w:val="570B199B"/>
    <w:rsid w:val="58F14598"/>
    <w:rsid w:val="59886344"/>
    <w:rsid w:val="5A102A85"/>
    <w:rsid w:val="5A380A39"/>
    <w:rsid w:val="5AC93EE4"/>
    <w:rsid w:val="5B60717A"/>
    <w:rsid w:val="5B85739F"/>
    <w:rsid w:val="5C2E2250"/>
    <w:rsid w:val="5C6A0DAE"/>
    <w:rsid w:val="5CA469DE"/>
    <w:rsid w:val="5D785E46"/>
    <w:rsid w:val="5D7D5357"/>
    <w:rsid w:val="621056AC"/>
    <w:rsid w:val="629628FD"/>
    <w:rsid w:val="62966A14"/>
    <w:rsid w:val="63FA5E9A"/>
    <w:rsid w:val="67B044BF"/>
    <w:rsid w:val="69F55085"/>
    <w:rsid w:val="6A9E77D9"/>
    <w:rsid w:val="6B055400"/>
    <w:rsid w:val="6B6C618D"/>
    <w:rsid w:val="6BFF7E7B"/>
    <w:rsid w:val="6C226FA5"/>
    <w:rsid w:val="6C6A455C"/>
    <w:rsid w:val="6CA87DFD"/>
    <w:rsid w:val="6D6F32B1"/>
    <w:rsid w:val="6E471CD3"/>
    <w:rsid w:val="6FC77BBF"/>
    <w:rsid w:val="70BD7BEF"/>
    <w:rsid w:val="70D3077D"/>
    <w:rsid w:val="71B64C39"/>
    <w:rsid w:val="72A5093A"/>
    <w:rsid w:val="73A11102"/>
    <w:rsid w:val="76877194"/>
    <w:rsid w:val="77194E98"/>
    <w:rsid w:val="77F0161C"/>
    <w:rsid w:val="79995D14"/>
    <w:rsid w:val="7A0569E7"/>
    <w:rsid w:val="7A831561"/>
    <w:rsid w:val="7A8A53BE"/>
    <w:rsid w:val="7E3C3C99"/>
    <w:rsid w:val="AFCDFEE5"/>
    <w:rsid w:val="DFEF884A"/>
    <w:rsid w:val="E7C9CCDB"/>
    <w:rsid w:val="FEDB073F"/>
    <w:rsid w:val="FFF7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keepNext w:val="0"/>
      <w:keepLines w:val="0"/>
      <w:widowControl w:val="0"/>
      <w:suppressLineNumbers w:val="0"/>
      <w:spacing w:before="100" w:beforeAutospacing="1" w:after="100" w:afterAutospacing="1"/>
      <w:ind w:left="0" w:right="0"/>
      <w:jc w:val="left"/>
    </w:pPr>
    <w:rPr>
      <w:rFonts w:hint="eastAsia" w:ascii="仿宋" w:hAnsi="仿宋" w:eastAsia="宋体" w:cs="Times New Roman"/>
      <w:kern w:val="0"/>
      <w:sz w:val="24"/>
      <w:szCs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3176</Words>
  <Characters>3291</Characters>
  <Lines>0</Lines>
  <Paragraphs>0</Paragraphs>
  <TotalTime>8</TotalTime>
  <ScaleCrop>false</ScaleCrop>
  <LinksUpToDate>false</LinksUpToDate>
  <CharactersWithSpaces>3291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xjkp</cp:lastModifiedBy>
  <dcterms:modified xsi:type="dcterms:W3CDTF">2025-07-30T09:30:29Z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6182D3A10D564617983F46DEE354AEAF</vt:lpwstr>
  </property>
</Properties>
</file>