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kern w:val="0"/>
          <w:sz w:val="32"/>
          <w:szCs w:val="32"/>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p>
    <w:p>
      <w:pPr>
        <w:spacing w:line="66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年度部门（单位）整体</w:t>
      </w:r>
      <w:r>
        <w:rPr>
          <w:rFonts w:hint="eastAsia" w:ascii="方正小标宋简体" w:eastAsia="方正小标宋简体"/>
          <w:sz w:val="44"/>
          <w:szCs w:val="44"/>
          <w:lang w:eastAsia="zh-CN"/>
        </w:rPr>
        <w:t>与项目</w:t>
      </w:r>
      <w:r>
        <w:rPr>
          <w:rFonts w:hint="eastAsia" w:ascii="方正小标宋简体" w:eastAsia="方正小标宋简体"/>
          <w:sz w:val="44"/>
          <w:szCs w:val="44"/>
        </w:rPr>
        <w:t>支出</w:t>
      </w: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720" w:firstLineChars="200"/>
        <w:jc w:val="center"/>
        <w:rPr>
          <w:rFonts w:eastAsia="黑体"/>
          <w:sz w:val="36"/>
          <w:szCs w:val="36"/>
        </w:rPr>
      </w:pPr>
      <w:r>
        <w:rPr>
          <w:rFonts w:hint="eastAsia" w:eastAsia="黑体"/>
          <w:sz w:val="36"/>
          <w:szCs w:val="36"/>
        </w:rPr>
        <w:t>单位名称（盖章）：岳阳市财政局</w:t>
      </w:r>
    </w:p>
    <w:p>
      <w:pPr>
        <w:jc w:val="center"/>
        <w:rPr>
          <w:rFonts w:eastAsia="黑体"/>
          <w:sz w:val="36"/>
          <w:szCs w:val="36"/>
        </w:rPr>
      </w:pPr>
    </w:p>
    <w:p>
      <w:pPr>
        <w:jc w:val="center"/>
        <w:rPr>
          <w:rFonts w:eastAsia="黑体"/>
          <w:sz w:val="36"/>
          <w:szCs w:val="36"/>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hint="eastAsia" w:ascii="方正小标宋简体" w:hAnsi="方正小标宋简体" w:eastAsia="方正小标宋简体" w:cs="方正小标宋简体"/>
          <w:sz w:val="44"/>
          <w:szCs w:val="44"/>
          <w:highlight w:val="none"/>
        </w:rPr>
      </w:pPr>
      <w:r>
        <w:rPr>
          <w:rFonts w:eastAsia="仿宋_GB2312"/>
          <w:sz w:val="32"/>
          <w:szCs w:val="32"/>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岳阳市财政局</w:t>
      </w:r>
      <w:r>
        <w:rPr>
          <w:rFonts w:hint="eastAsia" w:ascii="方正小标宋简体" w:hAnsi="方正小标宋简体" w:eastAsia="方正小标宋简体" w:cs="方正小标宋简体"/>
          <w:sz w:val="44"/>
          <w:szCs w:val="44"/>
          <w:highlight w:val="none"/>
        </w:rPr>
        <w:t>整体支出</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财政局是市人民政府综合管理全市财政收支、主管财税政策、实施财政监督、参与国民经济宏观调控的组成部门，同时管理全市行政事业性资产。根据《岳阳市财政局主要职责内设机构和人员编制规定》（岳办发</w:t>
      </w:r>
      <w:r>
        <w:rPr>
          <w:rFonts w:ascii="仿宋_GB2312" w:eastAsia="仿宋_GB2312"/>
          <w:sz w:val="32"/>
          <w:szCs w:val="32"/>
        </w:rPr>
        <w:t>[2011]13</w:t>
      </w:r>
      <w:r>
        <w:rPr>
          <w:rFonts w:hint="eastAsia" w:ascii="仿宋_GB2312" w:eastAsia="仿宋_GB2312"/>
          <w:sz w:val="32"/>
          <w:szCs w:val="32"/>
        </w:rPr>
        <w:t>号，市财政局具有</w:t>
      </w:r>
      <w:r>
        <w:rPr>
          <w:rFonts w:ascii="仿宋_GB2312" w:eastAsia="仿宋_GB2312"/>
          <w:sz w:val="32"/>
          <w:szCs w:val="32"/>
        </w:rPr>
        <w:t>14</w:t>
      </w:r>
      <w:r>
        <w:rPr>
          <w:rFonts w:hint="eastAsia" w:ascii="仿宋_GB2312" w:eastAsia="仿宋_GB2312"/>
          <w:sz w:val="32"/>
          <w:szCs w:val="32"/>
        </w:rPr>
        <w:t>项主要职责</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组织贯彻执行国家财税方针政策，拟订和执行全市财政政策、改革方案，指导全市财政工作；分析预测宏观经济形势，参与制定各项宏观经济政策；提出运用财税政策实施宏观调控和综合平衡社会财力的建议；拟订和执行市与区、政府与企业的分配政策，完善鼓励公益事业发展的财税政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）起草财政、财务、会计管理等规章草案，制定和执行财政、财务、会计管理的制度及办法。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承担市本级各项财政收支管理的责任。负责编制年度市本级预决算草案并组织执行。代编全市财政收支预算，汇总全市财政总决算；受市人民政府委托，向市人大报告市本级、全市预算、预算执行情况和财政总决算。负责全面实施预算绩效管理相关工作。组织制订市本级经费开支标准、定额，负责审核批复部门（单位）的年度预决算。完善转移支付制度，推进财政体制改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）负责政府非税收入管理。负责政府性基金管理，按规定管理行政事业性收费和各种罚没收入。管理财政票据。按规定管理彩票资金。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）组织制定国库管理制度、国库集中收付制度，指导和监督市本级国库业务，按规定开展国库现金管理工作。负责制定政府采购制度并实施监督管理。负责牵头拟订政府购买服务政策并组织实施。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贯彻执行国家税收法律、法规和税收调整政策，反馈政策执行情况，及时提出调整建议。研究制定市级管理权限内有关税收政策及税收政策调整方案并组织实施，按照规定权限，办理申报地方税收减免的有关工作。按规定承担地方关税管理的有关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）负责制定行政事业单位国有资产管理规定制度，并负责组织实施和监督检查。负责执法执勤公务用车的编制、配置、处理管理。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）负责履行市级国有金融资本管理相关职责，编制全市金融企业国有资产管理专项报告。负责牵头编制全市国有资产管理有关情况报告。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九</w:t>
      </w:r>
      <w:r>
        <w:rPr>
          <w:rFonts w:hint="eastAsia" w:ascii="仿宋_GB2312" w:eastAsia="仿宋_GB2312"/>
          <w:sz w:val="32"/>
          <w:szCs w:val="32"/>
        </w:rPr>
        <w:t>）负责办理和监督市财政的经济发展支出、市级政府性投资项目的财政拨款，参与拟订市建设投资的有关政策，组织实施基本建设财务制度，负责有关政策性补贴和专项储备资金财政管理工作。负责农村综合改革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w:t>
      </w:r>
      <w:r>
        <w:rPr>
          <w:rFonts w:hint="eastAsia" w:ascii="仿宋_GB2312" w:eastAsia="仿宋_GB2312"/>
          <w:sz w:val="32"/>
          <w:szCs w:val="32"/>
        </w:rPr>
        <w:t>）会同有关部门管理市财政社会保障和就业及医疗卫生支出，组织实施社会保障资金（基金）的财务管理制度，编制市社会保障预决算草案。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十一</w:t>
      </w:r>
      <w:r>
        <w:rPr>
          <w:rFonts w:hint="eastAsia" w:ascii="仿宋_GB2312" w:eastAsia="仿宋_GB2312"/>
          <w:sz w:val="32"/>
          <w:szCs w:val="32"/>
        </w:rPr>
        <w:t>）贯彻执行政府债务管理的政策，防范财政风险。按规定管理外国政府和国际金融组织贷（赠）款。承担财税领域交流与合作的具体工作。承担地方政府债务核查、监督等相关职责。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十二</w:t>
      </w:r>
      <w:r>
        <w:rPr>
          <w:rFonts w:hint="eastAsia" w:ascii="仿宋_GB2312" w:eastAsia="仿宋_GB2312"/>
          <w:sz w:val="32"/>
          <w:szCs w:val="32"/>
        </w:rPr>
        <w:t>）负责管理全市的会计工作，监督和规范会计行为，组织实施国家统一的会计的制度，组织实施会计法律法规和规章，指导和监督注册会计师和会计师事务所的业务，指导和管理社会审计。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十三</w:t>
      </w:r>
      <w:r>
        <w:rPr>
          <w:rFonts w:hint="eastAsia" w:ascii="仿宋_GB2312" w:eastAsia="仿宋_GB2312"/>
          <w:sz w:val="32"/>
          <w:szCs w:val="32"/>
        </w:rPr>
        <w:t>）监督检查财税法律法规、政策的执行情况，反映财政收支管理中的重大问题，提出加强财政管理的政策和建议。</w:t>
      </w:r>
    </w:p>
    <w:p>
      <w:pPr>
        <w:spacing w:line="600" w:lineRule="exact"/>
        <w:ind w:firstLine="640" w:firstLineChars="200"/>
        <w:rPr>
          <w:rFonts w:hint="default" w:ascii="Times New Roman" w:hAnsi="Times New Roman" w:eastAsia="黑体" w:cs="Times New Roman"/>
          <w:sz w:val="32"/>
          <w:szCs w:val="32"/>
          <w:highlight w:val="none"/>
        </w:rPr>
      </w:pPr>
      <w:r>
        <w:rPr>
          <w:rFonts w:hint="eastAsia" w:ascii="仿宋_GB2312" w:eastAsia="仿宋_GB2312"/>
          <w:sz w:val="32"/>
          <w:szCs w:val="32"/>
        </w:rPr>
        <w:t>（</w:t>
      </w:r>
      <w:r>
        <w:rPr>
          <w:rFonts w:hint="eastAsia" w:ascii="仿宋_GB2312" w:eastAsia="仿宋_GB2312"/>
          <w:sz w:val="32"/>
          <w:szCs w:val="32"/>
          <w:lang w:eastAsia="zh-CN"/>
        </w:rPr>
        <w:t>十四</w:t>
      </w:r>
      <w:bookmarkStart w:id="0" w:name="_GoBack"/>
      <w:bookmarkEnd w:id="0"/>
      <w:r>
        <w:rPr>
          <w:rFonts w:hint="eastAsia" w:ascii="仿宋_GB2312" w:eastAsia="仿宋_GB2312"/>
          <w:sz w:val="32"/>
          <w:szCs w:val="32"/>
        </w:rPr>
        <w:t>）承办市委、市人民政府交办的其他事项。</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4635.67</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2998.47</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64.68</w:t>
      </w:r>
      <w:r>
        <w:rPr>
          <w:rFonts w:hint="eastAsia" w:ascii="仿宋_GB2312" w:hAnsi="仿宋_GB2312" w:eastAsia="仿宋_GB2312" w:cs="仿宋_GB2312"/>
          <w:sz w:val="32"/>
          <w:szCs w:val="32"/>
        </w:rPr>
        <w:t>%,主要包括主要包括基本工资、津贴补贴、奖金、伙食补助费、绩效工资、机关事业单位基本养老保险缴费、职工基本医疗保险缴费、其他社会保障缴费、住房公积金、医疗费、其他工资福利支出、离休费、退休费、生活补助、医疗费补助、奖励金、其他对个人和家庭的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1637.2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35.32</w:t>
      </w:r>
      <w:r>
        <w:rPr>
          <w:rFonts w:hint="eastAsia" w:ascii="仿宋_GB2312" w:hAnsi="仿宋_GB2312" w:eastAsia="仿宋_GB2312" w:cs="仿宋_GB2312"/>
          <w:sz w:val="32"/>
          <w:szCs w:val="32"/>
        </w:rPr>
        <w:t>%，主要包括办公费、印刷费、水费、电费、邮电费、取暖费、物业管理费、差旅费、维修（护）费、</w:t>
      </w:r>
      <w:r>
        <w:rPr>
          <w:rFonts w:hint="eastAsia" w:ascii="仿宋_GB2312" w:hAnsi="仿宋_GB2312" w:eastAsia="仿宋_GB2312" w:cs="仿宋_GB2312"/>
          <w:sz w:val="32"/>
          <w:szCs w:val="32"/>
          <w:lang w:val="en-US" w:eastAsia="zh-CN"/>
        </w:rPr>
        <w:t>租赁费、</w:t>
      </w:r>
      <w:r>
        <w:rPr>
          <w:rFonts w:hint="eastAsia" w:ascii="仿宋_GB2312" w:hAnsi="仿宋_GB2312" w:eastAsia="仿宋_GB2312" w:cs="仿宋_GB2312"/>
          <w:sz w:val="32"/>
          <w:szCs w:val="32"/>
        </w:rPr>
        <w:t>会议费、培训费、公务接待费、劳务费、委托业务费、工会经费、福利费、公务用车运行维护费、其他交通费用、其他商品服和服务支出、办公设备购置、信息网络及软件购置更新。</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“三公”经费财政拨款支出决算总体情况说明：</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年度“三公”经费财政拨款支出预算为</w:t>
      </w:r>
      <w:r>
        <w:rPr>
          <w:rFonts w:hint="eastAsia" w:ascii="仿宋_GB2312" w:eastAsia="仿宋_GB2312"/>
          <w:sz w:val="32"/>
          <w:szCs w:val="32"/>
          <w:lang w:val="en-US" w:eastAsia="zh-CN"/>
        </w:rPr>
        <w:t>20</w:t>
      </w:r>
      <w:r>
        <w:rPr>
          <w:rFonts w:hint="eastAsia" w:ascii="仿宋_GB2312" w:eastAsia="仿宋_GB2312"/>
          <w:sz w:val="32"/>
          <w:szCs w:val="32"/>
        </w:rPr>
        <w:t>万元，支出决算为</w:t>
      </w:r>
      <w:r>
        <w:rPr>
          <w:rFonts w:hint="eastAsia" w:ascii="仿宋_GB2312" w:eastAsia="仿宋_GB2312"/>
          <w:sz w:val="32"/>
          <w:szCs w:val="32"/>
          <w:lang w:val="en-US" w:eastAsia="zh-CN"/>
        </w:rPr>
        <w:t>13.77</w:t>
      </w:r>
      <w:r>
        <w:rPr>
          <w:rFonts w:hint="eastAsia" w:ascii="仿宋_GB2312" w:eastAsia="仿宋_GB2312"/>
          <w:sz w:val="32"/>
          <w:szCs w:val="32"/>
        </w:rPr>
        <w:t>万元，完成预算的</w:t>
      </w:r>
      <w:r>
        <w:rPr>
          <w:rFonts w:hint="eastAsia" w:ascii="仿宋_GB2312" w:eastAsia="仿宋_GB2312"/>
          <w:sz w:val="32"/>
          <w:szCs w:val="32"/>
          <w:lang w:val="en-US" w:eastAsia="zh-CN"/>
        </w:rPr>
        <w:t>68.85</w:t>
      </w:r>
      <w:r>
        <w:rPr>
          <w:rFonts w:hint="eastAsia" w:ascii="仿宋_GB2312" w:eastAsia="仿宋_GB2312"/>
          <w:sz w:val="32"/>
          <w:szCs w:val="32"/>
        </w:rPr>
        <w:t>%，其中：</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因公出国（境）费支出预算为0万元，支出决算为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公务接待费支出预算为</w:t>
      </w:r>
      <w:r>
        <w:rPr>
          <w:rFonts w:hint="eastAsia" w:ascii="仿宋_GB2312" w:eastAsia="仿宋_GB2312"/>
          <w:sz w:val="32"/>
          <w:szCs w:val="32"/>
          <w:lang w:val="en-US" w:eastAsia="zh-CN"/>
        </w:rPr>
        <w:t>5</w:t>
      </w:r>
      <w:r>
        <w:rPr>
          <w:rFonts w:hint="eastAsia" w:ascii="仿宋_GB2312" w:eastAsia="仿宋_GB2312"/>
          <w:sz w:val="32"/>
          <w:szCs w:val="32"/>
        </w:rPr>
        <w:t>万元，支出决算为</w:t>
      </w:r>
      <w:r>
        <w:rPr>
          <w:rFonts w:hint="eastAsia" w:ascii="仿宋_GB2312" w:eastAsia="仿宋_GB2312"/>
          <w:sz w:val="32"/>
          <w:szCs w:val="32"/>
          <w:lang w:val="en-US" w:eastAsia="zh-CN"/>
        </w:rPr>
        <w:t>2.86</w:t>
      </w:r>
      <w:r>
        <w:rPr>
          <w:rFonts w:hint="eastAsia" w:ascii="仿宋_GB2312" w:eastAsia="仿宋_GB2312"/>
          <w:sz w:val="32"/>
          <w:szCs w:val="32"/>
        </w:rPr>
        <w:t>万元，完成预算的</w:t>
      </w:r>
      <w:r>
        <w:rPr>
          <w:rFonts w:hint="eastAsia" w:ascii="仿宋_GB2312" w:eastAsia="仿宋_GB2312"/>
          <w:sz w:val="32"/>
          <w:szCs w:val="32"/>
          <w:lang w:val="en-US" w:eastAsia="zh-CN"/>
        </w:rPr>
        <w:t>57.2</w:t>
      </w:r>
      <w:r>
        <w:rPr>
          <w:rFonts w:hint="eastAsia" w:ascii="仿宋_GB2312" w:eastAsia="仿宋_GB2312"/>
          <w:sz w:val="32"/>
          <w:szCs w:val="32"/>
        </w:rPr>
        <w:t>%，主要原因是</w:t>
      </w:r>
      <w:r>
        <w:rPr>
          <w:rFonts w:hint="eastAsia" w:ascii="仿宋_GB2312" w:eastAsia="仿宋_GB2312"/>
          <w:sz w:val="32"/>
          <w:szCs w:val="32"/>
          <w:lang w:eastAsia="zh-CN"/>
        </w:rPr>
        <w:t>大兴调查研究以及各项重点工作开展</w:t>
      </w:r>
      <w:r>
        <w:rPr>
          <w:rFonts w:hint="eastAsia" w:ascii="仿宋_GB2312" w:eastAsia="仿宋_GB2312"/>
          <w:sz w:val="32"/>
          <w:szCs w:val="32"/>
        </w:rPr>
        <w:t>，与上年</w:t>
      </w:r>
      <w:r>
        <w:rPr>
          <w:rFonts w:hint="eastAsia" w:ascii="仿宋_GB2312" w:eastAsia="仿宋_GB2312"/>
          <w:sz w:val="32"/>
          <w:szCs w:val="32"/>
          <w:lang w:eastAsia="zh-CN"/>
        </w:rPr>
        <w:t>相比增长</w:t>
      </w:r>
      <w:r>
        <w:rPr>
          <w:rFonts w:hint="eastAsia" w:ascii="仿宋_GB2312" w:eastAsia="仿宋_GB2312"/>
          <w:sz w:val="32"/>
          <w:szCs w:val="32"/>
        </w:rPr>
        <w:t>0.</w:t>
      </w:r>
      <w:r>
        <w:rPr>
          <w:rFonts w:hint="eastAsia" w:ascii="仿宋_GB2312" w:eastAsia="仿宋_GB2312"/>
          <w:sz w:val="32"/>
          <w:szCs w:val="32"/>
          <w:lang w:val="en-US" w:eastAsia="zh-CN"/>
        </w:rPr>
        <w:t>02</w:t>
      </w:r>
      <w:r>
        <w:rPr>
          <w:rFonts w:hint="eastAsia" w:ascii="仿宋_GB2312" w:eastAsia="仿宋_GB2312"/>
          <w:sz w:val="32"/>
          <w:szCs w:val="32"/>
        </w:rPr>
        <w:t>万元，</w:t>
      </w:r>
      <w:r>
        <w:rPr>
          <w:rFonts w:hint="eastAsia" w:ascii="仿宋_GB2312" w:eastAsia="仿宋_GB2312"/>
          <w:sz w:val="32"/>
          <w:szCs w:val="32"/>
          <w:lang w:eastAsia="zh-CN"/>
        </w:rPr>
        <w:t>同比上升</w:t>
      </w:r>
      <w:r>
        <w:rPr>
          <w:rFonts w:hint="eastAsia" w:ascii="仿宋_GB2312" w:eastAsia="仿宋_GB2312"/>
          <w:sz w:val="32"/>
          <w:szCs w:val="32"/>
          <w:lang w:val="en-US" w:eastAsia="zh-CN"/>
        </w:rPr>
        <w:t>1.47</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公务用车购置费支出预算为0万元，支出决算为0万元。</w:t>
      </w:r>
    </w:p>
    <w:p>
      <w:pPr>
        <w:spacing w:line="560" w:lineRule="exact"/>
        <w:ind w:firstLine="640" w:firstLineChars="200"/>
        <w:rPr>
          <w:rFonts w:hint="default" w:ascii="Times New Roman" w:hAnsi="Times New Roman" w:eastAsia="楷体_GB2312" w:cs="Times New Roman"/>
          <w:b/>
          <w:sz w:val="32"/>
          <w:szCs w:val="32"/>
          <w:highlight w:val="none"/>
        </w:rPr>
      </w:pPr>
      <w:r>
        <w:rPr>
          <w:rFonts w:hint="eastAsia" w:ascii="仿宋_GB2312" w:eastAsia="仿宋_GB2312"/>
          <w:sz w:val="32"/>
          <w:szCs w:val="32"/>
        </w:rPr>
        <w:t>公务用车运行维护费支出预算为</w:t>
      </w:r>
      <w:r>
        <w:rPr>
          <w:rFonts w:hint="eastAsia" w:ascii="仿宋_GB2312" w:eastAsia="仿宋_GB2312"/>
          <w:sz w:val="32"/>
          <w:szCs w:val="32"/>
          <w:lang w:val="en-US" w:eastAsia="zh-CN"/>
        </w:rPr>
        <w:t>1</w:t>
      </w:r>
      <w:r>
        <w:rPr>
          <w:rFonts w:hint="eastAsia" w:ascii="仿宋_GB2312" w:eastAsia="仿宋_GB2312"/>
          <w:sz w:val="32"/>
          <w:szCs w:val="32"/>
        </w:rPr>
        <w:t>5万元，支出决算为</w:t>
      </w:r>
      <w:r>
        <w:rPr>
          <w:rFonts w:hint="eastAsia" w:ascii="仿宋_GB2312" w:eastAsia="仿宋_GB2312"/>
          <w:sz w:val="32"/>
          <w:szCs w:val="32"/>
          <w:lang w:val="en-US" w:eastAsia="zh-CN"/>
        </w:rPr>
        <w:t>10.91</w:t>
      </w:r>
      <w:r>
        <w:rPr>
          <w:rFonts w:hint="eastAsia" w:ascii="仿宋_GB2312" w:eastAsia="仿宋_GB2312"/>
          <w:sz w:val="32"/>
          <w:szCs w:val="32"/>
        </w:rPr>
        <w:t>万元，完成预算的</w:t>
      </w:r>
      <w:r>
        <w:rPr>
          <w:rFonts w:hint="eastAsia" w:ascii="仿宋_GB2312" w:eastAsia="仿宋_GB2312"/>
          <w:sz w:val="32"/>
          <w:szCs w:val="32"/>
          <w:lang w:val="en-US" w:eastAsia="zh-CN"/>
        </w:rPr>
        <w:t>72.73</w:t>
      </w:r>
      <w:r>
        <w:rPr>
          <w:rFonts w:hint="eastAsia" w:ascii="仿宋_GB2312" w:eastAsia="仿宋_GB2312"/>
          <w:sz w:val="32"/>
          <w:szCs w:val="32"/>
        </w:rPr>
        <w:t>%。</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spacing w:line="560" w:lineRule="exact"/>
        <w:ind w:firstLine="640" w:firstLineChars="200"/>
        <w:rPr>
          <w:rFonts w:hint="default" w:ascii="Times New Roman" w:hAnsi="Times New Roman" w:eastAsia="楷体_GB2312" w:cs="Times New Roman"/>
          <w:b/>
          <w:sz w:val="32"/>
          <w:szCs w:val="32"/>
          <w:highlight w:val="none"/>
        </w:rPr>
      </w:pPr>
      <w:r>
        <w:rPr>
          <w:rFonts w:hint="eastAsia" w:ascii="仿宋_GB2312" w:eastAsia="仿宋_GB2312"/>
          <w:sz w:val="32"/>
          <w:szCs w:val="32"/>
          <w:lang w:val="en-US" w:eastAsia="zh-CN"/>
        </w:rPr>
        <w:t>2023年度项目支出为780.43万元，其中</w:t>
      </w:r>
      <w:r>
        <w:rPr>
          <w:rFonts w:hint="eastAsia" w:ascii="仿宋_GB2312" w:eastAsia="仿宋_GB2312"/>
          <w:sz w:val="32"/>
          <w:szCs w:val="32"/>
        </w:rPr>
        <w:t>业务工作经费</w:t>
      </w:r>
      <w:r>
        <w:rPr>
          <w:rFonts w:hint="eastAsia" w:ascii="仿宋_GB2312" w:eastAsia="仿宋_GB2312"/>
          <w:sz w:val="32"/>
          <w:szCs w:val="32"/>
          <w:lang w:val="en-US" w:eastAsia="zh-CN"/>
        </w:rPr>
        <w:t>331.92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运行维护经费</w:t>
      </w:r>
      <w:r>
        <w:rPr>
          <w:rFonts w:hint="eastAsia" w:ascii="仿宋_GB2312" w:eastAsia="仿宋_GB2312"/>
          <w:sz w:val="32"/>
          <w:szCs w:val="32"/>
          <w:lang w:val="en-US" w:eastAsia="zh-CN"/>
        </w:rPr>
        <w:t>112.68</w:t>
      </w:r>
      <w:r>
        <w:rPr>
          <w:rFonts w:hint="eastAsia" w:ascii="仿宋_GB2312" w:eastAsia="仿宋_GB2312"/>
          <w:sz w:val="32"/>
          <w:szCs w:val="32"/>
        </w:rPr>
        <w:t>万元。</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三、</w:t>
      </w:r>
      <w:r>
        <w:rPr>
          <w:rFonts w:hint="default" w:ascii="Times New Roman" w:hAnsi="Times New Roman" w:eastAsia="黑体" w:cs="Times New Roman"/>
          <w:sz w:val="32"/>
          <w:szCs w:val="32"/>
          <w:highlight w:val="none"/>
        </w:rPr>
        <w:t>政府性基金预算支出情况</w:t>
      </w:r>
    </w:p>
    <w:p>
      <w:pPr>
        <w:pStyle w:val="3"/>
        <w:widowControl/>
        <w:shd w:val="clear" w:color="auto" w:fill="FFFFFF"/>
        <w:spacing w:beforeAutospacing="0" w:afterAutospacing="0" w:line="26" w:lineRule="atLeast"/>
        <w:ind w:firstLine="579" w:firstLineChars="181"/>
        <w:jc w:val="both"/>
        <w:rPr>
          <w:rFonts w:hint="default" w:ascii="Times New Roman" w:hAnsi="Times New Roman" w:eastAsia="黑体" w:cs="Times New Roman"/>
          <w:sz w:val="32"/>
          <w:szCs w:val="32"/>
          <w:highlight w:val="none"/>
        </w:rPr>
      </w:pPr>
      <w:r>
        <w:rPr>
          <w:rFonts w:hint="eastAsia" w:ascii="仿宋_GB2312" w:hAnsi="Times New Roman" w:eastAsia="仿宋_GB2312" w:cs="Times New Roman"/>
          <w:kern w:val="2"/>
          <w:sz w:val="32"/>
          <w:szCs w:val="32"/>
          <w:lang w:val="en-US" w:eastAsia="zh-CN" w:bidi="ar-SA"/>
        </w:rPr>
        <w:t>2023年度本部门无政府性基金收支。</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四、</w:t>
      </w:r>
      <w:r>
        <w:rPr>
          <w:rFonts w:hint="default" w:ascii="Times New Roman" w:hAnsi="Times New Roman" w:eastAsia="黑体" w:cs="Times New Roman"/>
          <w:sz w:val="32"/>
          <w:szCs w:val="32"/>
          <w:highlight w:val="none"/>
        </w:rPr>
        <w:t>国有资本经营预算支出情况</w:t>
      </w:r>
    </w:p>
    <w:p>
      <w:pPr>
        <w:spacing w:line="600" w:lineRule="exact"/>
        <w:ind w:firstLine="640" w:firstLineChars="200"/>
        <w:rPr>
          <w:rFonts w:hint="default" w:ascii="Times New Roman" w:hAnsi="Times New Roman" w:eastAsia="黑体" w:cs="Times New Roman"/>
          <w:sz w:val="32"/>
          <w:szCs w:val="32"/>
          <w:highlight w:val="none"/>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年度本部门无国有资本经营预算财政拨款支出。</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numPr>
          <w:ilvl w:val="0"/>
          <w:numId w:val="0"/>
        </w:numPr>
        <w:spacing w:line="600" w:lineRule="exact"/>
        <w:ind w:firstLine="640" w:firstLineChars="200"/>
        <w:rPr>
          <w:rFonts w:hint="default" w:ascii="Times New Roman" w:hAnsi="Times New Roman" w:eastAsia="黑体" w:cs="Times New Roman"/>
          <w:sz w:val="32"/>
          <w:szCs w:val="32"/>
          <w:highlight w:val="none"/>
        </w:rPr>
      </w:pPr>
      <w:r>
        <w:rPr>
          <w:rFonts w:hint="eastAsia" w:ascii="仿宋_GB2312" w:hAnsi="Times New Roman" w:eastAsia="仿宋_GB2312" w:cs="Times New Roman"/>
          <w:kern w:val="2"/>
          <w:sz w:val="32"/>
          <w:szCs w:val="32"/>
          <w:lang w:val="en-US" w:eastAsia="zh-CN" w:bidi="ar-SA"/>
        </w:rPr>
        <w:t>2023年度本部门</w:t>
      </w:r>
      <w:r>
        <w:rPr>
          <w:rFonts w:hint="eastAsia" w:ascii="仿宋_GB2312" w:eastAsia="仿宋_GB2312" w:cs="Times New Roman"/>
          <w:kern w:val="2"/>
          <w:sz w:val="32"/>
          <w:szCs w:val="32"/>
          <w:lang w:val="en-US" w:eastAsia="zh-CN" w:bidi="ar-SA"/>
        </w:rPr>
        <w:t>无</w:t>
      </w:r>
      <w:r>
        <w:rPr>
          <w:rFonts w:hint="eastAsia" w:ascii="仿宋_GB2312" w:hAnsi="Times New Roman" w:eastAsia="仿宋_GB2312" w:cs="Times New Roman"/>
          <w:kern w:val="2"/>
          <w:sz w:val="32"/>
          <w:szCs w:val="32"/>
          <w:lang w:val="en-US" w:eastAsia="zh-CN" w:bidi="ar-SA"/>
        </w:rPr>
        <w:t>社会保险基金收支。</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1、执行了预算政策要求。我局工作经费安排严格按照年初预算来执行，有效防止了超预算；认真学习财经法规，严格执行财经纪律，防止了违法违纪行为的发生。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2、积极降低运行成本。严格按照厉行节约的要求，精打细算，规范机关事务管理工作，提高服务质量，降低运行成本，合理配置，提高保障能力。保障了干部待遇按政策发放落实。</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3、加强了干部队伍建设。我局党组认真贯彻落实从严治党各项要求，始终坚持把纪律规矩挺在最前面。不定期开展党风廉政建设专题党课活动，深化推进党风廉政建设和反腐败工作纵深发展。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注重提升社会效益。不断改进和提升财政内部控制，从注重财政内部资金使用效益的提升，形成规范、高效、透明的资金运用秩序，严格执行预决算公开，主动接受社会监督，进而为整体财政资金的提质增效赋能。</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预算编制有待进一步准确。今后工作中，进一步严格按照预算规定项目的财务支出内容进行财务预算，在预算金额内严控费用支出。推动建立过紧日子的长效机制，推进预算一体化系统建设，使预算管理水平更上台阶。</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highlight w:val="none"/>
          <w:lang w:eastAsia="zh-CN"/>
        </w:rPr>
      </w:pPr>
      <w:r>
        <w:rPr>
          <w:rFonts w:hint="eastAsia" w:ascii="仿宋_GB2312" w:eastAsia="仿宋_GB2312"/>
          <w:sz w:val="32"/>
          <w:szCs w:val="32"/>
          <w:lang w:eastAsia="zh-CN"/>
        </w:rPr>
        <w:t>进一步加强各项目的预算资金管理，加大对预算编制与执行的监管力度，提高预算自资金的使用效率；进一步优化绩效目标，绩效指标设立要更加科学、合理、可衡量。在设立指标的时候要充分考虑指标设定的可实施性，可考核性，要尽可能的量化细化。</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spacing w:line="560" w:lineRule="exact"/>
        <w:ind w:firstLine="640" w:firstLineChars="200"/>
        <w:rPr>
          <w:rFonts w:hint="default" w:ascii="Times New Roman" w:hAnsi="Times New Roman" w:eastAsia="黑体" w:cs="Times New Roman"/>
          <w:sz w:val="32"/>
          <w:szCs w:val="32"/>
          <w:highlight w:val="none"/>
        </w:rPr>
      </w:pPr>
      <w:r>
        <w:rPr>
          <w:rFonts w:hint="eastAsia" w:ascii="仿宋_GB2312" w:eastAsia="仿宋_GB2312"/>
          <w:sz w:val="32"/>
          <w:szCs w:val="32"/>
        </w:rPr>
        <w:t>根据绩效自评结果更加合理地编制下一年度部门预算，定期进行预决算公开的同时公开绩效评价表。不断强化绩效评价在预算编制中发挥的作用，提高财政资金的使用效率，在推动部门的健康可持续发展同时，提升其经济效益、社会效益、生态效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146</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92.41%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b/>
                <w:bCs/>
                <w:color w:val="0000FF"/>
                <w:sz w:val="20"/>
                <w:szCs w:val="20"/>
                <w:highlight w:val="none"/>
                <w:lang w:val="en-US"/>
              </w:rPr>
            </w:pPr>
            <w:r>
              <w:rPr>
                <w:rFonts w:hint="eastAsia" w:ascii="仿宋" w:hAnsi="仿宋" w:eastAsia="仿宋" w:cs="仿宋"/>
                <w:color w:val="auto"/>
                <w:sz w:val="20"/>
                <w:szCs w:val="20"/>
                <w:highlight w:val="none"/>
                <w:shd w:val="clear" w:color="auto" w:fill="auto"/>
                <w:lang w:val="en-US" w:eastAsia="zh-CN"/>
              </w:rPr>
              <w:t>36.02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rPr>
            </w:pPr>
            <w:r>
              <w:rPr>
                <w:rFonts w:hint="eastAsia" w:ascii="仿宋" w:hAnsi="仿宋" w:eastAsia="仿宋" w:cs="仿宋"/>
                <w:sz w:val="20"/>
                <w:szCs w:val="20"/>
                <w:highlight w:val="none"/>
                <w:lang w:val="en-US" w:eastAsia="zh-CN"/>
              </w:rPr>
              <w:t>20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13.77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33.18</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15</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10.91</w:t>
            </w:r>
            <w:r>
              <w:rPr>
                <w:rFonts w:hint="eastAsia" w:ascii="仿宋" w:hAnsi="仿宋" w:eastAsia="仿宋" w:cs="仿宋"/>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19.57</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0</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0</w:t>
            </w:r>
            <w:r>
              <w:rPr>
                <w:rFonts w:hint="eastAsia" w:ascii="仿宋" w:hAnsi="仿宋" w:eastAsia="仿宋" w:cs="仿宋"/>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13.61</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15</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10.91</w:t>
            </w:r>
            <w:r>
              <w:rPr>
                <w:rFonts w:hint="eastAsia" w:ascii="仿宋" w:hAnsi="仿宋" w:eastAsia="仿宋" w:cs="仿宋"/>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0</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0</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0</w:t>
            </w:r>
            <w:r>
              <w:rPr>
                <w:rFonts w:hint="eastAsia" w:ascii="仿宋" w:hAnsi="仿宋" w:eastAsia="仿宋" w:cs="仿宋"/>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2.84</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5</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2.86</w:t>
            </w:r>
            <w:r>
              <w:rPr>
                <w:rFonts w:hint="eastAsia" w:ascii="仿宋" w:hAnsi="仿宋" w:eastAsia="仿宋" w:cs="仿宋"/>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847.93</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780.43</w:t>
            </w:r>
            <w:r>
              <w:rPr>
                <w:rFonts w:hint="eastAsia" w:ascii="仿宋" w:hAnsi="仿宋" w:eastAsia="仿宋" w:cs="仿宋"/>
                <w:sz w:val="20"/>
                <w:szCs w:val="20"/>
                <w:highlight w:val="none"/>
              </w:rPr>
              <w:t>　</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339.2</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4</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shd w:val="clear" w:color="FFFFFF" w:fill="D9D9D9"/>
              </w:rPr>
            </w:pPr>
            <w:r>
              <w:rPr>
                <w:rFonts w:hint="eastAsia" w:ascii="仿宋" w:hAnsi="仿宋" w:eastAsia="仿宋" w:cs="仿宋"/>
                <w:sz w:val="20"/>
                <w:szCs w:val="20"/>
                <w:highlight w:val="none"/>
                <w:shd w:val="clear" w:color="auto" w:fill="auto"/>
                <w:lang w:val="en-US" w:eastAsia="zh-CN"/>
              </w:rPr>
              <w:t>331.92</w:t>
            </w:r>
            <w:r>
              <w:rPr>
                <w:rFonts w:hint="eastAsia" w:ascii="仿宋" w:hAnsi="仿宋" w:eastAsia="仿宋" w:cs="仿宋"/>
                <w:sz w:val="20"/>
                <w:szCs w:val="20"/>
                <w:highlight w:val="none"/>
                <w:shd w:val="clear" w:color="auto" w:fill="auto"/>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444.46</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0</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shd w:val="clear" w:color="FFFFFF" w:fill="D9D9D9"/>
              </w:rPr>
            </w:pPr>
            <w:r>
              <w:rPr>
                <w:rFonts w:hint="eastAsia" w:ascii="仿宋" w:hAnsi="仿宋" w:eastAsia="仿宋" w:cs="仿宋"/>
                <w:sz w:val="20"/>
                <w:szCs w:val="20"/>
                <w:highlight w:val="none"/>
                <w:shd w:val="clear" w:color="auto" w:fill="auto"/>
                <w:lang w:val="en-US" w:eastAsia="zh-CN"/>
              </w:rPr>
              <w:t>112.68</w:t>
            </w:r>
            <w:r>
              <w:rPr>
                <w:rFonts w:hint="eastAsia" w:ascii="仿宋" w:hAnsi="仿宋" w:eastAsia="仿宋" w:cs="仿宋"/>
                <w:sz w:val="20"/>
                <w:szCs w:val="20"/>
                <w:highlight w:val="none"/>
                <w:shd w:val="clear" w:color="auto" w:fill="auto"/>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182.08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shd w:val="clear" w:color="auto" w:fill="auto"/>
                <w:lang w:val="en-US" w:eastAsia="zh-CN"/>
              </w:rPr>
            </w:pPr>
            <w:r>
              <w:rPr>
                <w:rFonts w:hint="eastAsia" w:ascii="仿宋" w:hAnsi="仿宋" w:eastAsia="仿宋" w:cs="仿宋"/>
                <w:sz w:val="20"/>
                <w:szCs w:val="20"/>
                <w:highlight w:val="none"/>
                <w:shd w:val="clear" w:color="auto" w:fill="auto"/>
                <w:lang w:val="en-US" w:eastAsia="zh-CN"/>
              </w:rPr>
              <w:t>335.83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2022年单位指标结余结转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107.5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shd w:val="clear" w:color="auto" w:fill="auto"/>
                <w:lang w:val="en-US" w:eastAsia="zh-CN"/>
              </w:rPr>
            </w:pPr>
            <w:r>
              <w:rPr>
                <w:rFonts w:hint="eastAsia" w:ascii="仿宋" w:hAnsi="仿宋" w:eastAsia="仿宋" w:cs="仿宋"/>
                <w:sz w:val="20"/>
                <w:szCs w:val="20"/>
                <w:highlight w:val="none"/>
                <w:shd w:val="clear" w:color="auto" w:fill="auto"/>
                <w:lang w:val="en-US" w:eastAsia="zh-CN"/>
              </w:rPr>
              <w:t>52.7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金财工程</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shd w:val="clear" w:color="auto" w:fill="auto"/>
                <w:lang w:val="en-US" w:eastAsia="zh-CN"/>
              </w:rPr>
            </w:pPr>
            <w:r>
              <w:rPr>
                <w:rFonts w:hint="eastAsia" w:ascii="仿宋" w:hAnsi="仿宋" w:eastAsia="仿宋" w:cs="仿宋"/>
                <w:sz w:val="20"/>
                <w:szCs w:val="20"/>
                <w:highlight w:val="none"/>
                <w:shd w:val="clear" w:color="auto" w:fill="auto"/>
                <w:lang w:val="en-US" w:eastAsia="zh-CN"/>
              </w:rPr>
              <w:t>283.13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1381.11</w:t>
            </w:r>
            <w:r>
              <w:rPr>
                <w:rFonts w:hint="eastAsia" w:ascii="仿宋" w:hAnsi="仿宋" w:eastAsia="仿宋" w:cs="仿宋"/>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rPr>
            </w:pPr>
            <w:r>
              <w:rPr>
                <w:rFonts w:hint="eastAsia" w:ascii="仿宋" w:hAnsi="仿宋" w:eastAsia="仿宋" w:cs="仿宋"/>
                <w:sz w:val="20"/>
                <w:szCs w:val="20"/>
                <w:highlight w:val="none"/>
                <w:lang w:val="en-US" w:eastAsia="zh-CN"/>
              </w:rPr>
              <w:t>380.74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1637.2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color w:val="FF0000"/>
                <w:sz w:val="20"/>
                <w:szCs w:val="20"/>
                <w:highlight w:val="none"/>
              </w:rPr>
            </w:pPr>
            <w:r>
              <w:rPr>
                <w:rFonts w:hint="eastAsia" w:ascii="仿宋" w:hAnsi="仿宋" w:eastAsia="仿宋" w:cs="仿宋"/>
                <w:color w:val="auto"/>
                <w:sz w:val="20"/>
                <w:szCs w:val="20"/>
                <w:highlight w:val="none"/>
                <w:lang w:val="en-US" w:eastAsia="zh-CN"/>
              </w:rPr>
              <w:t>14.08</w:t>
            </w:r>
            <w:r>
              <w:rPr>
                <w:rFonts w:hint="eastAsia" w:ascii="仿宋" w:hAnsi="仿宋" w:eastAsia="仿宋" w:cs="仿宋"/>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color w:val="FF0000"/>
                <w:sz w:val="20"/>
                <w:szCs w:val="20"/>
                <w:highlight w:val="none"/>
              </w:rPr>
            </w:pPr>
            <w:r>
              <w:rPr>
                <w:rFonts w:hint="eastAsia" w:ascii="仿宋" w:hAnsi="仿宋" w:eastAsia="仿宋" w:cs="仿宋"/>
                <w:color w:val="auto"/>
                <w:sz w:val="20"/>
                <w:szCs w:val="20"/>
                <w:highlight w:val="none"/>
                <w:lang w:val="en-US" w:eastAsia="zh-CN"/>
              </w:rPr>
              <w:t>10</w:t>
            </w:r>
            <w:r>
              <w:rPr>
                <w:rFonts w:hint="eastAsia" w:ascii="仿宋" w:hAnsi="仿宋" w:eastAsia="仿宋" w:cs="仿宋"/>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22.56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color w:val="FF0000"/>
                <w:sz w:val="20"/>
                <w:szCs w:val="20"/>
                <w:highlight w:val="none"/>
              </w:rPr>
            </w:pPr>
            <w:r>
              <w:rPr>
                <w:rFonts w:hint="eastAsia" w:ascii="仿宋" w:hAnsi="仿宋" w:eastAsia="仿宋" w:cs="仿宋"/>
                <w:color w:val="auto"/>
                <w:sz w:val="20"/>
                <w:szCs w:val="20"/>
                <w:highlight w:val="none"/>
                <w:lang w:val="en-US" w:eastAsia="zh-CN"/>
              </w:rPr>
              <w:t>137.2</w:t>
            </w:r>
            <w:r>
              <w:rPr>
                <w:rFonts w:hint="eastAsia" w:ascii="仿宋" w:hAnsi="仿宋" w:eastAsia="仿宋" w:cs="仿宋"/>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color w:val="FF0000"/>
                <w:sz w:val="20"/>
                <w:szCs w:val="20"/>
                <w:highlight w:val="none"/>
              </w:rPr>
            </w:pPr>
            <w:r>
              <w:rPr>
                <w:rFonts w:hint="eastAsia" w:ascii="仿宋" w:hAnsi="仿宋" w:eastAsia="仿宋" w:cs="仿宋"/>
                <w:color w:val="auto"/>
                <w:sz w:val="20"/>
                <w:szCs w:val="20"/>
                <w:highlight w:val="none"/>
                <w:lang w:val="en-US" w:eastAsia="zh-CN"/>
              </w:rPr>
              <w:t>40</w:t>
            </w:r>
            <w:r>
              <w:rPr>
                <w:rFonts w:hint="eastAsia" w:ascii="仿宋" w:hAnsi="仿宋" w:eastAsia="仿宋" w:cs="仿宋"/>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176.16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color w:val="FF0000"/>
                <w:sz w:val="20"/>
                <w:szCs w:val="20"/>
                <w:highlight w:val="none"/>
              </w:rPr>
            </w:pPr>
            <w:r>
              <w:rPr>
                <w:rFonts w:hint="eastAsia" w:ascii="仿宋" w:hAnsi="仿宋" w:eastAsia="仿宋" w:cs="仿宋"/>
                <w:color w:val="auto"/>
                <w:sz w:val="20"/>
                <w:szCs w:val="20"/>
                <w:highlight w:val="none"/>
                <w:lang w:val="en-US" w:eastAsia="zh-CN"/>
              </w:rPr>
              <w:t>51.4</w:t>
            </w:r>
            <w:r>
              <w:rPr>
                <w:rFonts w:hint="eastAsia" w:ascii="仿宋" w:hAnsi="仿宋" w:eastAsia="仿宋" w:cs="仿宋"/>
                <w:color w:val="FF0000"/>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color w:val="FF0000"/>
                <w:sz w:val="20"/>
                <w:szCs w:val="20"/>
                <w:highlight w:val="none"/>
              </w:rPr>
            </w:pPr>
            <w:r>
              <w:rPr>
                <w:rFonts w:hint="eastAsia" w:ascii="仿宋" w:hAnsi="仿宋" w:eastAsia="仿宋" w:cs="仿宋"/>
                <w:color w:val="auto"/>
                <w:sz w:val="20"/>
                <w:szCs w:val="20"/>
                <w:highlight w:val="none"/>
                <w:lang w:val="en-US" w:eastAsia="zh-CN"/>
              </w:rPr>
              <w:t>10</w:t>
            </w:r>
            <w:r>
              <w:rPr>
                <w:rFonts w:hint="eastAsia" w:ascii="仿宋" w:hAnsi="仿宋" w:eastAsia="仿宋" w:cs="仿宋"/>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61.18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146.61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140</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121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4533.83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2681.48</w:t>
            </w:r>
            <w:r>
              <w:rPr>
                <w:rFonts w:hint="eastAsia" w:ascii="仿宋" w:hAnsi="仿宋" w:eastAsia="仿宋" w:cs="仿宋"/>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4765.71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1111" w:type="dxa"/>
            <w:tcBorders>
              <w:top w:val="nil"/>
              <w:left w:val="nil"/>
              <w:bottom w:val="single" w:color="auto" w:sz="4" w:space="0"/>
              <w:right w:val="single" w:color="auto" w:sz="4" w:space="0"/>
            </w:tcBorders>
            <w:noWrap w:val="0"/>
            <w:vAlign w:val="center"/>
          </w:tcPr>
          <w:p>
            <w:pPr>
              <w:widowControl/>
              <w:tabs>
                <w:tab w:val="left" w:pos="469"/>
              </w:tabs>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tabs>
                <w:tab w:val="left" w:pos="423"/>
              </w:tabs>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eastAsia="仿宋_GB2312"/>
                <w:color w:val="auto"/>
                <w:kern w:val="0"/>
                <w:sz w:val="20"/>
                <w:szCs w:val="20"/>
              </w:rPr>
              <w:t>　</w:t>
            </w:r>
            <w:r>
              <w:rPr>
                <w:rFonts w:hint="eastAsia" w:ascii="仿宋" w:hAnsi="仿宋" w:eastAsia="仿宋" w:cs="黑体"/>
                <w:bCs/>
                <w:sz w:val="24"/>
                <w:szCs w:val="24"/>
                <w:lang w:eastAsia="zh-CN"/>
              </w:rPr>
              <w:t>压减非必要非刚性支出，严格控制三公经费，</w:t>
            </w:r>
            <w:r>
              <w:rPr>
                <w:rFonts w:hint="eastAsia" w:ascii="仿宋" w:hAnsi="仿宋" w:eastAsia="仿宋" w:cs="黑体"/>
                <w:bCs/>
                <w:sz w:val="24"/>
                <w:szCs w:val="24"/>
              </w:rPr>
              <w:t>规范机关事务管理工作，降低运行成本，合理配置</w:t>
            </w:r>
            <w:r>
              <w:rPr>
                <w:rFonts w:hint="eastAsia" w:ascii="仿宋" w:hAnsi="仿宋" w:eastAsia="仿宋" w:cs="黑体"/>
                <w:bCs/>
                <w:sz w:val="24"/>
                <w:szCs w:val="24"/>
                <w:lang w:eastAsia="zh-CN"/>
              </w:rPr>
              <w:t>资金。</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岳阳市财政局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2681.48</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5416.09</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5416.09</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2681.48</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2677.48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61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任务1：</w:t>
            </w:r>
            <w:r>
              <w:rPr>
                <w:rFonts w:ascii="仿宋" w:hAnsi="仿宋" w:eastAsia="仿宋" w:cs="仿宋_GB2312"/>
                <w:color w:val="000000"/>
                <w:sz w:val="24"/>
              </w:rPr>
              <w:t>党建总揽</w:t>
            </w:r>
            <w:r>
              <w:rPr>
                <w:rFonts w:hint="eastAsia" w:ascii="仿宋" w:hAnsi="仿宋" w:eastAsia="仿宋" w:cs="仿宋_GB2312"/>
                <w:color w:val="000000"/>
                <w:sz w:val="24"/>
              </w:rPr>
              <w:t>作用充分发挥</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任务2：</w:t>
            </w:r>
            <w:r>
              <w:rPr>
                <w:rFonts w:hint="eastAsia" w:ascii="仿宋" w:hAnsi="仿宋" w:eastAsia="仿宋" w:cs="仿宋_GB2312"/>
                <w:color w:val="000000"/>
                <w:sz w:val="24"/>
                <w:lang w:eastAsia="zh-CN"/>
              </w:rPr>
              <w:t>推动理财能力全面提升</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任务3：</w:t>
            </w:r>
            <w:r>
              <w:rPr>
                <w:rFonts w:hint="eastAsia" w:ascii="仿宋" w:hAnsi="仿宋" w:eastAsia="仿宋" w:cs="仿宋_GB2312"/>
                <w:color w:val="000000"/>
                <w:sz w:val="24"/>
                <w:lang w:eastAsia="zh-CN"/>
              </w:rPr>
              <w:t>提高部门支出服务水平</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任务4：</w:t>
            </w:r>
            <w:r>
              <w:rPr>
                <w:rFonts w:hint="eastAsia" w:ascii="仿宋" w:hAnsi="仿宋" w:eastAsia="仿宋" w:cs="仿宋_GB2312"/>
                <w:color w:val="000000"/>
                <w:sz w:val="24"/>
                <w:lang w:eastAsia="zh-CN"/>
              </w:rPr>
              <w:t>谋求风险防控提升效能</w:t>
            </w:r>
          </w:p>
          <w:p>
            <w:pPr>
              <w:autoSpaceDN w:val="0"/>
              <w:spacing w:line="320" w:lineRule="exact"/>
              <w:jc w:val="left"/>
              <w:textAlignment w:val="center"/>
              <w:rPr>
                <w:rFonts w:hint="eastAsia" w:ascii="仿宋_GB2312" w:hAnsi="仿宋_GB2312" w:eastAsia="仿宋_GB2312" w:cs="仿宋_GB2312"/>
                <w:color w:val="000000"/>
                <w:sz w:val="20"/>
                <w:szCs w:val="20"/>
                <w:highlight w:val="none"/>
              </w:rPr>
            </w:pPr>
            <w:r>
              <w:rPr>
                <w:rFonts w:hint="eastAsia" w:ascii="仿宋" w:hAnsi="仿宋" w:eastAsia="仿宋" w:cs="仿宋_GB2312"/>
                <w:color w:val="000000"/>
                <w:sz w:val="24"/>
              </w:rPr>
              <w:t>任务5：创先争优收获丰硕成果</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nil"/>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0"/>
                <w:szCs w:val="20"/>
                <w:highlight w:val="none"/>
                <w:lang w:eastAsia="zh-CN"/>
              </w:rPr>
            </w:pPr>
            <w:r>
              <w:rPr>
                <w:rFonts w:hint="eastAsia" w:ascii="仿宋" w:hAnsi="仿宋" w:eastAsia="仿宋" w:cs="仿宋_GB2312"/>
                <w:color w:val="000000"/>
                <w:sz w:val="24"/>
                <w:lang w:eastAsia="zh-CN"/>
              </w:rPr>
              <w:t>已基本完成</w:t>
            </w:r>
          </w:p>
        </w:tc>
      </w:tr>
      <w:tr>
        <w:tblPrEx>
          <w:tblCellMar>
            <w:top w:w="0" w:type="dxa"/>
            <w:left w:w="108" w:type="dxa"/>
            <w:bottom w:w="0" w:type="dxa"/>
            <w:right w:w="108" w:type="dxa"/>
          </w:tblCellMar>
        </w:tblPrEx>
        <w:trPr>
          <w:trHeight w:val="338"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75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工作对接单位数量</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按实际工作情况对接</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工作正常运行率</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正常运行率达</w:t>
            </w: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资金拨付及时</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年底前发放到位</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年底前发放到位</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节约使用工作经费</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工作经费≤上年同期</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工作经费不高于上年同期</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对社会发展可能造成的负面影响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对自然生态环境可能造成的负面影响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6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反向促进经济发展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经济平稳发展</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经济水平得以保持稳定并有所上升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疫情结束后经济缓慢复苏但仍有影响</w:t>
            </w: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预算单位工作正常推进</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正常推进</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预算单位工作正常推进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生态环境改善情况</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实现可持续发展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促进工作持续运转</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推进可持续性</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单位工作可持续运转</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90" w:hRule="atLeast"/>
          <w:jc w:val="center"/>
        </w:trPr>
        <w:tc>
          <w:tcPr>
            <w:tcW w:w="1080" w:type="dxa"/>
            <w:vMerge w:val="continue"/>
            <w:tcBorders>
              <w:top w:val="single" w:color="auto" w:sz="4" w:space="0"/>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预算单位满意度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绝大部分人满意</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eastAsia="zh-CN"/>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eastAsia="zh-CN"/>
        </w:rPr>
        <w:t>（一）</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eastAsia="仿宋_GB2312"/>
                <w:color w:val="auto"/>
                <w:kern w:val="0"/>
                <w:sz w:val="24"/>
                <w:szCs w:val="24"/>
              </w:rPr>
              <w:t>按项目管理的工资福利支出</w:t>
            </w:r>
            <w:r>
              <w:rPr>
                <w:rFonts w:hint="eastAsia" w:eastAsia="仿宋_GB2312"/>
                <w:color w:val="auto"/>
                <w:kern w:val="0"/>
                <w:sz w:val="24"/>
                <w:szCs w:val="24"/>
                <w:lang w:eastAsia="zh-CN"/>
              </w:rPr>
              <w:t>、</w:t>
            </w:r>
            <w:r>
              <w:rPr>
                <w:rFonts w:hint="eastAsia" w:eastAsia="仿宋_GB2312"/>
                <w:color w:val="auto"/>
                <w:kern w:val="0"/>
                <w:sz w:val="24"/>
                <w:szCs w:val="24"/>
              </w:rPr>
              <w:t>商品和服务支出</w:t>
            </w:r>
            <w:r>
              <w:rPr>
                <w:rFonts w:hint="eastAsia" w:eastAsia="仿宋_GB2312"/>
                <w:color w:val="auto"/>
                <w:kern w:val="0"/>
                <w:sz w:val="24"/>
                <w:szCs w:val="24"/>
                <w:lang w:eastAsia="zh-CN"/>
              </w:rPr>
              <w:t>及对个人和家庭的补助</w:t>
            </w:r>
            <w:r>
              <w:rPr>
                <w:rFonts w:hint="eastAsia" w:eastAsia="仿宋_GB2312"/>
                <w:color w:val="auto"/>
                <w:kern w:val="0"/>
                <w:sz w:val="24"/>
                <w:szCs w:val="24"/>
              </w:rPr>
              <w:t>支出</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0"/>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0"/>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780.43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0"/>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780.43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67"/>
              </w:tabs>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64"/>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0"/>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780.43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0"/>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任务1：</w:t>
            </w:r>
            <w:r>
              <w:rPr>
                <w:rFonts w:ascii="仿宋" w:hAnsi="仿宋" w:eastAsia="仿宋" w:cs="仿宋_GB2312"/>
                <w:color w:val="000000"/>
                <w:sz w:val="24"/>
              </w:rPr>
              <w:t>党建总揽</w:t>
            </w:r>
            <w:r>
              <w:rPr>
                <w:rFonts w:hint="eastAsia" w:ascii="仿宋" w:hAnsi="仿宋" w:eastAsia="仿宋" w:cs="仿宋_GB2312"/>
                <w:color w:val="000000"/>
                <w:sz w:val="24"/>
              </w:rPr>
              <w:t>作用充分发挥</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任务2：</w:t>
            </w:r>
            <w:r>
              <w:rPr>
                <w:rFonts w:hint="eastAsia" w:ascii="仿宋" w:hAnsi="仿宋" w:eastAsia="仿宋" w:cs="仿宋_GB2312"/>
                <w:color w:val="000000"/>
                <w:sz w:val="24"/>
                <w:lang w:eastAsia="zh-CN"/>
              </w:rPr>
              <w:t>推动理财能力全面提升</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任务3：</w:t>
            </w:r>
            <w:r>
              <w:rPr>
                <w:rFonts w:hint="eastAsia" w:ascii="仿宋" w:hAnsi="仿宋" w:eastAsia="仿宋" w:cs="仿宋_GB2312"/>
                <w:color w:val="000000"/>
                <w:sz w:val="24"/>
                <w:lang w:eastAsia="zh-CN"/>
              </w:rPr>
              <w:t>提高部门支出服务水平</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任务4：</w:t>
            </w:r>
            <w:r>
              <w:rPr>
                <w:rFonts w:hint="eastAsia" w:ascii="仿宋" w:hAnsi="仿宋" w:eastAsia="仿宋" w:cs="仿宋_GB2312"/>
                <w:color w:val="000000"/>
                <w:sz w:val="24"/>
                <w:lang w:eastAsia="zh-CN"/>
              </w:rPr>
              <w:t>谋求风险防控提升效能</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 w:hAnsi="仿宋" w:eastAsia="仿宋" w:cs="仿宋_GB2312"/>
                <w:color w:val="000000"/>
                <w:sz w:val="24"/>
              </w:rPr>
              <w:t>任务5：创先争优收获丰硕成果</w:t>
            </w:r>
            <w:r>
              <w:rPr>
                <w:rFonts w:eastAsia="仿宋_GB2312"/>
                <w:color w:val="auto"/>
                <w:kern w:val="0"/>
                <w:szCs w:val="21"/>
              </w:rPr>
              <w:t>　</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已基本完成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工作对接单位数量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按实际工作情况对接</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工作正常运行率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正常运行率达</w:t>
            </w: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资金拨付及时</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年底前发放到位</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年底前发放到位</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节约使用工作经费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工作经费≤上年同期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工作经费不高于上年同期</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对自然生态环境可能造成的负面影响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反向促进经济发展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经济平稳发展</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经济水平得以保持稳定并有所上升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疫情结束后经济缓慢复苏但仍有影响</w:t>
            </w: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预算单位工作正常推进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正常推进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预算单位工作正常推进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4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default" w:ascii="Times New Roman" w:hAnsi="Times New Roman" w:eastAsia="仿宋_GB2312" w:cs="Times New Roman"/>
          <w:sz w:val="22"/>
          <w:szCs w:val="22"/>
          <w:highlight w:val="none"/>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lang w:eastAsia="zh-CN"/>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r>
        <w:rPr>
          <w:rFonts w:hint="eastAsia" w:ascii="方正小标宋简体" w:hAnsi="方正小标宋简体" w:eastAsia="方正小标宋简体" w:cs="方正小标宋简体"/>
          <w:color w:val="000000"/>
          <w:sz w:val="36"/>
          <w:szCs w:val="36"/>
          <w:highlight w:val="none"/>
          <w:lang w:eastAsia="zh-CN"/>
        </w:rPr>
        <w:t>（二）</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金财工程</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80"/>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32"/>
              </w:tabs>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283.13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74"/>
              </w:tabs>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283.13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67"/>
              </w:tabs>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2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64"/>
              </w:tabs>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28"/>
              </w:tabs>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283.13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autoSpaceDN w:val="0"/>
              <w:spacing w:line="320" w:lineRule="exact"/>
              <w:jc w:val="left"/>
              <w:textAlignment w:val="center"/>
              <w:rPr>
                <w:rFonts w:hint="eastAsia" w:ascii="仿宋" w:hAnsi="仿宋" w:eastAsia="仿宋" w:cs="仿宋_GB2312"/>
                <w:color w:val="000000"/>
                <w:sz w:val="24"/>
              </w:rPr>
            </w:pPr>
            <w:r>
              <w:rPr>
                <w:rFonts w:hint="eastAsia" w:ascii="仿宋" w:hAnsi="仿宋" w:eastAsia="仿宋" w:cs="仿宋_GB2312"/>
                <w:color w:val="000000"/>
                <w:sz w:val="24"/>
              </w:rPr>
              <w:t>任务1：</w:t>
            </w:r>
            <w:r>
              <w:rPr>
                <w:rFonts w:ascii="仿宋" w:hAnsi="仿宋" w:eastAsia="仿宋" w:cs="仿宋_GB2312"/>
                <w:color w:val="000000"/>
                <w:sz w:val="24"/>
              </w:rPr>
              <w:t>党建总揽</w:t>
            </w:r>
            <w:r>
              <w:rPr>
                <w:rFonts w:hint="eastAsia" w:ascii="仿宋" w:hAnsi="仿宋" w:eastAsia="仿宋" w:cs="仿宋_GB2312"/>
                <w:color w:val="000000"/>
                <w:sz w:val="24"/>
              </w:rPr>
              <w:t>作用充分发挥</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任务2：</w:t>
            </w:r>
            <w:r>
              <w:rPr>
                <w:rFonts w:hint="eastAsia" w:ascii="仿宋" w:hAnsi="仿宋" w:eastAsia="仿宋" w:cs="仿宋_GB2312"/>
                <w:color w:val="000000"/>
                <w:sz w:val="24"/>
                <w:lang w:eastAsia="zh-CN"/>
              </w:rPr>
              <w:t>推动理财能力全面提升</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任务3：</w:t>
            </w:r>
            <w:r>
              <w:rPr>
                <w:rFonts w:hint="eastAsia" w:ascii="仿宋" w:hAnsi="仿宋" w:eastAsia="仿宋" w:cs="仿宋_GB2312"/>
                <w:color w:val="000000"/>
                <w:sz w:val="24"/>
                <w:lang w:eastAsia="zh-CN"/>
              </w:rPr>
              <w:t>提高部门支出服务水平</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任务4：</w:t>
            </w:r>
            <w:r>
              <w:rPr>
                <w:rFonts w:hint="eastAsia" w:ascii="仿宋" w:hAnsi="仿宋" w:eastAsia="仿宋" w:cs="仿宋_GB2312"/>
                <w:color w:val="000000"/>
                <w:sz w:val="24"/>
                <w:lang w:eastAsia="zh-CN"/>
              </w:rPr>
              <w:t>谋求风险防控提升效能</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 w:hAnsi="仿宋" w:eastAsia="仿宋" w:cs="仿宋_GB2312"/>
                <w:color w:val="000000"/>
                <w:sz w:val="24"/>
              </w:rPr>
              <w:t>任务5：创先争优收获丰硕成果</w:t>
            </w:r>
            <w:r>
              <w:rPr>
                <w:rFonts w:eastAsia="仿宋_GB2312"/>
                <w:color w:val="auto"/>
                <w:kern w:val="0"/>
                <w:szCs w:val="21"/>
              </w:rPr>
              <w:t>　</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已基本完成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工作对接单位数量</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按实际工作情况对接</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工作正常运行率</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正常运行率达</w:t>
            </w:r>
            <w:r>
              <w:rPr>
                <w:rFonts w:hint="eastAsia" w:ascii="仿宋_GB2312" w:hAnsi="仿宋_GB2312" w:eastAsia="仿宋_GB2312" w:cs="仿宋_GB2312"/>
                <w:color w:val="000000"/>
                <w:sz w:val="20"/>
                <w:szCs w:val="20"/>
                <w:highlight w:val="none"/>
                <w:lang w:val="en-US" w:eastAsia="zh-CN"/>
              </w:rPr>
              <w:t>100%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资金拨付及时</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年底前发放到位</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年底前发放到位</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节约使用工作经费</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工作经费≤上年同期</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工作经费不高于上年同期</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20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对社会发展可能造成的负面影响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对自然生态环境可能造成的负面影响</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反向促进经济发展</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经济平稳发展</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经济水平得以保持稳定并有所上升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疫情结束后经济缓慢复苏但仍有影响</w:t>
            </w:r>
          </w:p>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预算单位工作正常推进</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正常推进</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预算单位工作正常推进</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4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生态环境改善情况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实现可持续发展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Times New Roman" w:hAnsi="Times New Roman" w:eastAsia="仿宋_GB2312" w:cs="Times New Roman"/>
          <w:sz w:val="22"/>
          <w:szCs w:val="22"/>
          <w:highlight w:val="none"/>
          <w:lang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9ACD2"/>
    <w:multiLevelType w:val="singleLevel"/>
    <w:tmpl w:val="A609ACD2"/>
    <w:lvl w:ilvl="0" w:tentative="0">
      <w:start w:val="5"/>
      <w:numFmt w:val="chineseCounting"/>
      <w:suff w:val="nothing"/>
      <w:lvlText w:val="%1、"/>
      <w:lvlJc w:val="left"/>
      <w:rPr>
        <w:rFonts w:hint="eastAsia"/>
      </w:rPr>
    </w:lvl>
  </w:abstractNum>
  <w:abstractNum w:abstractNumId="1">
    <w:nsid w:val="A6B39EFC"/>
    <w:multiLevelType w:val="singleLevel"/>
    <w:tmpl w:val="A6B39EFC"/>
    <w:lvl w:ilvl="0" w:tentative="0">
      <w:start w:val="2"/>
      <w:numFmt w:val="chineseCounting"/>
      <w:suff w:val="nothing"/>
      <w:lvlText w:val="（%1）"/>
      <w:lvlJc w:val="left"/>
      <w:rPr>
        <w:rFonts w:hint="eastAsia"/>
      </w:rPr>
    </w:lvl>
  </w:abstractNum>
  <w:abstractNum w:abstractNumId="2">
    <w:nsid w:val="57DEC84E"/>
    <w:multiLevelType w:val="singleLevel"/>
    <w:tmpl w:val="57DEC84E"/>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abstractNum w:abstractNumId="4">
    <w:nsid w:val="5F94A8FB"/>
    <w:multiLevelType w:val="singleLevel"/>
    <w:tmpl w:val="5F94A8FB"/>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MjI3ZDEwZDliMDU1ZTI2OTY1YWVjOTI3OWM2NmEifQ=="/>
    <w:docVar w:name="KSO_WPS_MARK_KEY" w:val="bfe9cd04-3411-4cc0-ab34-826c6b63a1fb"/>
  </w:docVars>
  <w:rsids>
    <w:rsidRoot w:val="59886344"/>
    <w:rsid w:val="027F790B"/>
    <w:rsid w:val="0316680D"/>
    <w:rsid w:val="038C575E"/>
    <w:rsid w:val="039E0EA8"/>
    <w:rsid w:val="03C3303C"/>
    <w:rsid w:val="03EB50FA"/>
    <w:rsid w:val="05B34EE2"/>
    <w:rsid w:val="062D5A19"/>
    <w:rsid w:val="06B351CA"/>
    <w:rsid w:val="0A8F78F7"/>
    <w:rsid w:val="0DEB4B9C"/>
    <w:rsid w:val="14977CD7"/>
    <w:rsid w:val="14CD534B"/>
    <w:rsid w:val="1659344F"/>
    <w:rsid w:val="17B06CEB"/>
    <w:rsid w:val="1B7C407F"/>
    <w:rsid w:val="1BEF5A16"/>
    <w:rsid w:val="2033100A"/>
    <w:rsid w:val="25D62618"/>
    <w:rsid w:val="271B6F16"/>
    <w:rsid w:val="27534337"/>
    <w:rsid w:val="277B62F7"/>
    <w:rsid w:val="28D91E15"/>
    <w:rsid w:val="297E4A61"/>
    <w:rsid w:val="2A0518D4"/>
    <w:rsid w:val="2B944C23"/>
    <w:rsid w:val="2D067AAB"/>
    <w:rsid w:val="2D155D20"/>
    <w:rsid w:val="2EDE6B1B"/>
    <w:rsid w:val="32E85B31"/>
    <w:rsid w:val="3BAE48A3"/>
    <w:rsid w:val="3D092127"/>
    <w:rsid w:val="3E0E6961"/>
    <w:rsid w:val="3E57294E"/>
    <w:rsid w:val="44D257E6"/>
    <w:rsid w:val="4976558A"/>
    <w:rsid w:val="4A8F382E"/>
    <w:rsid w:val="4B590D96"/>
    <w:rsid w:val="4C1D766D"/>
    <w:rsid w:val="4DBF63DE"/>
    <w:rsid w:val="4F147DB1"/>
    <w:rsid w:val="4F574BAF"/>
    <w:rsid w:val="4F6C2FC0"/>
    <w:rsid w:val="4FE1061B"/>
    <w:rsid w:val="585D299D"/>
    <w:rsid w:val="59886344"/>
    <w:rsid w:val="59886A13"/>
    <w:rsid w:val="5B0C164B"/>
    <w:rsid w:val="5D90230F"/>
    <w:rsid w:val="5E0302A0"/>
    <w:rsid w:val="5FCC5883"/>
    <w:rsid w:val="5FEB3AC9"/>
    <w:rsid w:val="62315E42"/>
    <w:rsid w:val="627E7362"/>
    <w:rsid w:val="6315710D"/>
    <w:rsid w:val="6684310E"/>
    <w:rsid w:val="6FBB0399"/>
    <w:rsid w:val="701C11EC"/>
    <w:rsid w:val="736E1299"/>
    <w:rsid w:val="79D60A88"/>
    <w:rsid w:val="7A10523A"/>
    <w:rsid w:val="7C9F2405"/>
    <w:rsid w:val="7D6531A0"/>
    <w:rsid w:val="7E2933D7"/>
    <w:rsid w:val="7EB20BE3"/>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Web)"/>
    <w:basedOn w:val="1"/>
    <w:qFormat/>
    <w:uiPriority w:val="99"/>
    <w:pPr>
      <w:spacing w:beforeAutospacing="1" w:afterAutospacing="1"/>
      <w:jc w:val="left"/>
    </w:pPr>
    <w:rPr>
      <w:kern w:val="0"/>
      <w:sz w:val="24"/>
    </w:rPr>
  </w:style>
  <w:style w:type="paragraph" w:customStyle="1" w:styleId="6">
    <w:name w:val="列出段落1"/>
    <w:basedOn w:val="1"/>
    <w:qFormat/>
    <w:uiPriority w:val="34"/>
    <w:pPr>
      <w:ind w:firstLine="420" w:firstLineChars="200"/>
    </w:p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6626</Words>
  <Characters>7186</Characters>
  <Lines>0</Lines>
  <Paragraphs>0</Paragraphs>
  <TotalTime>1</TotalTime>
  <ScaleCrop>false</ScaleCrop>
  <LinksUpToDate>false</LinksUpToDate>
  <CharactersWithSpaces>7581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雨糖科技</cp:lastModifiedBy>
  <cp:lastPrinted>2024-06-24T01:24:00Z</cp:lastPrinted>
  <dcterms:modified xsi:type="dcterms:W3CDTF">2024-09-24T07:02:32Z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F04A89203C234FC685268A111ED208AA_13</vt:lpwstr>
  </property>
</Properties>
</file>