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岳阳市司法局</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岳阳市司法局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pStyle w:val="8"/>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8"/>
        <w:rPr>
          <w:rFonts w:hint="eastAsia" w:ascii="方正小标宋_GBK" w:hAnsi="方正小标宋_GBK" w:eastAsia="方正小标宋_GBK" w:cs="方正小标宋_GBK"/>
          <w:sz w:val="84"/>
          <w:szCs w:val="84"/>
        </w:rPr>
      </w:pPr>
    </w:p>
    <w:p>
      <w:pPr>
        <w:pStyle w:val="5"/>
        <w:rPr>
          <w:rFonts w:hint="eastAsia" w:ascii="方正小标宋_GBK" w:hAnsi="方正小标宋_GBK" w:eastAsia="方正小标宋_GBK" w:cs="方正小标宋_GBK"/>
          <w:sz w:val="84"/>
          <w:szCs w:val="84"/>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承担全面依法治市重大问题的政策研究</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承担统筹规划立法工作</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负责起草或者组织起草有关地方性法规、规章草案</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承办市政府规章的解释、立法后评估工作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指导全市规范性文件管理有关工作，承担市政府规范性文件送审稿的合法性审查工作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承担统筹推进法治政府建设工作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负责对政府合同订立工作进行监督和指导</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承担统筹规划全市法治社会建设工作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指导、管理社区矫正工作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指导、监督本系统强制隔离戒毒执行和戒毒康复工作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拟订公共法律服务体系建设规划并指导实施</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组织全市国家统一法律职业资格考试</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负责全市法治对外合作工作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负责本系统枪支、弹药、服装和警车管理工作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规划、协调、指导法治人才队伍建设相关工作</w:t>
      </w:r>
    </w:p>
    <w:p>
      <w:pPr>
        <w:keepNext/>
        <w:keepLines/>
        <w:shd w:val="clear" w:color="auto" w:fill="FFFFFF"/>
        <w:spacing w:beforeLines="0" w:afterLines="0"/>
        <w:jc w:val="left"/>
        <w:rPr>
          <w:rFonts w:hint="eastAsia" w:ascii="Times New Roman" w:hAnsi="Times New Roman" w:eastAsia="仿宋_GB2312" w:cs="仿宋_GB2312"/>
          <w:sz w:val="32"/>
          <w:szCs w:val="32"/>
        </w:rPr>
      </w:pPr>
      <w:r>
        <w:rPr>
          <w:rFonts w:hint="eastAsia" w:ascii="宋体" w:hAnsi="宋体" w:cs="宋体"/>
          <w:color w:val="000000"/>
          <w:sz w:val="30"/>
          <w:szCs w:val="30"/>
          <w:shd w:val="clear" w:color="auto" w:fill="FFFFFF"/>
          <w:lang w:eastAsia="zh-CN"/>
        </w:rPr>
        <w:t>（</w:t>
      </w:r>
      <w:r>
        <w:rPr>
          <w:rFonts w:hint="eastAsia" w:ascii="宋体" w:hAnsi="宋体" w:cs="宋体"/>
          <w:color w:val="000000"/>
          <w:sz w:val="30"/>
          <w:szCs w:val="30"/>
          <w:shd w:val="clear" w:color="auto" w:fill="FFFFFF"/>
          <w:lang w:val="en-US" w:eastAsia="zh-CN"/>
        </w:rPr>
        <w:t>十六</w:t>
      </w:r>
      <w:r>
        <w:rPr>
          <w:rFonts w:hint="eastAsia" w:ascii="宋体" w:hAnsi="宋体" w:cs="宋体"/>
          <w:color w:val="000000"/>
          <w:sz w:val="30"/>
          <w:szCs w:val="30"/>
          <w:shd w:val="clear" w:color="auto" w:fill="FFFFFF"/>
          <w:lang w:eastAsia="zh-CN"/>
        </w:rPr>
        <w:t>）完成市委、市政府交办的其他事项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9"/>
        <w:widowControl/>
        <w:shd w:val="clear" w:color="auto" w:fill="FFFFFF"/>
        <w:spacing w:beforeAutospacing="0" w:afterAutospacing="0" w:line="33" w:lineRule="atLeast"/>
        <w:ind w:firstLine="42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pStyle w:val="9"/>
        <w:widowControl/>
        <w:shd w:val="clear" w:color="auto" w:fill="FFFFFF"/>
        <w:spacing w:beforeAutospacing="0" w:afterAutospacing="0" w:line="33" w:lineRule="atLeast"/>
        <w:ind w:firstLine="420"/>
        <w:rPr>
          <w:rFonts w:hint="eastAsia"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根据编委核定，我局内设</w:t>
      </w:r>
      <w:r>
        <w:rPr>
          <w:rFonts w:hint="eastAsia" w:ascii="宋体" w:hAnsi="宋体" w:cs="宋体"/>
          <w:color w:val="000000"/>
          <w:sz w:val="30"/>
          <w:szCs w:val="30"/>
          <w:shd w:val="clear" w:color="auto" w:fill="FFFFFF"/>
          <w:lang w:val="en-US" w:eastAsia="zh-CN"/>
        </w:rPr>
        <w:t>22</w:t>
      </w:r>
      <w:r>
        <w:rPr>
          <w:rFonts w:hint="eastAsia" w:ascii="宋体" w:hAnsi="宋体" w:cs="宋体"/>
          <w:color w:val="000000"/>
          <w:sz w:val="30"/>
          <w:szCs w:val="30"/>
          <w:shd w:val="clear" w:color="auto" w:fill="FFFFFF"/>
        </w:rPr>
        <w:t>个科室，所属二级机构2个</w:t>
      </w:r>
      <w:r>
        <w:rPr>
          <w:rFonts w:hint="eastAsia" w:ascii="宋体" w:hAnsi="宋体" w:cs="宋体"/>
          <w:color w:val="000000"/>
          <w:sz w:val="30"/>
          <w:szCs w:val="30"/>
          <w:shd w:val="clear" w:color="auto" w:fill="FFFFFF"/>
          <w:lang w:eastAsia="zh-CN"/>
        </w:rPr>
        <w:t>，</w:t>
      </w:r>
      <w:r>
        <w:rPr>
          <w:rFonts w:hint="eastAsia" w:ascii="宋体" w:hAnsi="宋体" w:cs="宋体"/>
          <w:color w:val="000000"/>
          <w:sz w:val="30"/>
          <w:szCs w:val="30"/>
          <w:shd w:val="clear" w:color="auto" w:fill="FFFFFF"/>
        </w:rPr>
        <w:t>内设科室分别是：办公室、</w:t>
      </w:r>
      <w:r>
        <w:rPr>
          <w:rFonts w:hint="eastAsia" w:ascii="宋体" w:hAnsi="宋体" w:cs="宋体"/>
          <w:color w:val="000000"/>
          <w:sz w:val="30"/>
          <w:szCs w:val="30"/>
          <w:shd w:val="clear" w:color="auto" w:fill="FFFFFF"/>
          <w:lang w:eastAsia="zh-CN"/>
        </w:rPr>
        <w:t>法治调研与督察科、立法科、规范性文件管理科、政府合同管理科、行政复议一科、行政复议二科、行政应诉科、行政执法协调监督科、人民参与和促进法治科、社区矫正管理科、戒毒管理科、公共法律服务管理科、律师工作科、装备财务保障科、组织干部科、人事警务科、队伍建设指导科、机关党委、离退休人员管理服务科、工会、机关纪委。</w:t>
      </w:r>
    </w:p>
    <w:p>
      <w:pPr>
        <w:pStyle w:val="9"/>
        <w:widowControl/>
        <w:shd w:val="clear" w:color="auto" w:fill="FFFFFF"/>
        <w:spacing w:beforeAutospacing="0" w:afterAutospacing="0" w:line="33" w:lineRule="atLeast"/>
        <w:ind w:firstLine="420"/>
        <w:rPr>
          <w:rFonts w:hint="eastAsia" w:ascii="Times New Roman" w:hAnsi="Times New Roman" w:eastAsia="仿宋_GB2312" w:cs="仿宋_GB2312"/>
          <w:bCs/>
          <w:kern w:val="0"/>
          <w:sz w:val="32"/>
          <w:szCs w:val="32"/>
        </w:rPr>
      </w:pPr>
      <w:r>
        <w:rPr>
          <w:rFonts w:hint="eastAsia" w:ascii="宋体" w:hAnsi="宋体" w:cs="宋体"/>
          <w:color w:val="000000"/>
          <w:sz w:val="30"/>
          <w:szCs w:val="30"/>
          <w:shd w:val="clear" w:color="auto" w:fill="FFFFFF"/>
        </w:rPr>
        <w:t>所属二级机构分别是岳阳市强制隔离戒毒所、岳阳市法律援助中心。</w:t>
      </w:r>
    </w:p>
    <w:p>
      <w:pPr>
        <w:widowControl/>
        <w:numPr>
          <w:ilvl w:val="0"/>
          <w:numId w:val="3"/>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3" w:lineRule="atLeast"/>
        <w:ind w:firstLine="600" w:firstLineChars="200"/>
        <w:textAlignment w:val="auto"/>
        <w:rPr>
          <w:rFonts w:hint="eastAsia" w:ascii="宋体" w:hAnsi="宋体" w:eastAsia="宋体"/>
          <w:bCs/>
          <w:kern w:val="0"/>
          <w:sz w:val="32"/>
          <w:szCs w:val="32"/>
          <w:lang w:eastAsia="zh-CN"/>
        </w:rPr>
      </w:pPr>
      <w:r>
        <w:rPr>
          <w:rFonts w:hint="eastAsia" w:ascii="宋体" w:hAnsi="宋体" w:cs="宋体"/>
          <w:color w:val="000000"/>
          <w:sz w:val="30"/>
          <w:szCs w:val="30"/>
          <w:shd w:val="clear" w:color="auto" w:fill="FFFFFF"/>
          <w:lang w:eastAsia="zh-CN"/>
        </w:rPr>
        <w:t>岳阳市司法局</w:t>
      </w:r>
      <w:r>
        <w:rPr>
          <w:rFonts w:hint="eastAsia" w:ascii="宋体" w:hAnsi="宋体" w:cs="宋体"/>
          <w:color w:val="000000"/>
          <w:sz w:val="30"/>
          <w:szCs w:val="30"/>
          <w:shd w:val="clear" w:color="auto" w:fill="FFFFFF"/>
        </w:rPr>
        <w:t>202</w:t>
      </w:r>
      <w:r>
        <w:rPr>
          <w:rFonts w:hint="eastAsia" w:ascii="宋体" w:hAnsi="宋体" w:cs="宋体"/>
          <w:color w:val="000000"/>
          <w:sz w:val="30"/>
          <w:szCs w:val="30"/>
          <w:shd w:val="clear" w:color="auto" w:fill="FFFFFF"/>
          <w:lang w:val="en-US" w:eastAsia="zh-CN"/>
        </w:rPr>
        <w:t>3</w:t>
      </w:r>
      <w:r>
        <w:rPr>
          <w:rFonts w:hint="eastAsia" w:ascii="宋体" w:hAnsi="宋体" w:cs="宋体"/>
          <w:color w:val="000000"/>
          <w:sz w:val="30"/>
          <w:szCs w:val="30"/>
          <w:shd w:val="clear" w:color="auto" w:fill="FFFFFF"/>
        </w:rPr>
        <w:t>年部门决算汇总公开单位构成包括：</w:t>
      </w:r>
      <w:r>
        <w:rPr>
          <w:rFonts w:hint="eastAsia" w:ascii="宋体" w:hAnsi="宋体"/>
          <w:bCs/>
          <w:kern w:val="0"/>
          <w:sz w:val="32"/>
          <w:szCs w:val="32"/>
          <w:lang w:eastAsia="zh-CN"/>
        </w:rPr>
        <w:t>岳阳市司法局</w:t>
      </w:r>
      <w:r>
        <w:rPr>
          <w:rFonts w:hint="eastAsia" w:ascii="宋体" w:hAnsi="宋体"/>
          <w:bCs/>
          <w:kern w:val="0"/>
          <w:sz w:val="32"/>
          <w:szCs w:val="32"/>
        </w:rPr>
        <w:t>本级</w:t>
      </w:r>
      <w:r>
        <w:rPr>
          <w:rFonts w:hint="eastAsia" w:ascii="宋体" w:hAnsi="宋体"/>
          <w:bCs/>
          <w:kern w:val="0"/>
          <w:sz w:val="32"/>
          <w:szCs w:val="32"/>
          <w:lang w:eastAsia="zh-CN"/>
        </w:rPr>
        <w:t>、岳阳市法律援助中心、岳阳市强制隔离戒毒所。</w:t>
      </w:r>
    </w:p>
    <w:p>
      <w:pPr>
        <w:pStyle w:val="9"/>
        <w:widowControl/>
        <w:shd w:val="clear" w:color="auto" w:fill="FFFFFF"/>
        <w:spacing w:beforeAutospacing="0" w:afterAutospacing="0" w:line="33" w:lineRule="atLeast"/>
        <w:ind w:firstLine="420"/>
        <w:rPr>
          <w:rFonts w:hint="eastAsia" w:ascii="宋体" w:hAnsi="宋体" w:cs="宋体"/>
          <w:color w:val="000000"/>
          <w:sz w:val="30"/>
          <w:szCs w:val="30"/>
          <w:shd w:val="clear" w:color="auto" w:fill="FFFFFF"/>
        </w:rPr>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9440.62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2118.73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岳阳市强制隔离戒毒所迁建支出。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9406.95</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9127.18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279.77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9367.11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5072.79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4294.32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9127.18</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2199.45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岳阳市强制隔离戒毒所迁建支出。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9127.18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2199.45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岳阳市强制隔离戒毒所迁建支出。</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9127.18</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一般公共服务（类）支出</w:t>
      </w:r>
      <w:r>
        <w:rPr>
          <w:rFonts w:hint="eastAsia" w:ascii="Times New Roman" w:hAnsi="Times New Roman" w:eastAsia="仿宋_GB2312"/>
          <w:sz w:val="32"/>
          <w:szCs w:val="32"/>
          <w:lang w:val="en-US" w:eastAsia="zh-CN"/>
        </w:rPr>
        <w:t>76.48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公共安全</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8115.87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587.73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255.9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年度财政拨款支出年初预算数为</w:t>
      </w:r>
      <w:r>
        <w:rPr>
          <w:rFonts w:hint="eastAsia" w:ascii="仿宋_GB2312" w:hAnsi="仿宋_GB2312" w:eastAsia="仿宋_GB2312" w:cs="仿宋_GB2312"/>
          <w:sz w:val="32"/>
          <w:szCs w:val="32"/>
          <w:highlight w:val="none"/>
          <w:lang w:val="en-US" w:eastAsia="zh-CN"/>
        </w:rPr>
        <w:t>9066.6</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9127.18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1、一般公共服务支出（类）政府办公厅及相关机构事务（款）信访事务（项）。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年初预算为76.48万元，支出决算为76.48万元，完成年初预算的100%。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2、公共安全支出（类）司法（款）行政运行（项）。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年初预算为1579.86万元，支出决算为1593.14万元，完成年初预算的101%，决算数大于年初预算数的主要原因是人员变动追加指标。</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3、公共安全支出（类）司法（款）一般行政管理事务（项）。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年初预算为88.22万元，支出决算为91.26万元，完成年初预算的103%，决算数大于年初预算数的主要原因是</w:t>
      </w:r>
      <w:r>
        <w:rPr>
          <w:rFonts w:hint="eastAsia" w:ascii="仿宋" w:hAnsi="仿宋" w:eastAsia="仿宋" w:cs="仿宋_GB2312"/>
          <w:sz w:val="32"/>
          <w:szCs w:val="32"/>
        </w:rPr>
        <w:t>体检费和工伤保险财政未做预算，由单位公用经费列支</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4、公共安全支出（类）司法（款）公共法律服务（项）。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年初预算为8.88万元，支出决算为7.26万元，完成年初预算的81.76%。</w:t>
      </w:r>
      <w:r>
        <w:rPr>
          <w:rFonts w:hint="eastAsia" w:ascii="仿宋" w:hAnsi="仿宋" w:eastAsia="仿宋" w:cs="仿宋_GB2312"/>
          <w:sz w:val="32"/>
          <w:szCs w:val="32"/>
        </w:rPr>
        <w:t>决算数小于年初预算数的主要原因是厉行节约，减少开支</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5、公共安全支出（类）司法（款）国家统一法律职业资格考试（项）。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年初预算为6万元，支出决算为6万元，完成年初预算的100%。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6、公共安全支出（类）司法（款）法治建设（项）。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35.13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7、公共安全支出（类）司法（款）其他司法支出（项）。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年初预算为218.43万元，支出决算为241.82万元，完成年初预算的111%。</w:t>
      </w:r>
      <w:r>
        <w:rPr>
          <w:rFonts w:hint="eastAsia" w:ascii="Times New Roman" w:hAnsi="Times New Roman" w:eastAsia="仿宋_GB2312"/>
          <w:sz w:val="32"/>
          <w:szCs w:val="32"/>
        </w:rPr>
        <w:t>主要原因是</w:t>
      </w:r>
      <w:r>
        <w:rPr>
          <w:rFonts w:hint="eastAsia" w:ascii="仿宋" w:hAnsi="仿宋" w:eastAsia="仿宋" w:cs="仿宋_GB2312"/>
          <w:sz w:val="32"/>
          <w:szCs w:val="32"/>
        </w:rPr>
        <w:t>年中追加了相关指标</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8、公共安全支出（类）强制隔离戒毒（款）行政运行（项）。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年初预算为2077.19万元，支出决算为2077.19万元，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9、公共安全支出（类）强制隔离戒毒（款）一般行政管理事务（项）。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年初预算为576.78万元，支出决算为576.78万元，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val="en-US" w:eastAsia="zh-CN"/>
        </w:rPr>
        <w:t>。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10、公共安全支出（类）强制隔离戒毒（款）所政设施建设（项）。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年初预算为2413.45万元，支出决算为2413.45万元，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11、公共安全支出（类）强制隔离戒毒（款）其他强制隔离戒毒支出（项）。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年初预算为1036.77万元，支出决算为1036.77万元，完成年初预算的100%。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12、公共安全支出（类）其他公共安全支出（款）其他公共安全支出（项）。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完成年初预算的247%</w:t>
      </w:r>
      <w:r>
        <w:rPr>
          <w:rFonts w:hint="eastAsia" w:ascii="Times New Roman" w:hAnsi="Times New Roman" w:eastAsia="仿宋_GB2312"/>
          <w:sz w:val="32"/>
          <w:szCs w:val="32"/>
        </w:rPr>
        <w:t>。</w:t>
      </w:r>
      <w:r>
        <w:rPr>
          <w:rFonts w:hint="eastAsia" w:ascii="仿宋" w:hAnsi="仿宋" w:eastAsia="仿宋" w:cs="仿宋_GB2312"/>
          <w:sz w:val="32"/>
          <w:szCs w:val="32"/>
        </w:rPr>
        <w:t>决算数大于年初预算数的主要原因是年中追加了相关指标</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13、社会保障和就业支出（类）行政事业单位养老支出（款）行政单位离退休（项）。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年初预算为235.08万元，支出决算为235.08万元，完成年初预算的100%。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14、社会保障和就业支出（类）行政事业单位养老支出（款）机关事业单位基本养老保险缴费支出（项）。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年初预算为300.28万元，支出决算为300.28万元，完成年初预算的100%。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15、社会保障和就业支出（类）抚恤（款）其他优抚支出（项）。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年初预算为52.37万元，支出决算为52.37万元，完成年初预算的100%。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16、卫生健康支出（类）行政事业单位医疗（款）行政单位医疗（项）。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年初预算为91.2万元，支出决算为91.2万元，完成年初预算的100%。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17、住房保障支出（类）住房改革支出（款）住房公积金（项）。</w:t>
      </w:r>
    </w:p>
    <w:p>
      <w:pPr>
        <w:widowControl w:val="0"/>
        <w:autoSpaceDE w:val="0"/>
        <w:autoSpaceDN w:val="0"/>
        <w:adjustRightInd w:val="0"/>
        <w:ind w:firstLine="800" w:firstLineChars="250"/>
        <w:rPr>
          <w:rFonts w:hint="eastAsia" w:ascii="仿宋_GB2312" w:hAnsi="仿宋_GB2312" w:eastAsia="仿宋_GB2312" w:cs="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255.48</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255.9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100.2</w:t>
      </w:r>
      <w:r>
        <w:rPr>
          <w:rFonts w:hint="eastAsia" w:ascii="Times New Roman" w:hAnsi="Times New Roman" w:eastAsia="仿宋_GB2312"/>
          <w:sz w:val="32"/>
          <w:szCs w:val="32"/>
        </w:rPr>
        <w:t>%。</w:t>
      </w:r>
      <w:r>
        <w:rPr>
          <w:rFonts w:hint="eastAsia" w:ascii="仿宋" w:hAnsi="仿宋" w:eastAsia="仿宋" w:cs="仿宋_GB2312"/>
          <w:sz w:val="32"/>
          <w:szCs w:val="32"/>
        </w:rPr>
        <w:t>决算数大于年初预算数的主要原因是年中对上年度奖金等部分公积金进行了补缴</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w:t>
      </w:r>
      <w:r>
        <w:rPr>
          <w:rFonts w:hint="eastAsia" w:ascii="仿宋_GB2312" w:hAnsi="仿宋_GB2312" w:eastAsia="仿宋_GB2312" w:cs="仿宋_GB2312"/>
          <w:sz w:val="32"/>
          <w:szCs w:val="32"/>
          <w:lang w:val="en-US" w:eastAsia="zh-CN"/>
        </w:rPr>
        <w:t>4937.64</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4459.89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w:t>
      </w:r>
      <w:r>
        <w:rPr>
          <w:rFonts w:hint="eastAsia" w:ascii="Times New Roman" w:hAnsi="Times New Roman" w:eastAsia="仿宋_GB2312"/>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pPr>
        <w:pStyle w:val="14"/>
        <w:ind w:firstLine="640" w:firstLineChars="200"/>
        <w:rPr>
          <w:rFonts w:hint="eastAsia" w:ascii="Times New Roman" w:hAnsi="Times New Roman" w:eastAsia="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477.76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val="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zh-CN" w:eastAsia="zh-CN" w:bidi="ar-SA"/>
        </w:rPr>
        <w:t xml:space="preserve">   </w:t>
      </w:r>
      <w:r>
        <w:rPr>
          <w:rFonts w:hint="eastAsia" w:ascii="Times New Roman" w:hAnsi="Times New Roman" w:eastAsia="仿宋_GB2312" w:cs="黑体"/>
          <w:color w:val="000000"/>
          <w:kern w:val="0"/>
          <w:sz w:val="32"/>
          <w:szCs w:val="32"/>
          <w:lang w:val="en-US" w:eastAsia="zh-CN" w:bidi="ar-SA"/>
        </w:rPr>
        <w:t>2023年度政府性基金预算财政拨款收入0万元；年初结转和结余0万元；支出0万元，其中基本支出0万元，项目支出0万元；年末结转和结余0万元。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2023年度国有资本经营预算财政拨款收入0万元；年初结转和结余0万；支出0万元，其中：基本支出0万元，项目支出0万元；年末结转和结余0万元。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66.49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43.67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%，决算数小</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预算数的主要原因是</w:t>
      </w:r>
      <w:r>
        <w:rPr>
          <w:rFonts w:hint="eastAsia" w:ascii="仿宋_GB2312" w:hAnsi="仿宋_GB2312" w:eastAsia="仿宋_GB2312" w:cs="仿宋_GB2312"/>
          <w:sz w:val="32"/>
          <w:szCs w:val="32"/>
          <w:lang w:eastAsia="zh-CN"/>
        </w:rPr>
        <w:t>厉行节约，减少开支。</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20.45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厉行节约，减少开支</w:t>
      </w:r>
      <w:r>
        <w:rPr>
          <w:rFonts w:hint="eastAsia" w:ascii="仿宋_GB2312" w:hAnsi="仿宋_GB2312" w:eastAsia="仿宋_GB2312" w:cs="仿宋_GB2312"/>
          <w:sz w:val="32"/>
          <w:szCs w:val="32"/>
        </w:rPr>
        <w:t>。其中：</w:t>
      </w:r>
    </w:p>
    <w:p>
      <w:pPr>
        <w:pStyle w:val="14"/>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因公出国（境）费支出预算为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决算数等于预算数的主要原因是</w:t>
      </w:r>
      <w:r>
        <w:rPr>
          <w:rFonts w:hint="eastAsia" w:ascii="Times New Roman" w:hAnsi="Times New Roman" w:eastAsia="仿宋_GB2312"/>
          <w:bCs/>
          <w:sz w:val="32"/>
          <w:szCs w:val="32"/>
        </w:rPr>
        <w:t>我单位严格按预算执行决算</w:t>
      </w:r>
      <w:r>
        <w:rPr>
          <w:rFonts w:hint="eastAsia" w:ascii="Times New Roman" w:hAnsi="Times New Roman" w:eastAsia="仿宋_GB2312"/>
          <w:sz w:val="32"/>
          <w:szCs w:val="32"/>
        </w:rPr>
        <w:t>，与上年一致，</w:t>
      </w:r>
      <w:r>
        <w:rPr>
          <w:rFonts w:hint="eastAsia" w:ascii="Times New Roman" w:hAnsi="Times New Roman" w:eastAsia="仿宋_GB2312"/>
          <w:bCs/>
          <w:sz w:val="32"/>
          <w:szCs w:val="32"/>
        </w:rPr>
        <w:t>无增减变动，主要原因是未安排因公出国（境）活动</w:t>
      </w:r>
      <w:r>
        <w:rPr>
          <w:rFonts w:hint="eastAsia" w:ascii="Times New Roman" w:hAnsi="Times New Roman" w:eastAsia="仿宋_GB2312"/>
          <w:sz w:val="32"/>
          <w:szCs w:val="32"/>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18.5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厉行节约，减少开支</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0.38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厉行节约，减少开支</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公务用车购置费支出预算为</w:t>
      </w:r>
      <w:r>
        <w:rPr>
          <w:rFonts w:hint="eastAsia" w:ascii="仿宋_GB2312" w:hAnsi="仿宋_GB2312" w:eastAsia="仿宋_GB2312" w:cs="仿宋_GB2312"/>
          <w:sz w:val="32"/>
          <w:szCs w:val="32"/>
          <w:lang w:val="en-US" w:eastAsia="zh-CN"/>
        </w:rPr>
        <w:t>17.99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17.99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主要原因是</w:t>
      </w:r>
      <w:r>
        <w:rPr>
          <w:rFonts w:hint="eastAsia" w:ascii="Times New Roman" w:hAnsi="Times New Roman" w:eastAsia="仿宋_GB2312"/>
          <w:bCs/>
          <w:sz w:val="32"/>
          <w:szCs w:val="32"/>
        </w:rPr>
        <w:t>我单位严格按预算执行决算</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11.97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今年较去年少采购一辆车</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19.11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sz w:val="32"/>
          <w:szCs w:val="32"/>
          <w:lang w:eastAsia="zh-CN"/>
        </w:rPr>
        <w:t>厉行节约</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8.11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lang w:eastAsia="zh-CN"/>
        </w:rPr>
        <w:t>厉行节约，减少开支</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6.56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%。其中：</w:t>
      </w:r>
    </w:p>
    <w:p>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bCs/>
          <w:sz w:val="32"/>
          <w:szCs w:val="32"/>
        </w:rPr>
        <w:t>我单位2022年度无因公出国（境）费支出</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6.56</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1120</w:t>
      </w:r>
      <w:r>
        <w:rPr>
          <w:rFonts w:hint="eastAsia" w:ascii="仿宋_GB2312" w:hAnsi="仿宋_GB2312" w:eastAsia="仿宋_GB2312" w:cs="仿宋_GB2312"/>
          <w:sz w:val="32"/>
          <w:szCs w:val="32"/>
        </w:rPr>
        <w:t>人次，主要是</w:t>
      </w:r>
      <w:r>
        <w:rPr>
          <w:rFonts w:hint="eastAsia" w:ascii="Times New Roman" w:hAnsi="Times New Roman" w:eastAsia="仿宋_GB2312"/>
          <w:sz w:val="32"/>
          <w:szCs w:val="32"/>
          <w:lang w:eastAsia="zh-CN"/>
        </w:rPr>
        <w:t>上下级汇报工作、考察、督查</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17.99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岳阳市司法局本级</w:t>
      </w:r>
      <w:r>
        <w:rPr>
          <w:rFonts w:hint="eastAsia" w:ascii="仿宋_GB2312" w:hAnsi="仿宋_GB2312" w:eastAsia="仿宋_GB2312" w:cs="仿宋_GB2312"/>
          <w:sz w:val="32"/>
          <w:szCs w:val="32"/>
        </w:rPr>
        <w:t>更新公务用车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19.11</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rPr>
        <w:t>主要是公车用油、维修、保险等支出</w:t>
      </w:r>
      <w:r>
        <w:rPr>
          <w:rFonts w:hint="eastAsia" w:ascii="仿宋_GB2312" w:hAnsi="仿宋_GB2312" w:eastAsia="仿宋_GB2312" w:cs="仿宋_GB2312"/>
          <w:sz w:val="32"/>
          <w:szCs w:val="32"/>
        </w:rPr>
        <w:t>，截止202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辆。</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477.76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lang w:val="en-US" w:eastAsia="zh-CN"/>
        </w:rPr>
        <w:t>与年初预算数基本持平，主要原因是：按照年初预算合理规划开支。与上年相比，增加56.33万元，增长13%。</w:t>
      </w:r>
      <w:r>
        <w:rPr>
          <w:rFonts w:hint="eastAsia" w:ascii="Times New Roman" w:hAnsi="Times New Roman" w:eastAsia="仿宋_GB2312"/>
          <w:color w:val="auto"/>
          <w:sz w:val="32"/>
          <w:szCs w:val="32"/>
          <w:highlight w:val="none"/>
          <w:lang w:val="en-US" w:eastAsia="zh-CN"/>
        </w:rPr>
        <w:t>主要原因是</w:t>
      </w:r>
      <w:r>
        <w:rPr>
          <w:rFonts w:hint="eastAsia" w:ascii="Times New Roman" w:hAnsi="Times New Roman" w:eastAsia="仿宋_GB2312"/>
          <w:sz w:val="32"/>
          <w:szCs w:val="32"/>
          <w:lang w:val="en-US" w:eastAsia="zh-CN"/>
        </w:rPr>
        <w:t>：</w:t>
      </w:r>
      <w:r>
        <w:rPr>
          <w:rFonts w:hint="eastAsia" w:ascii="仿宋_GB2312" w:hAnsi="仿宋_GB2312" w:eastAsia="仿宋_GB2312" w:cs="仿宋_GB2312"/>
          <w:sz w:val="32"/>
          <w:szCs w:val="32"/>
          <w:lang w:val="en-US" w:eastAsia="zh-CN"/>
        </w:rPr>
        <w:t>2022年关账时部分开支未及时支付，在2023年开账后支付，导致2023年机关运行经费增加</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4"/>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年度，会议费年初预算5.74万元，支出决算为5.74万元，完成年初预算的100%。用于召开</w:t>
      </w:r>
      <w:r>
        <w:rPr>
          <w:rFonts w:hint="eastAsia" w:ascii="Times New Roman" w:hAnsi="Times New Roman" w:eastAsia="仿宋_GB2312"/>
          <w:sz w:val="32"/>
          <w:szCs w:val="32"/>
        </w:rPr>
        <w:t>业务性会议</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人，内容为</w:t>
      </w:r>
      <w:r>
        <w:rPr>
          <w:rFonts w:hint="eastAsia" w:ascii="Times New Roman" w:hAnsi="Times New Roman" w:eastAsia="仿宋_GB2312"/>
          <w:sz w:val="32"/>
          <w:szCs w:val="32"/>
          <w:lang w:val="en-US" w:eastAsia="zh-CN"/>
        </w:rPr>
        <w:t>业务学习和年度总结等</w:t>
      </w:r>
      <w:r>
        <w:rPr>
          <w:rFonts w:hint="eastAsia" w:ascii="仿宋_GB2312" w:hAnsi="仿宋_GB2312" w:eastAsia="仿宋_GB2312" w:cs="仿宋_GB2312"/>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培训费年初预算48.77万元，支出决算为48.77万元，完成年初预算的100%。用于开展</w:t>
      </w:r>
      <w:r>
        <w:rPr>
          <w:rFonts w:hint="eastAsia" w:ascii="Times New Roman" w:hAnsi="Times New Roman" w:eastAsia="仿宋_GB2312"/>
          <w:sz w:val="32"/>
          <w:szCs w:val="32"/>
        </w:rPr>
        <w:t>干部业务能力和政治思想培训</w:t>
      </w:r>
      <w:r>
        <w:rPr>
          <w:rFonts w:hint="eastAsia" w:ascii="仿宋_GB2312" w:hAnsi="仿宋_GB2312" w:eastAsia="仿宋_GB2312" w:cs="仿宋_GB2312"/>
          <w:color w:val="000000"/>
          <w:kern w:val="0"/>
          <w:sz w:val="32"/>
          <w:szCs w:val="32"/>
          <w:lang w:val="en-US" w:eastAsia="zh-CN" w:bidi="ar-SA"/>
        </w:rPr>
        <w:t>，人数450人，内容为</w:t>
      </w:r>
      <w:r>
        <w:rPr>
          <w:rFonts w:hint="eastAsia" w:ascii="Times New Roman" w:hAnsi="Times New Roman" w:eastAsia="仿宋_GB2312"/>
          <w:sz w:val="32"/>
          <w:szCs w:val="32"/>
          <w:lang w:eastAsia="zh-CN"/>
        </w:rPr>
        <w:t>党校</w:t>
      </w:r>
      <w:r>
        <w:rPr>
          <w:rFonts w:hint="eastAsia" w:ascii="Times New Roman" w:hAnsi="Times New Roman" w:eastAsia="仿宋_GB2312"/>
          <w:sz w:val="32"/>
          <w:szCs w:val="32"/>
        </w:rPr>
        <w:t>培训和</w:t>
      </w:r>
      <w:r>
        <w:rPr>
          <w:rFonts w:hint="eastAsia" w:ascii="Times New Roman" w:hAnsi="Times New Roman" w:eastAsia="仿宋_GB2312"/>
          <w:sz w:val="32"/>
          <w:szCs w:val="32"/>
          <w:lang w:eastAsia="zh-CN"/>
        </w:rPr>
        <w:t>法律</w:t>
      </w:r>
      <w:r>
        <w:rPr>
          <w:rFonts w:hint="eastAsia" w:ascii="Times New Roman" w:hAnsi="Times New Roman" w:eastAsia="仿宋_GB2312"/>
          <w:sz w:val="32"/>
          <w:szCs w:val="32"/>
        </w:rPr>
        <w:t>业务</w:t>
      </w:r>
      <w:r>
        <w:rPr>
          <w:rFonts w:hint="eastAsia" w:ascii="Times New Roman" w:hAnsi="Times New Roman" w:eastAsia="仿宋_GB2312"/>
          <w:sz w:val="32"/>
          <w:szCs w:val="32"/>
          <w:lang w:eastAsia="zh-CN"/>
        </w:rPr>
        <w:t>能力</w:t>
      </w:r>
      <w:r>
        <w:rPr>
          <w:rFonts w:hint="eastAsia" w:ascii="Times New Roman" w:hAnsi="Times New Roman" w:eastAsia="仿宋_GB2312"/>
          <w:sz w:val="32"/>
          <w:szCs w:val="32"/>
        </w:rPr>
        <w:t>培训</w:t>
      </w:r>
      <w:r>
        <w:rPr>
          <w:rFonts w:hint="eastAsia" w:ascii="仿宋_GB2312" w:hAnsi="仿宋_GB2312" w:eastAsia="仿宋_GB2312" w:cs="仿宋_GB2312"/>
          <w:color w:val="000000"/>
          <w:kern w:val="0"/>
          <w:sz w:val="32"/>
          <w:szCs w:val="32"/>
          <w:lang w:val="en-US" w:eastAsia="zh-CN" w:bidi="ar-SA"/>
        </w:rPr>
        <w:t>。</w:t>
      </w:r>
    </w:p>
    <w:p>
      <w:pPr>
        <w:pStyle w:val="14"/>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Times New Roman" w:hAnsi="Times New Roman" w:eastAsia="仿宋_GB2312"/>
          <w:sz w:val="32"/>
          <w:szCs w:val="32"/>
          <w:lang w:val="en-US" w:eastAsia="zh-CN"/>
        </w:rPr>
        <w:t>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auto"/>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 xml:space="preserve"> 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rPr>
        <w:t>政府采购支出总额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（由于授予中小企业合同金额为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比重，由于以上各项合同金额为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9127.18万元，政府性基金预算支出0万元，国有资本经营预算支出0万元。从评价情况来看，整体支出绩效评价中，2023年整体支出9367.11万元，其中：基本支出5072.79万元，项目支出4294.32万元，本单位整体支出绩效自评综合评分99分，评价结果等次为优。</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组织对一般公共预算项目支出全面开展绩效自评，项目3个，共涉及资金200.23万元，占一般公共预算项目支出总额的4.78</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w:t>
      </w:r>
      <w:r>
        <w:rPr>
          <w:rFonts w:hint="eastAsia" w:ascii="仿宋" w:hAnsi="仿宋" w:eastAsia="仿宋" w:cs="仿宋_GB2312"/>
          <w:color w:val="000000"/>
          <w:kern w:val="0"/>
          <w:sz w:val="32"/>
          <w:szCs w:val="32"/>
        </w:rPr>
        <w:t>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政府性基金预算项目支出总额为0，故无法计算占政府性基金预算项目支出总额的比重）。</w:t>
      </w:r>
      <w:r>
        <w:rPr>
          <w:rFonts w:hint="eastAsia" w:ascii="仿宋_GB2312" w:hAnsi="仿宋_GB2312" w:eastAsia="仿宋_GB2312" w:cs="仿宋_GB2312"/>
          <w:b w:val="0"/>
          <w:bCs w:val="0"/>
          <w:color w:val="000000"/>
          <w:kern w:val="0"/>
          <w:sz w:val="32"/>
          <w:szCs w:val="32"/>
          <w:lang w:val="en-US" w:eastAsia="zh-CN" w:bidi="ar-SA"/>
        </w:rPr>
        <w:t>从评价情况来看，项目绩效自评得分99分，评价结果等次为优。</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99分。全年预算数为9127.18万元，执行数为9127.18万元，完成预算的100%。绩效目标完成情况：一是、本年预算配置控制较好，财政供养人员控制在预算编制以内,三公经费控制得较好；二是资产管理方面，建立了资产管理制度，对全局资产进行了详细的盘点，设置各科室资产管理员，做好资产台账，加强对资产的管理。实现了实物资产的“一物一卡一条码”，总体执行较好；三是社会效益指标方面，坚持“应援尽援优援”的服务理念，以服务民生为己任，进一步扩大法律援助范围，将触角努力延伸至低收入群体，加强法律援助“绿色通道”建设，努力提供便民利民的援助服务，加大对刑事案件的援助力度。一年来，全市共受理法援案件2828余件，解答法律咨询1.2万人次；12348公共法律服务热线服务万余人次，满意率近100%，办结12345热线工单93件。</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存在的主要问题及原因：一是整体支出的预算编制、执行和管理过程中，依然存在一些问题和不足；二是对绩效考评的结果利用的范围有限，缺乏长效机制。下一步改进措施：一是加强对财务人员和相关管理人员的业务培训，提高相关人员的业务能力和素质；二是坚持财务分析常态化。定期做好支出预算财务分析，及时对费用预算执行情况进行通报和预警，定期对下属预算单位的预算执行情况进行检查，做好部门整体支出预算评价工作。</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4"/>
        <w:jc w:val="both"/>
        <w:rPr>
          <w:sz w:val="72"/>
          <w:szCs w:val="72"/>
        </w:rPr>
      </w:pPr>
    </w:p>
    <w:p>
      <w:pPr>
        <w:pStyle w:val="14"/>
        <w:jc w:val="center"/>
        <w:rPr>
          <w:sz w:val="72"/>
          <w:szCs w:val="72"/>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Pr>
        <w:pStyle w:val="5"/>
      </w:pPr>
    </w:p>
    <w:p/>
    <w:p>
      <w:pPr>
        <w:pStyle w:val="8"/>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bCs/>
          <w:i/>
          <w:color w:val="FF0000"/>
          <w:kern w:val="0"/>
          <w:sz w:val="32"/>
          <w:szCs w:val="32"/>
          <w:lang w:val="en-US" w:eastAsia="zh-CN" w:bidi="ar-SA"/>
        </w:rPr>
      </w:pPr>
    </w:p>
    <w:p>
      <w:pPr>
        <w:pStyle w:val="14"/>
        <w:jc w:val="center"/>
        <w:rPr>
          <w:rFonts w:hint="eastAsia" w:ascii="仿宋_GB2312" w:hAnsi="仿宋_GB2312" w:eastAsia="仿宋_GB2312" w:cs="仿宋_GB2312"/>
          <w:sz w:val="32"/>
          <w:szCs w:val="32"/>
        </w:rPr>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
      <w:pPr>
        <w:pStyle w:val="8"/>
      </w:pPr>
    </w:p>
    <w:p>
      <w:pPr>
        <w:pStyle w:val="5"/>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both"/>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229B2A"/>
    <w:multiLevelType w:val="singleLevel"/>
    <w:tmpl w:val="E1229B2A"/>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F99E03"/>
    <w:multiLevelType w:val="singleLevel"/>
    <w:tmpl w:val="76F99E03"/>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F84CCA"/>
    <w:rsid w:val="03EA032B"/>
    <w:rsid w:val="059958AD"/>
    <w:rsid w:val="06C857E7"/>
    <w:rsid w:val="08C24A73"/>
    <w:rsid w:val="12583BA5"/>
    <w:rsid w:val="13BA5B9C"/>
    <w:rsid w:val="18A15A6D"/>
    <w:rsid w:val="1D97DEFF"/>
    <w:rsid w:val="1DFF72E5"/>
    <w:rsid w:val="1EFC6F07"/>
    <w:rsid w:val="1F0527A6"/>
    <w:rsid w:val="22AC03C2"/>
    <w:rsid w:val="295335DA"/>
    <w:rsid w:val="2FDF85B8"/>
    <w:rsid w:val="2FFFEE04"/>
    <w:rsid w:val="31C95635"/>
    <w:rsid w:val="322C5010"/>
    <w:rsid w:val="32D67ACE"/>
    <w:rsid w:val="34DF85B0"/>
    <w:rsid w:val="398B158C"/>
    <w:rsid w:val="3B8F36BC"/>
    <w:rsid w:val="423317AA"/>
    <w:rsid w:val="491FF225"/>
    <w:rsid w:val="4FFD214C"/>
    <w:rsid w:val="53416848"/>
    <w:rsid w:val="5352765A"/>
    <w:rsid w:val="5777D4F5"/>
    <w:rsid w:val="59DD8326"/>
    <w:rsid w:val="5DEF592A"/>
    <w:rsid w:val="5EC2310D"/>
    <w:rsid w:val="5FC6BB1E"/>
    <w:rsid w:val="5FF720F1"/>
    <w:rsid w:val="67172DB2"/>
    <w:rsid w:val="67FF5C0B"/>
    <w:rsid w:val="683A169C"/>
    <w:rsid w:val="6BAA4A2F"/>
    <w:rsid w:val="6EFC0924"/>
    <w:rsid w:val="6FB74722"/>
    <w:rsid w:val="6FEF8B7E"/>
    <w:rsid w:val="71A6591B"/>
    <w:rsid w:val="737D59BA"/>
    <w:rsid w:val="737F32B1"/>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footnote text"/>
    <w:basedOn w:val="1"/>
    <w:next w:val="5"/>
    <w:semiHidden/>
    <w:qFormat/>
    <w:uiPriority w:val="0"/>
    <w:pPr>
      <w:snapToGrid w:val="0"/>
      <w:jc w:val="left"/>
    </w:pPr>
    <w:rPr>
      <w:sz w:val="18"/>
      <w:szCs w:val="18"/>
    </w:rPr>
  </w:style>
  <w:style w:type="paragraph" w:styleId="9">
    <w:name w:val="Normal (Web)"/>
    <w:basedOn w:val="1"/>
    <w:qFormat/>
    <w:uiPriority w:val="99"/>
    <w:pPr>
      <w:spacing w:beforeAutospacing="1" w:afterAutospacing="1"/>
      <w:jc w:val="left"/>
    </w:pPr>
    <w:rPr>
      <w:kern w:val="0"/>
      <w:sz w:val="24"/>
      <w:szCs w:val="24"/>
    </w:rPr>
  </w:style>
  <w:style w:type="character" w:customStyle="1" w:styleId="12">
    <w:name w:val="页眉 Char"/>
    <w:basedOn w:val="11"/>
    <w:link w:val="3"/>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9</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2025-07-30T02:06:20Z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98623D6660B449428EB8E073C6C952EA</vt:lpwstr>
  </property>
</Properties>
</file>