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jc w:val="center"/>
        <w:rPr>
          <w:sz w:val="56"/>
          <w:szCs w:val="56"/>
        </w:rPr>
      </w:pPr>
    </w:p>
    <w:p>
      <w:pPr>
        <w:pStyle w:val="15"/>
        <w:jc w:val="center"/>
        <w:rPr>
          <w:sz w:val="56"/>
          <w:szCs w:val="56"/>
        </w:rPr>
      </w:pPr>
    </w:p>
    <w:p>
      <w:pPr>
        <w:pStyle w:val="15"/>
        <w:jc w:val="center"/>
        <w:rPr>
          <w:sz w:val="84"/>
          <w:szCs w:val="84"/>
        </w:rPr>
      </w:pPr>
    </w:p>
    <w:p>
      <w:pPr>
        <w:pStyle w:val="15"/>
        <w:jc w:val="center"/>
        <w:rPr>
          <w:sz w:val="84"/>
          <w:szCs w:val="84"/>
        </w:rPr>
      </w:pP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b/>
          <w:bCs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84"/>
          <w:szCs w:val="84"/>
        </w:rPr>
        <w:t>202</w:t>
      </w:r>
      <w:r>
        <w:rPr>
          <w:rFonts w:hint="eastAsia" w:ascii="方正小标宋_GBK" w:hAnsi="方正小标宋_GBK" w:eastAsia="方正小标宋_GBK" w:cs="方正小标宋_GBK"/>
          <w:b/>
          <w:bCs/>
          <w:sz w:val="84"/>
          <w:szCs w:val="8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b/>
          <w:bCs/>
          <w:sz w:val="84"/>
          <w:szCs w:val="84"/>
        </w:rPr>
        <w:t>年度岳阳火车站地区综合执法支队部门决算</w:t>
      </w: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sz w:val="56"/>
          <w:szCs w:val="56"/>
        </w:rPr>
      </w:pPr>
    </w:p>
    <w:p>
      <w:pPr>
        <w:pStyle w:val="15"/>
        <w:jc w:val="center"/>
        <w:rPr>
          <w:sz w:val="56"/>
          <w:szCs w:val="56"/>
        </w:rPr>
      </w:pPr>
    </w:p>
    <w:p>
      <w:pPr>
        <w:pStyle w:val="15"/>
        <w:jc w:val="center"/>
        <w:rPr>
          <w:sz w:val="56"/>
          <w:szCs w:val="56"/>
        </w:rPr>
      </w:pPr>
    </w:p>
    <w:p>
      <w:pPr>
        <w:pStyle w:val="15"/>
        <w:jc w:val="center"/>
        <w:rPr>
          <w:sz w:val="56"/>
          <w:szCs w:val="56"/>
        </w:rPr>
      </w:pPr>
    </w:p>
    <w:p>
      <w:pPr>
        <w:pStyle w:val="15"/>
        <w:jc w:val="center"/>
        <w:rPr>
          <w:sz w:val="32"/>
          <w:szCs w:val="32"/>
        </w:rPr>
      </w:pPr>
    </w:p>
    <w:p>
      <w:pPr>
        <w:pStyle w:val="15"/>
        <w:jc w:val="center"/>
        <w:rPr>
          <w:sz w:val="32"/>
          <w:szCs w:val="32"/>
        </w:rPr>
      </w:pPr>
    </w:p>
    <w:p>
      <w:pPr>
        <w:pStyle w:val="15"/>
        <w:jc w:val="center"/>
        <w:rPr>
          <w:sz w:val="32"/>
          <w:szCs w:val="32"/>
        </w:rPr>
      </w:pPr>
    </w:p>
    <w:p>
      <w:pPr>
        <w:pStyle w:val="15"/>
        <w:jc w:val="center"/>
        <w:rPr>
          <w:sz w:val="32"/>
          <w:szCs w:val="32"/>
        </w:rPr>
      </w:pPr>
    </w:p>
    <w:p>
      <w:pPr>
        <w:pStyle w:val="15"/>
        <w:jc w:val="center"/>
        <w:rPr>
          <w:sz w:val="32"/>
          <w:szCs w:val="32"/>
        </w:rPr>
      </w:pPr>
    </w:p>
    <w:p>
      <w:pPr>
        <w:pStyle w:val="15"/>
        <w:spacing w:line="540" w:lineRule="exact"/>
        <w:jc w:val="center"/>
        <w:rPr>
          <w:sz w:val="56"/>
          <w:szCs w:val="56"/>
        </w:rPr>
      </w:pPr>
    </w:p>
    <w:p>
      <w:pPr>
        <w:pStyle w:val="15"/>
        <w:spacing w:line="500" w:lineRule="exact"/>
        <w:jc w:val="both"/>
        <w:rPr>
          <w:b/>
          <w:sz w:val="36"/>
          <w:szCs w:val="28"/>
        </w:rPr>
      </w:pPr>
    </w:p>
    <w:p>
      <w:pPr>
        <w:pStyle w:val="15"/>
        <w:spacing w:line="500" w:lineRule="exact"/>
        <w:jc w:val="center"/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>目录</w:t>
      </w:r>
    </w:p>
    <w:p>
      <w:pPr>
        <w:pStyle w:val="15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第一部分</w:t>
      </w:r>
      <w:r>
        <w:rPr>
          <w:rFonts w:hint="eastAsia" w:hAnsi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岳阳火车站地区综合执法支队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单位概况</w:t>
      </w:r>
    </w:p>
    <w:p>
      <w:pPr>
        <w:pStyle w:val="15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一、部门职责</w:t>
      </w:r>
    </w:p>
    <w:p>
      <w:pPr>
        <w:pStyle w:val="15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二、机构设置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及决算单位构成</w:t>
      </w:r>
    </w:p>
    <w:p>
      <w:pPr>
        <w:pStyle w:val="15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第二部分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部门决算表</w:t>
      </w:r>
    </w:p>
    <w:p>
      <w:pPr>
        <w:pStyle w:val="15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一、收入支出决算总表</w:t>
      </w:r>
    </w:p>
    <w:p>
      <w:pPr>
        <w:pStyle w:val="15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二、收入决算表</w:t>
      </w:r>
    </w:p>
    <w:p>
      <w:pPr>
        <w:pStyle w:val="15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三、支出决算表</w:t>
      </w:r>
    </w:p>
    <w:p>
      <w:pPr>
        <w:pStyle w:val="15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四、财政拨款收入支出决算总表</w:t>
      </w:r>
    </w:p>
    <w:p>
      <w:pPr>
        <w:pStyle w:val="15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五、一般公共预算财政拨款支出决算表</w:t>
      </w:r>
    </w:p>
    <w:p>
      <w:pPr>
        <w:pStyle w:val="15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六、一般公共预算财政拨款基本支出决算明细表</w:t>
      </w:r>
    </w:p>
    <w:p>
      <w:pPr>
        <w:pStyle w:val="15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七、政府性基金预算财政拨款收入支出决算表</w:t>
      </w:r>
    </w:p>
    <w:p>
      <w:pPr>
        <w:pStyle w:val="15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八、国有资本经营预算财政拨款支出决算表</w:t>
      </w:r>
    </w:p>
    <w:p>
      <w:pPr>
        <w:pStyle w:val="15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九、财政拨款“三公”经费支出决算表</w:t>
      </w:r>
    </w:p>
    <w:p>
      <w:pPr>
        <w:pStyle w:val="15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第三部分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部门决算情况说明</w:t>
      </w:r>
    </w:p>
    <w:p>
      <w:pPr>
        <w:pStyle w:val="15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一、收入支出决算总体情况说明</w:t>
      </w:r>
    </w:p>
    <w:p>
      <w:pPr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二、收入决算情况说明</w:t>
      </w:r>
    </w:p>
    <w:p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三、支出决算情况说明</w:t>
      </w:r>
    </w:p>
    <w:p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四、财政拨款收入支出决算总体情况说明</w:t>
      </w:r>
    </w:p>
    <w:p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五、一般公共预算财政拨款支出决算情况说明</w:t>
      </w:r>
    </w:p>
    <w:p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六、一般公共预算财政拨款基本支出决算情况说明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七、政府性基金预算收入支出决算情况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八、</w:t>
      </w:r>
      <w:r>
        <w:rPr>
          <w:rFonts w:hint="eastAsia" w:ascii="仿宋_GB2312" w:hAnsi="仿宋_GB2312" w:eastAsia="仿宋_GB2312" w:cs="仿宋_GB2312"/>
          <w:sz w:val="28"/>
          <w:szCs w:val="28"/>
        </w:rPr>
        <w:t>国有资本经营预算财政拨款支出决算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九、财政拨款三公经费支出决算情况说明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十、关于机关运行经费支出说明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十一、一般性支出情况说明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十二、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关于政府采购支出说明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十三、关于国有资产占用情况说明</w:t>
      </w:r>
    </w:p>
    <w:p>
      <w:pPr>
        <w:pStyle w:val="15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十四、</w:t>
      </w:r>
      <w:r>
        <w:rPr>
          <w:rFonts w:hint="eastAsia" w:ascii="仿宋_GB2312" w:hAnsi="仿宋_GB2312" w:eastAsia="仿宋_GB2312" w:cs="仿宋_GB2312"/>
          <w:sz w:val="28"/>
          <w:szCs w:val="28"/>
        </w:rPr>
        <w:t>关于202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年度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预算</w:t>
      </w:r>
      <w:r>
        <w:rPr>
          <w:rFonts w:hint="eastAsia" w:ascii="仿宋_GB2312" w:hAnsi="仿宋_GB2312" w:eastAsia="仿宋_GB2312" w:cs="仿宋_GB2312"/>
          <w:sz w:val="28"/>
          <w:szCs w:val="28"/>
        </w:rPr>
        <w:t>绩效情况的说明</w:t>
      </w:r>
    </w:p>
    <w:p>
      <w:pPr>
        <w:pStyle w:val="15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第四部分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名词解释</w:t>
      </w:r>
    </w:p>
    <w:p>
      <w:pPr>
        <w:pStyle w:val="15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</w:t>
      </w:r>
      <w:r>
        <w:rPr>
          <w:rFonts w:hint="eastAsia" w:hAnsi="黑体" w:cs="黑体"/>
          <w:b w:val="0"/>
          <w:bCs/>
          <w:sz w:val="28"/>
          <w:szCs w:val="28"/>
          <w:lang w:eastAsia="zh-CN"/>
        </w:rPr>
        <w:t>五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hAnsi="黑体" w:cs="黑体"/>
          <w:b w:val="0"/>
          <w:bCs/>
          <w:sz w:val="28"/>
          <w:szCs w:val="28"/>
          <w:lang w:eastAsia="zh-CN"/>
        </w:rPr>
        <w:t>附件</w:t>
      </w:r>
    </w:p>
    <w:p>
      <w:pPr>
        <w:pStyle w:val="15"/>
        <w:jc w:val="both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 xml:space="preserve">第一部分 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岳阳火车站地区综合执法支队单位概况</w:t>
      </w:r>
    </w:p>
    <w:p>
      <w:pPr>
        <w:pStyle w:val="6"/>
        <w:ind w:left="0" w:leftChars="0" w:firstLine="0" w:firstLineChars="0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>
      <w:pPr>
        <w:pStyle w:val="16"/>
        <w:numPr>
          <w:ilvl w:val="0"/>
          <w:numId w:val="1"/>
        </w:numPr>
        <w:ind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部门职责</w:t>
      </w:r>
    </w:p>
    <w:p>
      <w:pPr>
        <w:widowControl/>
        <w:numPr>
          <w:ilvl w:val="0"/>
          <w:numId w:val="2"/>
        </w:numPr>
        <w:spacing w:beforeLines="0" w:afterLines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主要负责岳阳火车站、岳阳火车东站地区的综合管理、行政执法的综合协调和监督工作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widowControl/>
        <w:numPr>
          <w:ilvl w:val="0"/>
          <w:numId w:val="2"/>
        </w:numPr>
        <w:spacing w:beforeLines="0" w:afterLines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在辖区开展综合执法并行使相对集中行政处罚权，具体行使市容环境卫生、市政、城市绿化、规划、环境保护、公安交通、工商行政、交通运输、物价、食品安全、文化市场等部分职能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widowControl/>
        <w:numPr>
          <w:ilvl w:val="0"/>
          <w:numId w:val="2"/>
        </w:numPr>
        <w:spacing w:beforeLines="0" w:afterLines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负责协调相关部门依法对辖区的社会治安和道路交通等实施管理，协调行政许可机关办理涉及市容环境、市政园林、道路运输等行政审批事项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对可能影响岳阳火车站地区管理秩序的，在审核批准前提出意见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widowControl/>
        <w:numPr>
          <w:ilvl w:val="0"/>
          <w:numId w:val="2"/>
        </w:numPr>
        <w:spacing w:beforeLines="0" w:afterLines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协助市春运办做好岳阳火车站、岳阳火车东站春运工作，拟订并组织实施岳阳火车站地区应急预案。</w:t>
      </w:r>
    </w:p>
    <w:p>
      <w:pPr>
        <w:widowControl/>
        <w:spacing w:line="600" w:lineRule="exact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二、机构设置及决算单位构成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/>
        </w:rPr>
      </w:pP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（一）内设机构设置。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岳阳火车站地区综合执法支队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内设机构包括：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综合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、财务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、办公室、人事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、法规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和处罚中心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个职能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室。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下设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个分支机构：直属一大队、直属二大队、行政处罚大队。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（二）决算单位构成。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white"/>
          <w:lang w:eastAsia="zh-CN"/>
        </w:rPr>
        <w:t>本单位无独立核算的下属单位，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white"/>
          <w:lang w:val="en-US" w:eastAsia="zh-CN"/>
        </w:rPr>
        <w:t>2023年度部门决算汇总公开单位仅包括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岳阳火车站地区综合执法支队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white"/>
          <w:lang w:val="en-US" w:eastAsia="zh-CN"/>
        </w:rPr>
        <w:t>本级</w:t>
      </w:r>
      <w:r>
        <w:rPr>
          <w:rFonts w:hint="eastAsia" w:ascii="仿宋_GB2312" w:hAnsi="仿宋_GB2312" w:eastAsia="仿宋_GB2312" w:cs="仿宋_GB2312"/>
          <w:i/>
          <w:iCs/>
          <w:color w:val="auto"/>
          <w:sz w:val="32"/>
          <w:szCs w:val="32"/>
          <w:highlight w:val="white"/>
        </w:rPr>
        <w:t>。</w:t>
      </w:r>
    </w:p>
    <w:p>
      <w:pPr>
        <w:pStyle w:val="15"/>
        <w:jc w:val="both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pStyle w:val="15"/>
        <w:jc w:val="both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pStyle w:val="15"/>
        <w:ind w:firstLine="3080" w:firstLineChars="700"/>
        <w:jc w:val="both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pStyle w:val="15"/>
        <w:ind w:firstLine="3080" w:firstLineChars="700"/>
        <w:jc w:val="both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第二部分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部门决算表</w:t>
      </w:r>
    </w:p>
    <w:p>
      <w:pPr>
        <w:pStyle w:val="15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（见附件）</w:t>
      </w:r>
    </w:p>
    <w:p>
      <w:pPr>
        <w:pStyle w:val="15"/>
        <w:jc w:val="both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>
      <w:pPr>
        <w:pStyle w:val="15"/>
        <w:jc w:val="both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第三部分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年度部门决算情况说明</w:t>
      </w:r>
    </w:p>
    <w:p>
      <w:pPr>
        <w:pStyle w:val="15"/>
        <w:jc w:val="both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说明：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由于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决算编制时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数据</w:t>
      </w:r>
      <w:r>
        <w:rPr>
          <w:rFonts w:hint="eastAsia" w:ascii="仿宋_GB2312" w:hAnsi="仿宋_GB2312" w:eastAsia="仿宋_GB2312" w:cs="仿宋_GB2312"/>
          <w:sz w:val="32"/>
          <w:szCs w:val="32"/>
        </w:rPr>
        <w:t>明细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至“金额单位：元</w:t>
      </w:r>
      <w:r>
        <w:rPr>
          <w:rFonts w:hint="eastAsia" w:ascii="仿宋_GB2312" w:hAnsi="仿宋_GB2312" w:eastAsia="仿宋_GB2312" w:cs="仿宋_GB2312"/>
          <w:sz w:val="32"/>
          <w:szCs w:val="32"/>
        </w:rPr>
        <w:t>”，而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本套部门决算文字说明</w:t>
      </w:r>
      <w:r>
        <w:rPr>
          <w:rFonts w:hint="eastAsia" w:ascii="仿宋_GB2312" w:hAnsi="仿宋_GB2312" w:eastAsia="仿宋_GB2312" w:cs="仿宋_GB2312"/>
          <w:sz w:val="32"/>
          <w:szCs w:val="32"/>
        </w:rPr>
        <w:t>和公开表格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数据</w:t>
      </w:r>
      <w:r>
        <w:rPr>
          <w:rFonts w:hint="eastAsia" w:ascii="仿宋_GB2312" w:hAnsi="仿宋_GB2312" w:eastAsia="仿宋_GB2312" w:cs="仿宋_GB2312"/>
          <w:sz w:val="32"/>
          <w:szCs w:val="32"/>
        </w:rPr>
        <w:t>取数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转换为</w:t>
      </w: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金额单位：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万元”，可能导致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以下文字说明中的各项数据取数以及公开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表格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中的各项数据取数之间存在</w:t>
      </w:r>
      <w:r>
        <w:rPr>
          <w:rFonts w:hint="eastAsia" w:ascii="仿宋_GB2312" w:hAnsi="仿宋_GB2312" w:eastAsia="仿宋_GB2312" w:cs="仿宋_GB2312"/>
          <w:sz w:val="32"/>
          <w:szCs w:val="32"/>
        </w:rPr>
        <w:t>0.01的尾数差异。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2、以下文字说明中，部分科目由于预算数为0，无法计算完成年初预算的百分比，故未描述“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完成年初预算的XX%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”。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一、收入支出决算总体情况说明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年度收、支总计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1438.90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与上年相比，减少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84.14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5.52</w:t>
      </w:r>
      <w:r>
        <w:rPr>
          <w:rFonts w:hint="eastAsia" w:ascii="仿宋_GB2312" w:hAnsi="仿宋_GB2312" w:eastAsia="仿宋_GB2312" w:cs="仿宋_GB2312"/>
          <w:sz w:val="32"/>
          <w:szCs w:val="32"/>
        </w:rPr>
        <w:t>%，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主要是因为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员经费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综合绩效奖发放方式调整，2022年度补发了2021年部分综合绩效奖，本年回归正常，导致经费支出总额小幅下降。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二、收入决算情况说明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年度收入合计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1438.90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万元，其中：财政拨款收入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1438.05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99.94</w:t>
      </w:r>
      <w:r>
        <w:rPr>
          <w:rFonts w:hint="eastAsia" w:ascii="仿宋_GB2312" w:hAnsi="仿宋_GB2312" w:eastAsia="仿宋_GB2312" w:cs="仿宋_GB2312"/>
          <w:sz w:val="32"/>
          <w:szCs w:val="32"/>
        </w:rPr>
        <w:t>%；上级补助收入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%；事业收入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%；经营收入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%；附属单位上缴收入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%；其他收入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0.85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0.06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三、支出决算情况说明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年度支出合计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1438.87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万元，其中：基本支出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1068.44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74.26</w:t>
      </w:r>
      <w:r>
        <w:rPr>
          <w:rFonts w:hint="eastAsia" w:ascii="仿宋_GB2312" w:hAnsi="仿宋_GB2312" w:eastAsia="仿宋_GB2312" w:cs="仿宋_GB2312"/>
          <w:sz w:val="32"/>
          <w:szCs w:val="32"/>
        </w:rPr>
        <w:t>%；项目支出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370.43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25.74</w:t>
      </w:r>
      <w:r>
        <w:rPr>
          <w:rFonts w:hint="eastAsia" w:ascii="仿宋_GB2312" w:hAnsi="仿宋_GB2312" w:eastAsia="仿宋_GB2312" w:cs="仿宋_GB2312"/>
          <w:sz w:val="32"/>
          <w:szCs w:val="32"/>
        </w:rPr>
        <w:t>%；上缴上级支出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%；经营支出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%；对附属单位补助支出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四、财政拨款收入支出决算总体情况说明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年度财政拨款收、支总计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1438.05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万元，与上年相比，减少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25.58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万元,减少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1.95</w:t>
      </w:r>
      <w:r>
        <w:rPr>
          <w:rFonts w:hint="eastAsia" w:ascii="仿宋_GB2312" w:hAnsi="仿宋_GB2312" w:eastAsia="仿宋_GB2312" w:cs="仿宋_GB2312"/>
          <w:sz w:val="32"/>
          <w:szCs w:val="32"/>
        </w:rPr>
        <w:t>%，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主要是因为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员经费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综合绩效奖发放方式调整，2022年度补发了2021年部分综合绩效奖，本年回归正常，导致经费支出总额小幅下降。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五、一般公共预算财政拨款支出决算情况说明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（一）一般公共预算财政拨款支出决算总体情况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年度财政拨款支出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1438.05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万元，占本年支出合计的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99.94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%，与上年相比，财政拨款支出减少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25.58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1.95</w:t>
      </w:r>
      <w:r>
        <w:rPr>
          <w:rFonts w:hint="eastAsia" w:ascii="仿宋_GB2312" w:hAnsi="仿宋_GB2312" w:eastAsia="仿宋_GB2312" w:cs="仿宋_GB2312"/>
          <w:sz w:val="32"/>
          <w:szCs w:val="32"/>
        </w:rPr>
        <w:t>%，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主要是因为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员经费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综合绩效奖发放方式调整，2022年度补发了2021年部分综合绩效奖，本年回归正常，导致经费支出总额小幅下降。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（二）一般公共预算财政拨款支出决算结构情况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年度财政拨款支出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1438.05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万元，主要用于以下方面：社会保障和就业（类）支出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83.94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5.84</w:t>
      </w:r>
      <w:r>
        <w:rPr>
          <w:rFonts w:hint="eastAsia" w:ascii="仿宋_GB2312" w:hAnsi="仿宋_GB2312" w:eastAsia="仿宋_GB2312" w:cs="仿宋_GB2312"/>
          <w:sz w:val="32"/>
          <w:szCs w:val="32"/>
        </w:rPr>
        <w:t>%；卫生健康（类）支出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39.37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2.74</w:t>
      </w:r>
      <w:r>
        <w:rPr>
          <w:rFonts w:hint="eastAsia" w:ascii="仿宋_GB2312" w:hAnsi="仿宋_GB2312" w:eastAsia="仿宋_GB2312" w:cs="仿宋_GB2312"/>
          <w:sz w:val="32"/>
          <w:szCs w:val="32"/>
        </w:rPr>
        <w:t>%;城乡社区（类）支出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1240.06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86.23</w:t>
      </w:r>
      <w:r>
        <w:rPr>
          <w:rFonts w:hint="eastAsia" w:ascii="仿宋_GB2312" w:hAnsi="仿宋_GB2312" w:eastAsia="仿宋_GB2312" w:cs="仿宋_GB2312"/>
          <w:sz w:val="32"/>
          <w:szCs w:val="32"/>
        </w:rPr>
        <w:t>%;住房保障（类）支出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74.68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5.19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（三）一般公共预算财政拨款支出决算具体情况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年度财政拨款支出年初预算数为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1355.77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1438.05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106.07</w:t>
      </w:r>
      <w:r>
        <w:rPr>
          <w:rFonts w:hint="eastAsia" w:ascii="仿宋_GB2312" w:hAnsi="仿宋_GB2312" w:eastAsia="仿宋_GB2312" w:cs="仿宋_GB2312"/>
          <w:sz w:val="32"/>
          <w:szCs w:val="32"/>
        </w:rPr>
        <w:t>%，其中：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1、社会保障和就业支出（类）行政事业单位养老支出（款） 机关事业单位基本养老保险缴费支出（项）。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74.93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74.93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%，决算数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于年初预算数的主要原因是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我单位严格按预算执行决算。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2、社会保障和就业支出（类）其他社会保障和就业支出（款）其他社会保障和就业支出（项）。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2.39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2.39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%，决算数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于年初预算数的主要原因是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我单位严格按预算执行决算。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、社会保障和就业支出（类）抚恤（款）其他优抚支出（项）。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6.62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万元，决算数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</w:t>
      </w:r>
      <w:r>
        <w:rPr>
          <w:rFonts w:hint="eastAsia" w:ascii="仿宋_GB2312" w:hAnsi="仿宋_GB2312" w:eastAsia="仿宋_GB2312" w:cs="仿宋_GB2312"/>
          <w:sz w:val="32"/>
          <w:szCs w:val="32"/>
        </w:rPr>
        <w:t>于年初预算数的主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要原因是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年中财政增拨了去世退休职工一次性抚恤金预算经费。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</w:rPr>
        <w:t>卫生健康支出（类）行政事业单位医疗（款）事业单位医疗（项）。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39.37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39.37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%，决算数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于年初预算数的主要原因是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我单位严格按预算执行决算。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、住房保障支出（类）住房改革支出（款）住房公积金（项）。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74.68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74.68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%，决算数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于年初预算数的主要原因是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我单位严格按预算执行决算。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、城乡社区支出（类）城乡社区管理事务（款）行政运行（项）。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default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820.40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808.10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98.50</w:t>
      </w:r>
      <w:r>
        <w:rPr>
          <w:rFonts w:hint="eastAsia" w:ascii="仿宋_GB2312" w:hAnsi="仿宋_GB2312" w:eastAsia="仿宋_GB2312" w:cs="仿宋_GB2312"/>
          <w:sz w:val="32"/>
          <w:szCs w:val="32"/>
        </w:rPr>
        <w:t>%，决算数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小</w:t>
      </w:r>
      <w:r>
        <w:rPr>
          <w:rFonts w:hint="eastAsia" w:ascii="仿宋_GB2312" w:hAnsi="仿宋_GB2312" w:eastAsia="仿宋_GB2312" w:cs="仿宋_GB2312"/>
          <w:sz w:val="32"/>
          <w:szCs w:val="32"/>
        </w:rPr>
        <w:t>于年初预算数的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主要原因是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2023年终预算一体化系统升级，暂停资金支付业务，部分费用未及时支付。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、城乡社区支出（类）城乡社区管理事务（款）城管执法（项）。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2.97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万元，决算数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于年初预算数的主要原因是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年中财政从市城管支队调回公车运行维护预算经费。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、城乡社区支出（类）城乡社区管理事务（款）其他城乡社区管理事务支出（项）。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33.69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万元，决算数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于年初预算数的主要原因是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年中财政增拨了部分专项执法管理预算经费。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、城乡社区支出（类）城乡社区规划与管理（款）城乡社区规划与管理（项）。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341.00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348.46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万元，完成年初预算的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102.19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%，决算数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于年初预算数的主要原因是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上年经费结转本年支付。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、城乡社区支出（类）其他城乡社区支出（款）其他城乡社区支出（项）。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黑体" w:hAnsi="黑体" w:eastAsia="仿宋_GB2312" w:cs="黑体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46.48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万元，决算数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于年初预算数的主要原因是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年中财政增拨了部分人员经费预算。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六、一般公共预算财政拨款基本支出决算情况说明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年度财政拨款基本支出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1067.62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人员经费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965.94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万元，占基本支出的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90.48</w:t>
      </w:r>
      <w:r>
        <w:rPr>
          <w:rFonts w:hint="eastAsia" w:ascii="仿宋_GB2312" w:hAnsi="仿宋_GB2312" w:eastAsia="仿宋_GB2312" w:cs="仿宋_GB2312"/>
          <w:sz w:val="32"/>
          <w:szCs w:val="32"/>
        </w:rPr>
        <w:t>%,主要包括基本工资、津贴补贴、奖金、伙食补助费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绩效工资、机关事业单位基本养老保险缴费、职工基本医疗保险缴费、其他社会保障缴费、住房公积金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退休费、抚恤金、医疗补助费、奖励金、其他对个人和家庭的补助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公用经费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101.68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万元，占基本支出的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9.52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%，主要包括办公费、印刷费、咨询费、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水费、电费、邮电费、物业管理费、差旅费、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维修（护）费、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租赁费、培训费、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劳务费、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工会经费、福利费、公务用车运行维护费、其他交通费用、其他商品和服务支出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七、政府性基金预算收入支出决算情况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/>
          <w:color w:val="auto"/>
          <w:kern w:val="0"/>
          <w:sz w:val="32"/>
          <w:szCs w:val="32"/>
          <w:lang w:val="en-US" w:eastAsia="zh-CN" w:bidi="ar-SA"/>
        </w:rPr>
        <w:t>2023年度政府性基金预算财政拨款收入0万元；年初结转和结余0万元；支出0万元，其中基本支出0万元，项目支出0万元；年末结转和结余0万元。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-SA"/>
        </w:rPr>
        <w:t>八、国有资本经营预算财政拨款支出决算情况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/>
          <w:color w:val="auto"/>
          <w:kern w:val="0"/>
          <w:sz w:val="32"/>
          <w:szCs w:val="32"/>
          <w:lang w:val="en-US" w:eastAsia="zh-CN" w:bidi="ar-SA"/>
        </w:rPr>
        <w:t>2023年度国有资本经营预算财政拨款收入0万元；年初结转和结余0万元；支出0万元，其中：基本支出0万元，项目支出0万元；年末结转和结余0万元。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hint="eastAsia" w:hAnsi="黑体" w:cs="黑体"/>
          <w:b w:val="0"/>
          <w:bCs/>
          <w:sz w:val="32"/>
          <w:szCs w:val="32"/>
          <w:lang w:eastAsia="zh-CN"/>
        </w:rPr>
        <w:t>九、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财政拨款三公经费支出决算情况说明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b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</w:rPr>
        <w:t>（一）“三公”经费财政拨款支出决算总体情况说明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“三公”经费财政拨款支出预算为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5.97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59.70</w:t>
      </w:r>
      <w:r>
        <w:rPr>
          <w:rFonts w:hint="eastAsia" w:ascii="仿宋_GB2312" w:hAnsi="仿宋_GB2312" w:eastAsia="仿宋_GB2312" w:cs="仿宋_GB2312"/>
          <w:sz w:val="32"/>
          <w:szCs w:val="32"/>
        </w:rPr>
        <w:t>%，决算数小于预算数的主要原因是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highlight w:val="white"/>
          <w:lang w:val="zh-CN"/>
        </w:rPr>
        <w:t>认真贯彻落实中央“八项规定”精神，从严控制“三公”经费支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highlight w:val="white"/>
          <w:lang w:val="en-US" w:eastAsia="zh-CN"/>
        </w:rPr>
        <w:t>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与上年相比减少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0.25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4.19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减少的主要原因是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highlight w:val="white"/>
          <w:lang w:val="zh-CN"/>
        </w:rPr>
        <w:t>厉行节约，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highlight w:val="white"/>
          <w:lang w:val="en-US" w:eastAsia="zh-CN"/>
        </w:rPr>
        <w:t>压减一般性支出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。其中：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因公出国（境）费支出预算为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万元，决算数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于预算数的主要原因是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我单位严格按预算执行决算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与上年一致，无增减变动，主要原因是未安排因公出国（境）活动。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公务接待费支出预算为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%，决算数小于预算数的主要原因是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 xml:space="preserve">严格执行中央八项规定；与上年一致，无增减变动，主要原因是按有关政策厉行节约，严控公务接待支出。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公务用车购置费支出预算为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 xml:space="preserve">决算数等于预算数，主要原因是我单位严格按预算执行决算；与上年一致，无增减变动，主要原因是两年均未购置公务用车。  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公务用车运行维护费支出预算为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5.97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66.33</w:t>
      </w:r>
      <w:r>
        <w:rPr>
          <w:rFonts w:hint="eastAsia" w:ascii="仿宋_GB2312" w:hAnsi="仿宋_GB2312" w:eastAsia="仿宋_GB2312" w:cs="仿宋_GB2312"/>
          <w:sz w:val="32"/>
          <w:szCs w:val="32"/>
        </w:rPr>
        <w:t>%，决算数小于预算数的主要原因是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highlight w:val="white"/>
          <w:lang w:val="zh-CN"/>
        </w:rPr>
        <w:t>认真贯彻落实厉行节约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highlight w:val="white"/>
          <w:lang w:val="en-US" w:eastAsia="zh-CN"/>
        </w:rPr>
        <w:t>精神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highlight w:val="white"/>
          <w:lang w:val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压减一般性支出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，与上年相比减少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0.25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4.00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减少的主要原因是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公务用车运行费方面管理规范，公务用车必须开公务车派车单才能出行，车辆加油、维修由办公室统一规范管理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b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</w:rPr>
        <w:t>（二）“三公”经费财政拨款支出决算具体情况说明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年度“三公”经费财政拨款支出决算中，公务接待费支出决算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因公出国（境）费支出决算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公务用车购置费及运行维护费支出决算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5.97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%。其中：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i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因公出国（境）费支出决算为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万元，全年安排因公出国（境）团组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个，累计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人次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，我单位2023年度无因公出国（境）费支出。</w:t>
      </w:r>
      <w:r>
        <w:rPr>
          <w:rFonts w:hint="eastAsia" w:ascii="仿宋_GB2312" w:hAnsi="仿宋_GB2312" w:eastAsia="仿宋_GB2312" w:cs="仿宋_GB2312"/>
          <w:b w:val="0"/>
          <w:bCs/>
          <w:color w:val="FF0000"/>
          <w:kern w:val="0"/>
          <w:sz w:val="32"/>
          <w:szCs w:val="32"/>
          <w:lang w:val="en-US" w:eastAsia="zh-CN" w:bidi="ar-SA"/>
        </w:rPr>
        <w:t xml:space="preserve">  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2、公务接待费支出决算为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万元，全年共接待来访团组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个、来宾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人次，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我单位2023年度无公务接待费支出。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黑体" w:hAnsi="黑体" w:eastAsia="黑体" w:cs="黑体"/>
          <w:b w:val="0"/>
          <w:bCs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3、公务用车购置费及运行维护费支出决算为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5.97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万元，其中：公务用车购置费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当年没有购置公务用车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公务用车运行维护费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5.97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车辆油料费、维修费、保险费及年检费用等支出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，截止202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年12月31日，我单位开支财政拨款的公务用车保有量为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b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auto"/>
          <w:sz w:val="32"/>
          <w:szCs w:val="32"/>
          <w:lang w:eastAsia="zh-CN"/>
        </w:rPr>
        <w:t>十</w:t>
      </w:r>
      <w:r>
        <w:rPr>
          <w:rFonts w:hint="eastAsia" w:ascii="Times New Roman" w:hAnsi="Times New Roman" w:eastAsia="仿宋_GB2312"/>
          <w:b/>
          <w:color w:val="auto"/>
          <w:sz w:val="32"/>
          <w:szCs w:val="32"/>
        </w:rPr>
        <w:t>、关于机关运行经费支出说明</w:t>
      </w:r>
    </w:p>
    <w:p>
      <w:pPr>
        <w:pStyle w:val="15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/>
          <w:color w:val="auto"/>
          <w:sz w:val="32"/>
          <w:szCs w:val="32"/>
          <w:lang w:val="en-US" w:eastAsia="zh-CN"/>
        </w:rPr>
        <w:t>本单位为公益一类事业单位，按照机关运行经费的口径，本年度机关运行经费为0。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</w:t>
      </w:r>
      <w:r>
        <w:rPr>
          <w:rFonts w:hint="eastAsia" w:hAnsi="黑体" w:cs="黑体"/>
          <w:b w:val="0"/>
          <w:bCs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、一般性支出情况说明</w:t>
      </w:r>
    </w:p>
    <w:p>
      <w:pPr>
        <w:pStyle w:val="15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度，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lang w:val="en-US" w:eastAsia="zh-CN" w:bidi="ar-SA"/>
        </w:rPr>
        <w:t>本单位无会议费的预算和支出决算数；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培训费年初预算0.80万元，支出决算为0.46万元，完成年初预算的57.50%，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用于开展内部审计、城市管理执法干部培训，人数3人，内容为财务人员内部审计知识、城市管理执法相关知识；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lang w:val="en-US" w:eastAsia="zh-CN" w:bidi="ar-SA"/>
        </w:rPr>
        <w:t>本单位无举办节庆、晚会、论坛、赛事等活动的预算和支出决算数。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</w:t>
      </w:r>
      <w:r>
        <w:rPr>
          <w:rFonts w:hint="eastAsia" w:hAnsi="黑体" w:cs="黑体"/>
          <w:b w:val="0"/>
          <w:bCs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、关于政府采购支出说明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本部门202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年度政府采购支出总额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158.53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万元，其中：政府采购货物支出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27.03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万元、政府采购工程支出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3.18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万元、政府采购服务支出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128.32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万元。授予中小企业合同金额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158.53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万元，占政府采购支出总额的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%，其中：授予小微企业合同金额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158.53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授予中小企业合同金额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%。货物采购授予中小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企业合同金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额占货物支出金额的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%，工程采购授予中小企业合同金额占工程支出金额的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%，服务采购授予中小企业合同金额占服务支出金额的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</w:t>
      </w:r>
      <w:bookmarkStart w:id="0" w:name="_GoBack"/>
      <w:bookmarkEnd w:id="0"/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十</w:t>
      </w:r>
      <w:r>
        <w:rPr>
          <w:rFonts w:hint="eastAsia" w:hAnsi="黑体" w:cs="黑体"/>
          <w:b w:val="0"/>
          <w:bCs/>
          <w:color w:val="auto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、关于国有资产占用情况说明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截至202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年12月31日，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共有车辆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辆，其中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，副部（省）级及以上领导用车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负责人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机要通信用车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辆、应急保障用车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辆、执法执勤用车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辆、特种专业技术用车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离退休干部服务用车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辆、其他用车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辆；单位价值100万元以上设备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（不含车辆）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台（套）。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十</w:t>
      </w:r>
      <w:r>
        <w:rPr>
          <w:rFonts w:hint="eastAsia" w:hAnsi="黑体" w:cs="黑体"/>
          <w:b w:val="0"/>
          <w:bCs/>
          <w:color w:val="auto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、关于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年度</w:t>
      </w:r>
      <w:r>
        <w:rPr>
          <w:rFonts w:hint="eastAsia" w:hAnsi="黑体" w:cs="黑体"/>
          <w:b w:val="0"/>
          <w:bCs/>
          <w:color w:val="auto"/>
          <w:sz w:val="32"/>
          <w:szCs w:val="32"/>
          <w:lang w:eastAsia="zh-CN"/>
        </w:rPr>
        <w:t>预算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绩效情况的说明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（一）绩效管理工作开展情况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根据预算绩效管理要求，我们组织对2023年度整体支出和项目资金实施了全覆盖性的绩效评价，撰写了绩效自评报告。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组织开展整体支出绩效评价，涉及一般公共预算支出1438.05万元，政府性基金预算支出0万元，国有资本经营预算支出0万元。从评价情况来看，整体支出绩效评价中，2023年整体支出1438.87万元，其中：基本支出1068.44万元，项目支出370.43万元，本单位整体支出绩效自评综合评分96.71分，评价结果等次为优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组织对一般公共预算项目支出全面开展绩效自评，项目4个，共涉及资金370.43万元，占一般公共预算项目支出总额的100%。组织对政府性基金预算项目支出开展绩效自评，项目0个，共涉及资金0万元（由于政府性基金预算项目支出总额为0，故无法计算占政府性基金预算项目支出总额比重）。组织对国有资本经营预算项目支出开展绩效自评，项目0个，共涉及资金0万元（由于国有资本经营预算项目支出总额为0，故无法计算占国有资本经营预算项目支出总额的比重）。从评价情况来看，项目绩效自评得分均在97分以上，评价结果等次为优秀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部门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（单位）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整体支出绩效情况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根据年初设定的绩效目标，绩效自评得分为96.71分。全年预算数为1482.16万元，执行数为1438.90万元，完成预算的97.08%。绩效目标完成情况：一是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在岳阳火车站地区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认真贯彻、执行国家和地方关于综合行政执法的政策、法规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，取得了良好的效果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依法实施行政处罚，加强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</w:rPr>
        <w:t>两站辖区内非法营运打击力度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，对</w:t>
      </w:r>
      <w:r>
        <w:rPr>
          <w:rFonts w:hint="eastAsia" w:ascii="仿宋_GB2312" w:hAnsi="仿宋_GB2312" w:eastAsia="仿宋_GB2312" w:cs="仿宋_GB2312"/>
          <w:sz w:val="32"/>
          <w:szCs w:val="32"/>
        </w:rPr>
        <w:t>两站辖区内的经营秩序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进行了</w:t>
      </w:r>
      <w:r>
        <w:rPr>
          <w:rFonts w:hint="eastAsia" w:ascii="仿宋_GB2312" w:hAnsi="仿宋_GB2312" w:eastAsia="仿宋_GB2312" w:cs="仿宋_GB2312"/>
          <w:sz w:val="32"/>
          <w:szCs w:val="32"/>
        </w:rPr>
        <w:t>整顿管理等工作，协助市春运办做好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</w:rPr>
        <w:t>一年一度的岳阳火车站、岳阳火车东站的春运工作；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为我市打造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</w:rPr>
        <w:t>环境优美、秩序井然、干净整洁的窗口环境。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支队将始终贯彻“以人民为中心”理念，持续抓好便民服务，为过往旅客提供了安全舒适的出行环境，</w:t>
      </w:r>
      <w:r>
        <w:rPr>
          <w:rFonts w:hint="eastAsia" w:ascii="仿宋_GB2312" w:hAnsi="仿宋_GB2312" w:eastAsia="仿宋_GB2312" w:cs="仿宋_GB2312"/>
          <w:sz w:val="32"/>
          <w:szCs w:val="32"/>
        </w:rPr>
        <w:t>为我市打造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</w:rPr>
        <w:t>环境优美、秩序井然、干净整洁的窗口环境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，等到了市民和过往旅客的普遍赞誉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2023年12月10日，全国总工会公布了全国“最美驿站”评选结果：“湖南省岳阳市高铁站（东站）地区综合执法支队工会户外劳动者服务站点”榜上有名！在城管便民服务领域，支队取得了创新突破，拿到了国家级荣誉！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（三）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存在的问题及原因分析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存在的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主要问题及原因：一是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2023年度非税执收计划未完成，主要原因为非税收入预算编制不够准确，未充分分析单位工作实际情况。另外，支队加强了相关法律、法规的宣传教育，随着执法力度的加大，各类违法、违规案件明显减少，行政处罚案件数量减少，导致当年非税执收计划未完成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政府采购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预算编制和实际执行数偏差较大，主要原因为对政府采购制度学习不够深入，导致政府采购预算编制和实际执行数存在偏差。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下一步改进措施：一是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加强单位部门间沟通，合理预计下年工作情况，提升非税执收计划精准度；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加强政府采购相关制度学习，合理预计下一年工作情况，规范编制政府采购预算，加大政府采购电子卖场执行力度，进一步提高政府采购预算执行率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。</w:t>
      </w:r>
    </w:p>
    <w:p>
      <w:pPr>
        <w:autoSpaceDE w:val="0"/>
        <w:autoSpaceDN w:val="0"/>
        <w:adjustRightInd w:val="0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预算绩效管理开展情况、绩效目标和绩效评价报告等，已在市政府部门财政预决算公开平台上向社会公开，详见附件。</w:t>
      </w:r>
    </w:p>
    <w:p>
      <w:pPr>
        <w:pStyle w:val="15"/>
        <w:jc w:val="both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pStyle w:val="15"/>
        <w:jc w:val="center"/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第四部分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  <w:t>名词解释</w:t>
      </w:r>
    </w:p>
    <w:p/>
    <w:p>
      <w:pPr>
        <w:pStyle w:val="10"/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一、“三公”经费：指用财政拨款安排的因公出国（境）费、公务用车购置及运行费和公务接待费。其中，因公出国（境）费反映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二、机关运行经费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，指为保障行政单位（包括参照公务员法管理的事业单位）运行用于购买货物和服务的各项资金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，包括办公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费、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印刷费、邮电费、差旅费、会议费、日常维修费、专用材料及一般设备购置费、办公用房水电费、办公用房取暖费、办公用房物业管理费、公务用车运行维护费以及其他费用。</w:t>
      </w:r>
    </w:p>
    <w:p/>
    <w:p>
      <w:pPr>
        <w:pStyle w:val="10"/>
      </w:pPr>
    </w:p>
    <w:p>
      <w:pPr>
        <w:pStyle w:val="6"/>
        <w:ind w:left="0" w:leftChars="0" w:firstLine="0" w:firstLineChars="0"/>
      </w:pPr>
    </w:p>
    <w:p>
      <w:pPr>
        <w:pStyle w:val="15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部分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附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件</w:t>
      </w:r>
    </w:p>
    <w:p>
      <w:pPr>
        <w:ind w:firstLine="640" w:firstLineChars="200"/>
        <w:jc w:val="left"/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  <w:t>1、2023年部门决算公开表格</w:t>
      </w:r>
    </w:p>
    <w:p>
      <w:pPr>
        <w:ind w:firstLine="640" w:firstLineChars="200"/>
        <w:jc w:val="left"/>
        <w:rPr>
          <w:rFonts w:ascii="宋体" w:hAnsi="宋体" w:eastAsia="宋体" w:cs="黑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  <w:t>2、</w:t>
      </w: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</w:rPr>
        <w:t>202</w:t>
      </w: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</w:rPr>
        <w:t>年度部门整体支出绩效评价报告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3518C1"/>
    <w:multiLevelType w:val="multilevel"/>
    <w:tmpl w:val="373518C1"/>
    <w:lvl w:ilvl="0" w:tentative="0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6692E84"/>
    <w:multiLevelType w:val="singleLevel"/>
    <w:tmpl w:val="66692E84"/>
    <w:lvl w:ilvl="0" w:tentative="0">
      <w:start w:val="1"/>
      <w:numFmt w:val="chineseCounting"/>
      <w:suff w:val="nothing"/>
      <w:lvlText w:val="（%1）"/>
      <w:lvlJc w:val="left"/>
      <w:rPr>
        <w:rFonts w:hint="eastAsia" w:ascii="楷体_GB2312" w:hAnsi="楷体_GB2312" w:eastAsia="楷体_GB2312" w:cs="楷体_GB231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5OTBlMjkxOGJkZTY2YWVjYTkxNWZjODEzNjkwZDcifQ=="/>
  </w:docVars>
  <w:rsids>
    <w:rsidRoot w:val="004506F9"/>
    <w:rsid w:val="0002229B"/>
    <w:rsid w:val="000273BD"/>
    <w:rsid w:val="00040CBC"/>
    <w:rsid w:val="000415B7"/>
    <w:rsid w:val="00041E3F"/>
    <w:rsid w:val="00055DAA"/>
    <w:rsid w:val="00061F7B"/>
    <w:rsid w:val="000658A3"/>
    <w:rsid w:val="00074155"/>
    <w:rsid w:val="000A3F69"/>
    <w:rsid w:val="00103957"/>
    <w:rsid w:val="00152C6D"/>
    <w:rsid w:val="00162D39"/>
    <w:rsid w:val="001678BD"/>
    <w:rsid w:val="00182373"/>
    <w:rsid w:val="001A67DB"/>
    <w:rsid w:val="001C3C29"/>
    <w:rsid w:val="001D51E5"/>
    <w:rsid w:val="001E080D"/>
    <w:rsid w:val="001E53D0"/>
    <w:rsid w:val="001F0C3B"/>
    <w:rsid w:val="00202C82"/>
    <w:rsid w:val="00214427"/>
    <w:rsid w:val="00226CB7"/>
    <w:rsid w:val="00264552"/>
    <w:rsid w:val="00264EF9"/>
    <w:rsid w:val="00265724"/>
    <w:rsid w:val="0027426B"/>
    <w:rsid w:val="002E0A30"/>
    <w:rsid w:val="003130C4"/>
    <w:rsid w:val="00316C4B"/>
    <w:rsid w:val="0032192B"/>
    <w:rsid w:val="003479BD"/>
    <w:rsid w:val="0037197D"/>
    <w:rsid w:val="003768D5"/>
    <w:rsid w:val="003926B9"/>
    <w:rsid w:val="003C47E6"/>
    <w:rsid w:val="003C4FC2"/>
    <w:rsid w:val="00416E61"/>
    <w:rsid w:val="0042790C"/>
    <w:rsid w:val="004506F9"/>
    <w:rsid w:val="004717A2"/>
    <w:rsid w:val="00473DF3"/>
    <w:rsid w:val="00487911"/>
    <w:rsid w:val="00491741"/>
    <w:rsid w:val="004B0CEE"/>
    <w:rsid w:val="00500E5F"/>
    <w:rsid w:val="005122EF"/>
    <w:rsid w:val="0051441A"/>
    <w:rsid w:val="00517C33"/>
    <w:rsid w:val="00517D5F"/>
    <w:rsid w:val="00523644"/>
    <w:rsid w:val="0054069E"/>
    <w:rsid w:val="00544866"/>
    <w:rsid w:val="005767CC"/>
    <w:rsid w:val="00590D9F"/>
    <w:rsid w:val="00595D26"/>
    <w:rsid w:val="005A74E6"/>
    <w:rsid w:val="005B404E"/>
    <w:rsid w:val="005D4D55"/>
    <w:rsid w:val="005E2CFB"/>
    <w:rsid w:val="005F2103"/>
    <w:rsid w:val="005F3D1C"/>
    <w:rsid w:val="0062378F"/>
    <w:rsid w:val="00641842"/>
    <w:rsid w:val="00651EEC"/>
    <w:rsid w:val="00686673"/>
    <w:rsid w:val="00691E8C"/>
    <w:rsid w:val="006A22C4"/>
    <w:rsid w:val="006A351B"/>
    <w:rsid w:val="006B0422"/>
    <w:rsid w:val="006C1B53"/>
    <w:rsid w:val="006D7730"/>
    <w:rsid w:val="006E5284"/>
    <w:rsid w:val="006F3EB5"/>
    <w:rsid w:val="00702E34"/>
    <w:rsid w:val="00704395"/>
    <w:rsid w:val="00710FE7"/>
    <w:rsid w:val="00717621"/>
    <w:rsid w:val="00720FF1"/>
    <w:rsid w:val="00727A53"/>
    <w:rsid w:val="00787B42"/>
    <w:rsid w:val="007C4539"/>
    <w:rsid w:val="007F3657"/>
    <w:rsid w:val="00812ED5"/>
    <w:rsid w:val="008277D9"/>
    <w:rsid w:val="0084478C"/>
    <w:rsid w:val="0086638C"/>
    <w:rsid w:val="008A3E8D"/>
    <w:rsid w:val="009237C4"/>
    <w:rsid w:val="00944C48"/>
    <w:rsid w:val="00950252"/>
    <w:rsid w:val="00967F5D"/>
    <w:rsid w:val="009A0F95"/>
    <w:rsid w:val="009B3ADF"/>
    <w:rsid w:val="009B4D8E"/>
    <w:rsid w:val="009C3B52"/>
    <w:rsid w:val="009E6817"/>
    <w:rsid w:val="009E6E9A"/>
    <w:rsid w:val="00A01D2B"/>
    <w:rsid w:val="00A42218"/>
    <w:rsid w:val="00A70249"/>
    <w:rsid w:val="00A70B02"/>
    <w:rsid w:val="00A71D9F"/>
    <w:rsid w:val="00A92E9F"/>
    <w:rsid w:val="00AB18FF"/>
    <w:rsid w:val="00B33BEA"/>
    <w:rsid w:val="00B57C9F"/>
    <w:rsid w:val="00B63572"/>
    <w:rsid w:val="00B845B3"/>
    <w:rsid w:val="00B85D8B"/>
    <w:rsid w:val="00BB041E"/>
    <w:rsid w:val="00BB4A40"/>
    <w:rsid w:val="00BD6C3E"/>
    <w:rsid w:val="00BE3674"/>
    <w:rsid w:val="00C10681"/>
    <w:rsid w:val="00C3049A"/>
    <w:rsid w:val="00C31B1E"/>
    <w:rsid w:val="00C77645"/>
    <w:rsid w:val="00CE04C3"/>
    <w:rsid w:val="00CE76A0"/>
    <w:rsid w:val="00D148C6"/>
    <w:rsid w:val="00D17A8A"/>
    <w:rsid w:val="00D415BA"/>
    <w:rsid w:val="00D63780"/>
    <w:rsid w:val="00D644EE"/>
    <w:rsid w:val="00DD06FF"/>
    <w:rsid w:val="00DD5FE9"/>
    <w:rsid w:val="00E00C7A"/>
    <w:rsid w:val="00E37D6C"/>
    <w:rsid w:val="00E55B68"/>
    <w:rsid w:val="00E561AE"/>
    <w:rsid w:val="00E67BE6"/>
    <w:rsid w:val="00E8683C"/>
    <w:rsid w:val="00EA2B72"/>
    <w:rsid w:val="00F74360"/>
    <w:rsid w:val="00FB462F"/>
    <w:rsid w:val="00FE16FA"/>
    <w:rsid w:val="00FE328A"/>
    <w:rsid w:val="00FE6269"/>
    <w:rsid w:val="00FF5CD6"/>
    <w:rsid w:val="0132783D"/>
    <w:rsid w:val="01566161"/>
    <w:rsid w:val="017478F3"/>
    <w:rsid w:val="018362EB"/>
    <w:rsid w:val="01EC20E2"/>
    <w:rsid w:val="029C58B6"/>
    <w:rsid w:val="0305345B"/>
    <w:rsid w:val="03577A2F"/>
    <w:rsid w:val="043A5387"/>
    <w:rsid w:val="048A44A4"/>
    <w:rsid w:val="04D806FC"/>
    <w:rsid w:val="055D5089"/>
    <w:rsid w:val="059958AD"/>
    <w:rsid w:val="05C97DE0"/>
    <w:rsid w:val="05E337FC"/>
    <w:rsid w:val="06C857E7"/>
    <w:rsid w:val="07097292"/>
    <w:rsid w:val="075A189C"/>
    <w:rsid w:val="07D9701F"/>
    <w:rsid w:val="08931509"/>
    <w:rsid w:val="08A454C4"/>
    <w:rsid w:val="08A76D63"/>
    <w:rsid w:val="08C24A73"/>
    <w:rsid w:val="0B7D7A18"/>
    <w:rsid w:val="0B882E7B"/>
    <w:rsid w:val="0BE00114"/>
    <w:rsid w:val="0C9910B8"/>
    <w:rsid w:val="0C9F66CF"/>
    <w:rsid w:val="0DC99C35"/>
    <w:rsid w:val="0E511C4A"/>
    <w:rsid w:val="0F152C78"/>
    <w:rsid w:val="10390BE8"/>
    <w:rsid w:val="108F6A5A"/>
    <w:rsid w:val="109113A8"/>
    <w:rsid w:val="10E8050C"/>
    <w:rsid w:val="118714DF"/>
    <w:rsid w:val="12370063"/>
    <w:rsid w:val="12583BA5"/>
    <w:rsid w:val="126F6D64"/>
    <w:rsid w:val="13636A15"/>
    <w:rsid w:val="13BA5B9C"/>
    <w:rsid w:val="14027543"/>
    <w:rsid w:val="14861F22"/>
    <w:rsid w:val="15121A08"/>
    <w:rsid w:val="151B1231"/>
    <w:rsid w:val="165F0C7D"/>
    <w:rsid w:val="174165D4"/>
    <w:rsid w:val="17BA39F7"/>
    <w:rsid w:val="19212219"/>
    <w:rsid w:val="1A002777"/>
    <w:rsid w:val="1A3366A8"/>
    <w:rsid w:val="1BBE785B"/>
    <w:rsid w:val="1C112A19"/>
    <w:rsid w:val="1C890801"/>
    <w:rsid w:val="1D305121"/>
    <w:rsid w:val="1D3A1AFC"/>
    <w:rsid w:val="1D97DEFF"/>
    <w:rsid w:val="1DBE44DB"/>
    <w:rsid w:val="1DE96000"/>
    <w:rsid w:val="1DFF72E5"/>
    <w:rsid w:val="1EFC6F07"/>
    <w:rsid w:val="1F0527A6"/>
    <w:rsid w:val="1F136AA8"/>
    <w:rsid w:val="1FDFBC0C"/>
    <w:rsid w:val="204F1D62"/>
    <w:rsid w:val="20CA08FD"/>
    <w:rsid w:val="20D02EA3"/>
    <w:rsid w:val="20D56763"/>
    <w:rsid w:val="21725D08"/>
    <w:rsid w:val="21B04A82"/>
    <w:rsid w:val="22853819"/>
    <w:rsid w:val="22AC03C2"/>
    <w:rsid w:val="22E5075C"/>
    <w:rsid w:val="238C6E29"/>
    <w:rsid w:val="23E17175"/>
    <w:rsid w:val="251D242F"/>
    <w:rsid w:val="25A14E0E"/>
    <w:rsid w:val="27532138"/>
    <w:rsid w:val="27933B14"/>
    <w:rsid w:val="27A208CE"/>
    <w:rsid w:val="295B1778"/>
    <w:rsid w:val="29E11C7D"/>
    <w:rsid w:val="2AA60CEE"/>
    <w:rsid w:val="2ABC03C7"/>
    <w:rsid w:val="2B0B2D29"/>
    <w:rsid w:val="2B396A1A"/>
    <w:rsid w:val="2B8A654A"/>
    <w:rsid w:val="2CA945A8"/>
    <w:rsid w:val="2CAB78A9"/>
    <w:rsid w:val="2EA66FF1"/>
    <w:rsid w:val="2F625489"/>
    <w:rsid w:val="2FDF85B8"/>
    <w:rsid w:val="2FFFEE04"/>
    <w:rsid w:val="311F4239"/>
    <w:rsid w:val="31C95635"/>
    <w:rsid w:val="32760CD8"/>
    <w:rsid w:val="3329254E"/>
    <w:rsid w:val="334525A5"/>
    <w:rsid w:val="334E5EA9"/>
    <w:rsid w:val="33925D96"/>
    <w:rsid w:val="33C61EE3"/>
    <w:rsid w:val="344C063B"/>
    <w:rsid w:val="34DF85B0"/>
    <w:rsid w:val="34F565DC"/>
    <w:rsid w:val="358362DE"/>
    <w:rsid w:val="35B2782E"/>
    <w:rsid w:val="35FE29D4"/>
    <w:rsid w:val="368E4F3A"/>
    <w:rsid w:val="36A52284"/>
    <w:rsid w:val="372E5DD5"/>
    <w:rsid w:val="375515B4"/>
    <w:rsid w:val="377331BD"/>
    <w:rsid w:val="37F76333"/>
    <w:rsid w:val="388D1222"/>
    <w:rsid w:val="38A24CCD"/>
    <w:rsid w:val="38D40BFF"/>
    <w:rsid w:val="38DD3F57"/>
    <w:rsid w:val="39DE1627"/>
    <w:rsid w:val="3AF6568A"/>
    <w:rsid w:val="3B12171C"/>
    <w:rsid w:val="3B8F36BC"/>
    <w:rsid w:val="3BD827B4"/>
    <w:rsid w:val="3BD86C58"/>
    <w:rsid w:val="3C2123AD"/>
    <w:rsid w:val="3CCC056A"/>
    <w:rsid w:val="3D69400B"/>
    <w:rsid w:val="3D9A1FD1"/>
    <w:rsid w:val="3E261EFC"/>
    <w:rsid w:val="3EBF012E"/>
    <w:rsid w:val="3F381EE7"/>
    <w:rsid w:val="3F3A52AA"/>
    <w:rsid w:val="3F493D17"/>
    <w:rsid w:val="3FDF05B5"/>
    <w:rsid w:val="3FDFD375"/>
    <w:rsid w:val="406805AA"/>
    <w:rsid w:val="420B62E4"/>
    <w:rsid w:val="42817701"/>
    <w:rsid w:val="43FC14FB"/>
    <w:rsid w:val="445D419E"/>
    <w:rsid w:val="451E1B7F"/>
    <w:rsid w:val="45315B3A"/>
    <w:rsid w:val="455530C7"/>
    <w:rsid w:val="45F740A0"/>
    <w:rsid w:val="463E1404"/>
    <w:rsid w:val="46796E3D"/>
    <w:rsid w:val="469814BD"/>
    <w:rsid w:val="46D544C0"/>
    <w:rsid w:val="46EB64C5"/>
    <w:rsid w:val="474433F3"/>
    <w:rsid w:val="48253225"/>
    <w:rsid w:val="491FF225"/>
    <w:rsid w:val="49CB3958"/>
    <w:rsid w:val="4A3B288C"/>
    <w:rsid w:val="4BC845F3"/>
    <w:rsid w:val="4C7A0C12"/>
    <w:rsid w:val="4C8A1889"/>
    <w:rsid w:val="4CA26BF2"/>
    <w:rsid w:val="4CA26BFB"/>
    <w:rsid w:val="4F1B712F"/>
    <w:rsid w:val="4F5B577E"/>
    <w:rsid w:val="4FC215B7"/>
    <w:rsid w:val="4FFD214C"/>
    <w:rsid w:val="513D15DF"/>
    <w:rsid w:val="519C1079"/>
    <w:rsid w:val="51CE66DB"/>
    <w:rsid w:val="51D27F79"/>
    <w:rsid w:val="52324DF2"/>
    <w:rsid w:val="525A7F6F"/>
    <w:rsid w:val="5352765A"/>
    <w:rsid w:val="5394125E"/>
    <w:rsid w:val="53FF1C1B"/>
    <w:rsid w:val="548D462B"/>
    <w:rsid w:val="558D41B7"/>
    <w:rsid w:val="560E52F8"/>
    <w:rsid w:val="574D3BFE"/>
    <w:rsid w:val="5777D4F5"/>
    <w:rsid w:val="57FF29A0"/>
    <w:rsid w:val="59926240"/>
    <w:rsid w:val="59DD8326"/>
    <w:rsid w:val="59F475B8"/>
    <w:rsid w:val="5B2630E4"/>
    <w:rsid w:val="5B7756EE"/>
    <w:rsid w:val="5BAC183B"/>
    <w:rsid w:val="5BFF8294"/>
    <w:rsid w:val="5CDD77D2"/>
    <w:rsid w:val="5D857325"/>
    <w:rsid w:val="5DAF5613"/>
    <w:rsid w:val="5DEF592A"/>
    <w:rsid w:val="5F922AF6"/>
    <w:rsid w:val="5FC6BB1E"/>
    <w:rsid w:val="5FF720F1"/>
    <w:rsid w:val="603E3422"/>
    <w:rsid w:val="6109328C"/>
    <w:rsid w:val="621C2B4B"/>
    <w:rsid w:val="62232020"/>
    <w:rsid w:val="622C1B9B"/>
    <w:rsid w:val="62977CA8"/>
    <w:rsid w:val="63260125"/>
    <w:rsid w:val="63474081"/>
    <w:rsid w:val="639037F0"/>
    <w:rsid w:val="63A4729C"/>
    <w:rsid w:val="63AF74DC"/>
    <w:rsid w:val="63F024E1"/>
    <w:rsid w:val="651641C9"/>
    <w:rsid w:val="656E5DB3"/>
    <w:rsid w:val="65AD68DC"/>
    <w:rsid w:val="66AC6AAF"/>
    <w:rsid w:val="66C235E6"/>
    <w:rsid w:val="66F978FF"/>
    <w:rsid w:val="67694A84"/>
    <w:rsid w:val="67FF5C0B"/>
    <w:rsid w:val="68182006"/>
    <w:rsid w:val="6837248C"/>
    <w:rsid w:val="68925915"/>
    <w:rsid w:val="68E5013A"/>
    <w:rsid w:val="690F3409"/>
    <w:rsid w:val="69FF6FDA"/>
    <w:rsid w:val="6AE03628"/>
    <w:rsid w:val="6BAA4A2F"/>
    <w:rsid w:val="6C517895"/>
    <w:rsid w:val="6C8ACB13"/>
    <w:rsid w:val="6DDE9F7C"/>
    <w:rsid w:val="6E4FC1F0"/>
    <w:rsid w:val="6EA2087C"/>
    <w:rsid w:val="6EFA06B8"/>
    <w:rsid w:val="6EFC0924"/>
    <w:rsid w:val="6F36194C"/>
    <w:rsid w:val="6F653D83"/>
    <w:rsid w:val="6F7F6914"/>
    <w:rsid w:val="6FB74722"/>
    <w:rsid w:val="6FEF8B7E"/>
    <w:rsid w:val="70700C31"/>
    <w:rsid w:val="71A6591B"/>
    <w:rsid w:val="71C65471"/>
    <w:rsid w:val="735D7E66"/>
    <w:rsid w:val="737D59BA"/>
    <w:rsid w:val="737F32B1"/>
    <w:rsid w:val="73A330CC"/>
    <w:rsid w:val="73AA445A"/>
    <w:rsid w:val="73BE0515"/>
    <w:rsid w:val="73C51294"/>
    <w:rsid w:val="742D6E39"/>
    <w:rsid w:val="746F80EC"/>
    <w:rsid w:val="74B11819"/>
    <w:rsid w:val="752E10BB"/>
    <w:rsid w:val="76A07D97"/>
    <w:rsid w:val="77B92EBE"/>
    <w:rsid w:val="77C37683"/>
    <w:rsid w:val="77EC8177"/>
    <w:rsid w:val="78085BF3"/>
    <w:rsid w:val="78727511"/>
    <w:rsid w:val="794B3FEA"/>
    <w:rsid w:val="79FF515B"/>
    <w:rsid w:val="7A064380"/>
    <w:rsid w:val="7A43BE1D"/>
    <w:rsid w:val="7AFD10D4"/>
    <w:rsid w:val="7B914152"/>
    <w:rsid w:val="7BDB570E"/>
    <w:rsid w:val="7BE81B55"/>
    <w:rsid w:val="7C0E1B52"/>
    <w:rsid w:val="7C725D31"/>
    <w:rsid w:val="7CE00EED"/>
    <w:rsid w:val="7D1F00DF"/>
    <w:rsid w:val="7E344EFA"/>
    <w:rsid w:val="7E9E1962"/>
    <w:rsid w:val="7E9F11B4"/>
    <w:rsid w:val="7F0C5FC9"/>
    <w:rsid w:val="7F37EC1E"/>
    <w:rsid w:val="7F7DCD9D"/>
    <w:rsid w:val="7F7EAB8B"/>
    <w:rsid w:val="7F930498"/>
    <w:rsid w:val="7F970A6F"/>
    <w:rsid w:val="7F9F6E3D"/>
    <w:rsid w:val="7FAB5728"/>
    <w:rsid w:val="7FC1FFF3"/>
    <w:rsid w:val="7FC69637"/>
    <w:rsid w:val="7FDF8620"/>
    <w:rsid w:val="7FFB242F"/>
    <w:rsid w:val="7FFDB408"/>
    <w:rsid w:val="7FFE4EEB"/>
    <w:rsid w:val="95FB2B98"/>
    <w:rsid w:val="9A639BC2"/>
    <w:rsid w:val="9BFE20C4"/>
    <w:rsid w:val="9FF7D786"/>
    <w:rsid w:val="ABBFB23D"/>
    <w:rsid w:val="BAF6E1E0"/>
    <w:rsid w:val="BBC74BC6"/>
    <w:rsid w:val="BFA5E88B"/>
    <w:rsid w:val="BFFF26BE"/>
    <w:rsid w:val="C3B4DA5A"/>
    <w:rsid w:val="CBFF70E0"/>
    <w:rsid w:val="CFF50B82"/>
    <w:rsid w:val="CFFFAD89"/>
    <w:rsid w:val="D5BF90B6"/>
    <w:rsid w:val="DF7F7CE0"/>
    <w:rsid w:val="DF9D6332"/>
    <w:rsid w:val="DFE2094D"/>
    <w:rsid w:val="DFFE359E"/>
    <w:rsid w:val="DFFE4FFD"/>
    <w:rsid w:val="E5E32A00"/>
    <w:rsid w:val="E673E8B8"/>
    <w:rsid w:val="E6FF9CBC"/>
    <w:rsid w:val="EB7F15A6"/>
    <w:rsid w:val="EEABED75"/>
    <w:rsid w:val="F3F532E4"/>
    <w:rsid w:val="F56FDF51"/>
    <w:rsid w:val="F6B69F17"/>
    <w:rsid w:val="F6BADC98"/>
    <w:rsid w:val="F77F1D61"/>
    <w:rsid w:val="F7F7AC02"/>
    <w:rsid w:val="F7FED3A9"/>
    <w:rsid w:val="F8C9DB26"/>
    <w:rsid w:val="F97E8EAE"/>
    <w:rsid w:val="FB36E1A6"/>
    <w:rsid w:val="FB3BE134"/>
    <w:rsid w:val="FB8C5B5F"/>
    <w:rsid w:val="FCFF4275"/>
    <w:rsid w:val="FD7FEEEA"/>
    <w:rsid w:val="FDED3ED2"/>
    <w:rsid w:val="FDFFB577"/>
    <w:rsid w:val="FEEA50FE"/>
    <w:rsid w:val="FEFD0FB7"/>
    <w:rsid w:val="FEFE006D"/>
    <w:rsid w:val="FF7D47A9"/>
    <w:rsid w:val="FF9B1372"/>
    <w:rsid w:val="FFCF21CB"/>
    <w:rsid w:val="FFEABC0E"/>
    <w:rsid w:val="FFFF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4"/>
      <w:lang w:val="en-US" w:eastAsia="zh-CN" w:bidi="ar-SA"/>
    </w:rPr>
  </w:style>
  <w:style w:type="paragraph" w:styleId="3">
    <w:name w:val="toc 5"/>
    <w:basedOn w:val="1"/>
    <w:next w:val="1"/>
    <w:qFormat/>
    <w:uiPriority w:val="0"/>
    <w:pPr>
      <w:ind w:left="1680" w:leftChars="800"/>
    </w:pPr>
  </w:style>
  <w:style w:type="paragraph" w:styleId="4">
    <w:name w:val="toa heading"/>
    <w:basedOn w:val="1"/>
    <w:next w:val="1"/>
    <w:unhideWhenUsed/>
    <w:qFormat/>
    <w:uiPriority w:val="99"/>
    <w:pPr>
      <w:spacing w:before="120" w:beforeLines="0" w:after="200" w:afterLines="0" w:line="276" w:lineRule="auto"/>
    </w:pPr>
    <w:rPr>
      <w:rFonts w:hint="default" w:ascii="Arial" w:hAnsi="Arial"/>
      <w:sz w:val="24"/>
      <w:szCs w:val="24"/>
    </w:rPr>
  </w:style>
  <w:style w:type="paragraph" w:styleId="5">
    <w:name w:val="Body Text Indent"/>
    <w:basedOn w:val="1"/>
    <w:next w:val="6"/>
    <w:unhideWhenUsed/>
    <w:qFormat/>
    <w:uiPriority w:val="99"/>
    <w:pPr>
      <w:widowControl/>
      <w:spacing w:after="120"/>
      <w:ind w:left="420" w:leftChars="200"/>
      <w:jc w:val="left"/>
    </w:pPr>
    <w:rPr>
      <w:rFonts w:ascii="宋体" w:hAnsi="宋体" w:eastAsia="宋体" w:cs="宋体"/>
      <w:kern w:val="0"/>
      <w:sz w:val="24"/>
    </w:rPr>
  </w:style>
  <w:style w:type="paragraph" w:styleId="6">
    <w:name w:val="Body Text First Indent 2"/>
    <w:basedOn w:val="5"/>
    <w:next w:val="1"/>
    <w:unhideWhenUsed/>
    <w:qFormat/>
    <w:uiPriority w:val="99"/>
    <w:pPr>
      <w:ind w:firstLine="420" w:firstLineChars="200"/>
    </w:pPr>
  </w:style>
  <w:style w:type="paragraph" w:styleId="7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footnote text"/>
    <w:basedOn w:val="1"/>
    <w:next w:val="6"/>
    <w:semiHidden/>
    <w:qFormat/>
    <w:uiPriority w:val="0"/>
    <w:pPr>
      <w:snapToGrid w:val="0"/>
      <w:jc w:val="left"/>
    </w:pPr>
    <w:rPr>
      <w:sz w:val="18"/>
      <w:szCs w:val="18"/>
    </w:rPr>
  </w:style>
  <w:style w:type="character" w:customStyle="1" w:styleId="13">
    <w:name w:val="页眉 Char"/>
    <w:basedOn w:val="12"/>
    <w:link w:val="9"/>
    <w:qFormat/>
    <w:uiPriority w:val="99"/>
    <w:rPr>
      <w:sz w:val="18"/>
      <w:szCs w:val="18"/>
    </w:rPr>
  </w:style>
  <w:style w:type="character" w:customStyle="1" w:styleId="14">
    <w:name w:val="页脚 Char"/>
    <w:basedOn w:val="12"/>
    <w:link w:val="8"/>
    <w:qFormat/>
    <w:uiPriority w:val="99"/>
    <w:rPr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框文本 Char"/>
    <w:basedOn w:val="12"/>
    <w:link w:val="7"/>
    <w:semiHidden/>
    <w:qFormat/>
    <w:uiPriority w:val="99"/>
    <w:rPr>
      <w:sz w:val="18"/>
      <w:szCs w:val="18"/>
    </w:rPr>
  </w:style>
  <w:style w:type="character" w:customStyle="1" w:styleId="18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2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1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6314</Words>
  <Characters>6853</Characters>
  <Lines>63</Lines>
  <Paragraphs>18</Paragraphs>
  <TotalTime>4</TotalTime>
  <ScaleCrop>false</ScaleCrop>
  <LinksUpToDate>false</LinksUpToDate>
  <CharactersWithSpaces>6883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2020-07-09T02:32:00Z</dcterms:created>
  <dc:creator>李航 null</dc:creator>
  <cp:lastModifiedBy>TCB003</cp:lastModifiedBy>
  <cp:lastPrinted>2024-08-09T10:20:00Z</cp:lastPrinted>
  <dcterms:modified xsi:type="dcterms:W3CDTF">2025-07-25T16:25:13Z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98623D6660B449428EB8E073C6C952EA</vt:lpwstr>
  </property>
</Properties>
</file>