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w:t>
      </w:r>
      <w:r>
        <w:rPr>
          <w:rFonts w:hint="eastAsia" w:ascii="方正小标宋简体" w:hAnsi="方正小标宋简体" w:eastAsia="方正小标宋简体" w:cs="方正小标宋简体"/>
          <w:sz w:val="44"/>
          <w:szCs w:val="44"/>
          <w:highlight w:val="none"/>
          <w:lang w:val="en-US" w:eastAsia="zh-CN"/>
        </w:rPr>
        <w:t>24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lang w:eastAsia="zh-CN"/>
        </w:rPr>
        <w:t>岳阳市洞庭湖大桥养护中心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ind w:firstLine="800" w:firstLineChars="250"/>
        <w:rPr>
          <w:rFonts w:hint="eastAsia"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中心为市交通运输局管理的公益一类事业单位，机构规格相当于正科级。</w:t>
      </w:r>
      <w:r>
        <w:rPr>
          <w:rFonts w:hint="eastAsia" w:ascii="仿宋_GB2312" w:eastAsia="仿宋_GB2312"/>
          <w:sz w:val="32"/>
          <w:szCs w:val="32"/>
          <w:lang w:eastAsia="zh-CN"/>
        </w:rPr>
        <w:t>主要职责是：</w:t>
      </w:r>
      <w:r>
        <w:rPr>
          <w:rFonts w:hint="eastAsia" w:ascii="仿宋_GB2312" w:eastAsia="仿宋_GB2312"/>
          <w:sz w:val="32"/>
          <w:szCs w:val="32"/>
          <w:lang w:val="en-US" w:eastAsia="zh-CN"/>
        </w:rPr>
        <w:t>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仿宋_GB2312" w:eastAsia="仿宋_GB2312"/>
          <w:sz w:val="32"/>
          <w:szCs w:val="32"/>
        </w:rPr>
        <w:t>根据编委核定，</w:t>
      </w:r>
      <w:r>
        <w:rPr>
          <w:rFonts w:hint="eastAsia" w:ascii="仿宋_GB2312" w:eastAsia="仿宋_GB2312"/>
          <w:sz w:val="32"/>
          <w:szCs w:val="32"/>
          <w:lang w:eastAsia="zh-CN"/>
        </w:rPr>
        <w:t>我</w:t>
      </w:r>
      <w:r>
        <w:rPr>
          <w:rFonts w:hint="eastAsia" w:ascii="仿宋_GB2312" w:eastAsia="仿宋_GB2312"/>
          <w:sz w:val="32"/>
          <w:szCs w:val="32"/>
        </w:rPr>
        <w:t>中心设置7个部室及2个分支机构，其中：7个部室为综合部、财务部、</w:t>
      </w:r>
      <w:r>
        <w:rPr>
          <w:rFonts w:hint="eastAsia" w:ascii="仿宋_GB2312" w:eastAsia="仿宋_GB2312"/>
          <w:sz w:val="32"/>
          <w:szCs w:val="32"/>
          <w:lang w:eastAsia="zh-CN"/>
        </w:rPr>
        <w:t>养护</w:t>
      </w:r>
      <w:r>
        <w:rPr>
          <w:rFonts w:hint="eastAsia" w:ascii="仿宋_GB2312" w:eastAsia="仿宋_GB2312"/>
          <w:sz w:val="32"/>
          <w:szCs w:val="32"/>
        </w:rPr>
        <w:t>技术部、安全生产部、人事部、</w:t>
      </w:r>
      <w:r>
        <w:rPr>
          <w:rFonts w:hint="eastAsia" w:ascii="仿宋_GB2312" w:eastAsia="仿宋_GB2312"/>
          <w:sz w:val="32"/>
          <w:szCs w:val="32"/>
          <w:lang w:eastAsia="zh-CN"/>
        </w:rPr>
        <w:t>战略</w:t>
      </w:r>
      <w:r>
        <w:rPr>
          <w:rFonts w:hint="eastAsia" w:ascii="仿宋_GB2312" w:eastAsia="仿宋_GB2312"/>
          <w:sz w:val="32"/>
          <w:szCs w:val="32"/>
        </w:rPr>
        <w:t>应急部、</w:t>
      </w:r>
      <w:r>
        <w:rPr>
          <w:rFonts w:hint="eastAsia" w:ascii="仿宋_GB2312" w:eastAsia="仿宋_GB2312"/>
          <w:sz w:val="32"/>
          <w:szCs w:val="32"/>
          <w:lang w:eastAsia="zh-CN"/>
        </w:rPr>
        <w:t>工程计划</w:t>
      </w:r>
      <w:r>
        <w:rPr>
          <w:rFonts w:hint="eastAsia" w:ascii="仿宋_GB2312" w:eastAsia="仿宋_GB2312"/>
          <w:sz w:val="32"/>
          <w:szCs w:val="32"/>
        </w:rPr>
        <w:t>部；2个分支机构为</w:t>
      </w:r>
      <w:r>
        <w:rPr>
          <w:rFonts w:hint="eastAsia" w:ascii="仿宋_GB2312" w:eastAsia="仿宋_GB2312"/>
          <w:sz w:val="32"/>
          <w:szCs w:val="32"/>
          <w:lang w:eastAsia="zh-CN"/>
        </w:rPr>
        <w:t>市洞庭大桥养护中心</w:t>
      </w:r>
      <w:r>
        <w:rPr>
          <w:rFonts w:hint="eastAsia" w:ascii="仿宋_GB2312" w:eastAsia="仿宋_GB2312"/>
          <w:sz w:val="32"/>
          <w:szCs w:val="32"/>
        </w:rPr>
        <w:t>维护站、桥梁健康监测中心</w:t>
      </w:r>
      <w:r>
        <w:rPr>
          <w:rFonts w:hint="eastAsia" w:ascii="仿宋_GB2312" w:eastAsia="仿宋_GB2312"/>
          <w:sz w:val="32"/>
          <w:szCs w:val="32"/>
          <w:lang w:val="en-US" w:eastAsia="zh-CN"/>
        </w:rPr>
        <w:t>(市洞庭湖大桥数据中心）</w:t>
      </w:r>
      <w:r>
        <w:rPr>
          <w:rFonts w:hint="eastAsia" w:ascii="仿宋_GB2312" w:eastAsia="仿宋_GB2312"/>
          <w:sz w:val="32"/>
          <w:szCs w:val="32"/>
          <w:lang w:eastAsia="zh-CN"/>
        </w:rPr>
        <w:t>。</w:t>
      </w:r>
      <w:r>
        <w:rPr>
          <w:rFonts w:hint="eastAsia" w:ascii="仿宋_GB2312" w:eastAsia="仿宋_GB2312"/>
          <w:sz w:val="32"/>
          <w:szCs w:val="32"/>
          <w:lang w:val="en-US" w:eastAsia="zh-CN"/>
        </w:rPr>
        <w:t>核定全额拨款事业编制67名，2024年底实有人数115人，其中在职67人，离退休48人。我中心经费渠道为财政全额拨款。</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预算资金</w:t>
      </w:r>
      <w:r>
        <w:rPr>
          <w:rFonts w:hint="eastAsia" w:ascii="仿宋_GB2312" w:eastAsia="仿宋_GB2312"/>
          <w:sz w:val="32"/>
          <w:szCs w:val="32"/>
          <w:lang w:eastAsia="zh-CN"/>
        </w:rPr>
        <w:t>支出</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基本支出主要是保障机构正常运转、完成日常工作任务而发生的各项支出，包括在职和退休人员工资福利支出、三公经费、水电、办公经费等商品和服务支出。</w:t>
      </w:r>
    </w:p>
    <w:p>
      <w:pPr>
        <w:pStyle w:val="2"/>
        <w:keepNext w:val="0"/>
        <w:keepLines w:val="0"/>
        <w:pageBreakBefore w:val="0"/>
        <w:widowControl w:val="0"/>
        <w:kinsoku/>
        <w:wordWrap/>
        <w:overflowPunct/>
        <w:topLinePunct w:val="0"/>
        <w:autoSpaceDE/>
        <w:autoSpaceDN/>
        <w:bidi w:val="0"/>
        <w:adjustRightInd/>
        <w:snapToGrid/>
        <w:spacing w:before="0" w:after="0"/>
        <w:ind w:firstLine="640" w:firstLineChars="200"/>
        <w:textAlignment w:val="auto"/>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2024年基本支出决算总额1384.9万元，其中：工资福利支出1065.96万元，商品服务支出142.85万元，对个人和家庭的补助支出175.87万元，资本性支出0.22万元。预算执行率为99.22%（决算数/全年预算数），控制情况良好。</w:t>
      </w:r>
    </w:p>
    <w:p>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预算资金安排基本原则</w:t>
      </w:r>
    </w:p>
    <w:p>
      <w:pPr>
        <w:ind w:firstLine="640" w:firstLineChars="200"/>
        <w:rPr>
          <w:rFonts w:hint="eastAsia" w:ascii="仿宋_GB2312" w:eastAsia="仿宋_GB2312"/>
          <w:sz w:val="32"/>
          <w:szCs w:val="32"/>
        </w:rPr>
      </w:pPr>
      <w:r>
        <w:rPr>
          <w:rFonts w:hint="eastAsia" w:ascii="仿宋_GB2312" w:eastAsia="仿宋_GB2312"/>
          <w:sz w:val="32"/>
          <w:szCs w:val="32"/>
        </w:rPr>
        <w:t>①按预算收入确定支出计划。原则上资金性质和用途不变，尽可能保障人员支出，压缩公用支出。</w:t>
      </w:r>
    </w:p>
    <w:p>
      <w:pPr>
        <w:ind w:firstLine="640" w:firstLineChars="200"/>
        <w:rPr>
          <w:rFonts w:ascii="仿宋_GB2312" w:eastAsia="仿宋_GB2312"/>
          <w:sz w:val="32"/>
          <w:szCs w:val="32"/>
        </w:rPr>
      </w:pPr>
      <w:r>
        <w:rPr>
          <w:rFonts w:hint="eastAsia" w:ascii="仿宋_GB2312" w:eastAsia="仿宋_GB2312"/>
          <w:sz w:val="32"/>
          <w:szCs w:val="32"/>
        </w:rPr>
        <w:t>②维护预算严肃性。严格按照下达的文件要求执行预算，不得随意变更，因特殊情况却需要变更和调整的，须</w:t>
      </w:r>
      <w:r>
        <w:rPr>
          <w:rFonts w:hint="eastAsia" w:ascii="仿宋_GB2312" w:eastAsia="仿宋_GB2312"/>
          <w:sz w:val="32"/>
          <w:szCs w:val="32"/>
          <w:lang w:eastAsia="zh-CN"/>
        </w:rPr>
        <w:t>报市财政</w:t>
      </w:r>
      <w:r>
        <w:rPr>
          <w:rFonts w:hint="eastAsia" w:ascii="仿宋_GB2312" w:eastAsia="仿宋_GB2312"/>
          <w:sz w:val="32"/>
          <w:szCs w:val="32"/>
        </w:rPr>
        <w:t>批准后执行。</w:t>
      </w:r>
    </w:p>
    <w:p>
      <w:pPr>
        <w:ind w:firstLine="640" w:firstLineChars="200"/>
        <w:rPr>
          <w:rFonts w:ascii="仿宋_GB2312" w:eastAsia="仿宋_GB2312"/>
          <w:sz w:val="32"/>
          <w:szCs w:val="32"/>
        </w:rPr>
      </w:pPr>
      <w:r>
        <w:rPr>
          <w:rFonts w:hint="eastAsia" w:ascii="仿宋_GB2312" w:eastAsia="仿宋_GB2312"/>
          <w:sz w:val="32"/>
          <w:szCs w:val="32"/>
        </w:rPr>
        <w:t>③坚持厉行节约，勤俭办事原则。严格控制差旅费、公务接待费等支出，努力降低行政运行成本。</w:t>
      </w:r>
    </w:p>
    <w:p>
      <w:pPr>
        <w:ind w:firstLine="640" w:firstLineChars="200"/>
        <w:rPr>
          <w:rFonts w:ascii="仿宋_GB2312" w:eastAsia="仿宋_GB2312"/>
          <w:sz w:val="32"/>
          <w:szCs w:val="32"/>
        </w:rPr>
      </w:pPr>
      <w:r>
        <w:rPr>
          <w:rFonts w:hint="eastAsia" w:ascii="仿宋_GB2312" w:eastAsia="仿宋_GB2312"/>
          <w:sz w:val="32"/>
          <w:szCs w:val="32"/>
        </w:rPr>
        <w:t>④严格执行公务卡消费制度。根据岳纪发【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号文件规定，积极推进公务卡消费制度改革，公务卡消费支出占授权支付比例的比重不得低于</w:t>
      </w:r>
      <w:r>
        <w:rPr>
          <w:rFonts w:ascii="仿宋_GB2312" w:eastAsia="仿宋_GB2312"/>
          <w:sz w:val="32"/>
          <w:szCs w:val="32"/>
        </w:rPr>
        <w:t>50%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⑶预算资金安排具体办法</w:t>
      </w:r>
    </w:p>
    <w:p>
      <w:pPr>
        <w:ind w:firstLine="640" w:firstLineChars="200"/>
        <w:rPr>
          <w:rFonts w:ascii="仿宋_GB2312" w:eastAsia="仿宋_GB2312"/>
          <w:sz w:val="32"/>
          <w:szCs w:val="32"/>
        </w:rPr>
      </w:pPr>
      <w:r>
        <w:rPr>
          <w:rFonts w:hint="eastAsia" w:ascii="仿宋_GB2312" w:eastAsia="仿宋_GB2312"/>
          <w:sz w:val="32"/>
          <w:szCs w:val="32"/>
        </w:rPr>
        <w:t>①按照“三定”后实际在编在岗人数，以</w:t>
      </w:r>
      <w:r>
        <w:rPr>
          <w:rFonts w:hint="eastAsia" w:ascii="仿宋_GB2312" w:eastAsia="仿宋_GB2312"/>
          <w:sz w:val="32"/>
          <w:szCs w:val="32"/>
          <w:lang w:val="en-US" w:eastAsia="zh-CN"/>
        </w:rPr>
        <w:t>中心</w:t>
      </w:r>
      <w:r>
        <w:rPr>
          <w:rFonts w:hint="eastAsia" w:ascii="仿宋_GB2312" w:eastAsia="仿宋_GB2312"/>
          <w:sz w:val="32"/>
          <w:szCs w:val="32"/>
        </w:rPr>
        <w:t>人事</w:t>
      </w:r>
      <w:r>
        <w:rPr>
          <w:rFonts w:hint="eastAsia" w:ascii="仿宋_GB2312" w:eastAsia="仿宋_GB2312"/>
          <w:sz w:val="32"/>
          <w:szCs w:val="32"/>
          <w:lang w:eastAsia="zh-CN"/>
        </w:rPr>
        <w:t>部</w:t>
      </w:r>
      <w:r>
        <w:rPr>
          <w:rFonts w:hint="eastAsia" w:ascii="仿宋_GB2312" w:eastAsia="仿宋_GB2312"/>
          <w:sz w:val="32"/>
          <w:szCs w:val="32"/>
        </w:rPr>
        <w:t>提供的报经市人事局审批后的在职职工基本工资和基础性绩效工资以及退休职工基本退休费和退休补贴标准为依据，核定各工资总额。</w:t>
      </w:r>
    </w:p>
    <w:p>
      <w:pPr>
        <w:ind w:firstLine="640" w:firstLineChars="200"/>
        <w:rPr>
          <w:rFonts w:ascii="仿宋_GB2312" w:eastAsia="仿宋_GB2312"/>
          <w:sz w:val="32"/>
          <w:szCs w:val="32"/>
        </w:rPr>
      </w:pPr>
      <w:r>
        <w:rPr>
          <w:rFonts w:hint="eastAsia" w:ascii="仿宋_GB2312" w:eastAsia="仿宋_GB2312"/>
          <w:sz w:val="32"/>
          <w:szCs w:val="32"/>
        </w:rPr>
        <w:t>②公用经费（办公费及其他商品和服务支出）原则按市财政部门核算标准核定，事业编制人员</w:t>
      </w:r>
      <w:r>
        <w:rPr>
          <w:rFonts w:hint="eastAsia" w:ascii="仿宋_GB2312" w:eastAsia="仿宋_GB2312"/>
          <w:sz w:val="32"/>
          <w:szCs w:val="32"/>
          <w:lang w:val="en-US" w:eastAsia="zh-CN"/>
        </w:rPr>
        <w:t>9</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人·年，离退休公用支出按市定额标准</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人·年安排。</w:t>
      </w:r>
    </w:p>
    <w:p>
      <w:pPr>
        <w:ind w:firstLine="640" w:firstLineChars="200"/>
        <w:rPr>
          <w:rFonts w:ascii="仿宋_GB2312" w:eastAsia="仿宋_GB2312"/>
          <w:sz w:val="32"/>
          <w:szCs w:val="32"/>
        </w:rPr>
      </w:pPr>
      <w:r>
        <w:rPr>
          <w:rFonts w:hint="eastAsia" w:ascii="仿宋_GB2312" w:eastAsia="仿宋_GB2312"/>
          <w:sz w:val="32"/>
          <w:szCs w:val="32"/>
        </w:rPr>
        <w:t>③工会经费和福利费按市财政预算</w:t>
      </w:r>
      <w:r>
        <w:rPr>
          <w:rFonts w:hint="eastAsia" w:ascii="仿宋_GB2312" w:eastAsia="仿宋_GB2312"/>
          <w:sz w:val="32"/>
          <w:szCs w:val="32"/>
          <w:lang w:eastAsia="zh-CN"/>
        </w:rPr>
        <w:t>支出</w:t>
      </w:r>
      <w:r>
        <w:rPr>
          <w:rFonts w:hint="eastAsia" w:ascii="仿宋_GB2312" w:eastAsia="仿宋_GB2312"/>
          <w:sz w:val="32"/>
          <w:szCs w:val="32"/>
        </w:rPr>
        <w:t>。</w:t>
      </w:r>
    </w:p>
    <w:p>
      <w:pPr>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rPr>
        <w:t>④医疗保险、生育保险、工伤保险及住房公积金（三险一金）按市财政局预算标准，按相关规定缴纳。</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市财政</w:t>
      </w:r>
      <w:r>
        <w:rPr>
          <w:rFonts w:hint="eastAsia" w:ascii="仿宋_GB2312" w:eastAsia="仿宋_GB2312"/>
          <w:sz w:val="32"/>
          <w:szCs w:val="32"/>
          <w:lang w:eastAsia="zh-CN"/>
        </w:rPr>
        <w:t>年初</w:t>
      </w:r>
      <w:r>
        <w:rPr>
          <w:rFonts w:hint="eastAsia" w:ascii="仿宋_GB2312" w:eastAsia="仿宋_GB2312"/>
          <w:sz w:val="32"/>
          <w:szCs w:val="32"/>
        </w:rPr>
        <w:t>预算安排</w:t>
      </w:r>
      <w:r>
        <w:rPr>
          <w:rFonts w:hint="eastAsia" w:ascii="仿宋_GB2312" w:eastAsia="仿宋_GB2312"/>
          <w:sz w:val="32"/>
          <w:szCs w:val="32"/>
          <w:lang w:eastAsia="zh-CN"/>
        </w:rPr>
        <w:t>大桥电费</w:t>
      </w:r>
      <w:r>
        <w:rPr>
          <w:rFonts w:hint="eastAsia" w:ascii="仿宋_GB2312" w:eastAsia="仿宋_GB2312"/>
          <w:sz w:val="32"/>
          <w:szCs w:val="32"/>
          <w:lang w:val="en-US" w:eastAsia="zh-CN"/>
        </w:rPr>
        <w:t>120万元</w:t>
      </w:r>
      <w:r>
        <w:rPr>
          <w:rFonts w:hint="eastAsia" w:ascii="仿宋_GB2312" w:eastAsia="仿宋_GB2312"/>
          <w:sz w:val="32"/>
          <w:szCs w:val="32"/>
          <w:lang w:eastAsia="zh-CN"/>
        </w:rPr>
        <w:t>、大桥保险</w:t>
      </w:r>
      <w:r>
        <w:rPr>
          <w:rFonts w:hint="eastAsia" w:ascii="仿宋_GB2312" w:eastAsia="仿宋_GB2312"/>
          <w:sz w:val="32"/>
          <w:szCs w:val="32"/>
          <w:lang w:val="en-US" w:eastAsia="zh-CN"/>
        </w:rPr>
        <w:t>32万元</w:t>
      </w:r>
      <w:r>
        <w:rPr>
          <w:rFonts w:hint="eastAsia" w:ascii="仿宋_GB2312" w:eastAsia="仿宋_GB2312"/>
          <w:sz w:val="32"/>
          <w:szCs w:val="32"/>
          <w:lang w:eastAsia="zh-CN"/>
        </w:rPr>
        <w:t>、防雷检测</w:t>
      </w:r>
      <w:r>
        <w:rPr>
          <w:rFonts w:hint="eastAsia" w:ascii="仿宋_GB2312" w:eastAsia="仿宋_GB2312"/>
          <w:sz w:val="32"/>
          <w:szCs w:val="32"/>
          <w:lang w:val="en-US" w:eastAsia="zh-CN"/>
        </w:rPr>
        <w:t>3万元、大桥日常养护费58万元、大桥安全应急维修费10万元、非税执收成本13.98万元</w:t>
      </w:r>
      <w:r>
        <w:rPr>
          <w:rFonts w:hint="eastAsia" w:ascii="仿宋_GB2312" w:eastAsia="仿宋_GB2312"/>
          <w:sz w:val="32"/>
          <w:szCs w:val="32"/>
          <w:lang w:eastAsia="zh-CN"/>
        </w:rPr>
        <w:t>专项经费</w:t>
      </w:r>
      <w:r>
        <w:rPr>
          <w:rFonts w:hint="eastAsia" w:ascii="仿宋_GB2312" w:eastAsia="仿宋_GB2312"/>
          <w:sz w:val="32"/>
          <w:szCs w:val="32"/>
        </w:rPr>
        <w:t>，</w:t>
      </w:r>
      <w:r>
        <w:rPr>
          <w:rFonts w:hint="eastAsia" w:ascii="仿宋_GB2312" w:eastAsia="仿宋_GB2312"/>
          <w:sz w:val="32"/>
          <w:szCs w:val="32"/>
          <w:lang w:eastAsia="zh-CN"/>
        </w:rPr>
        <w:t>调减</w:t>
      </w:r>
      <w:r>
        <w:rPr>
          <w:rFonts w:hint="eastAsia" w:ascii="仿宋_GB2312" w:eastAsia="仿宋_GB2312"/>
          <w:sz w:val="32"/>
          <w:szCs w:val="32"/>
          <w:lang w:val="en-US" w:eastAsia="zh-CN"/>
        </w:rPr>
        <w:t>11.85万元，</w:t>
      </w:r>
      <w:r>
        <w:rPr>
          <w:rFonts w:hint="eastAsia" w:ascii="仿宋_GB2312" w:eastAsia="仿宋_GB2312"/>
          <w:sz w:val="32"/>
          <w:szCs w:val="32"/>
          <w:lang w:eastAsia="zh-CN"/>
        </w:rPr>
        <w:t>全年预算可支出</w:t>
      </w:r>
      <w:r>
        <w:rPr>
          <w:rFonts w:hint="eastAsia" w:ascii="仿宋_GB2312" w:eastAsia="仿宋_GB2312"/>
          <w:sz w:val="32"/>
          <w:szCs w:val="32"/>
          <w:lang w:val="en-US" w:eastAsia="zh-CN"/>
        </w:rPr>
        <w:t>225.13万元，实际支出222.13万元，</w:t>
      </w:r>
      <w:r>
        <w:rPr>
          <w:rFonts w:hint="eastAsia" w:ascii="仿宋_GB2312" w:hAnsi="仿宋" w:eastAsia="仿宋_GB2312" w:cs="Times New Roman"/>
          <w:kern w:val="0"/>
          <w:sz w:val="32"/>
          <w:szCs w:val="32"/>
          <w:lang w:val="en-US" w:eastAsia="zh-CN" w:bidi="ar-SA"/>
        </w:rPr>
        <w:t>预算执行率为98.87%，控制情况良好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年中下达专项支出共计</w:t>
      </w:r>
      <w:r>
        <w:rPr>
          <w:rFonts w:hint="eastAsia" w:ascii="仿宋_GB2312" w:eastAsia="仿宋_GB2312"/>
          <w:sz w:val="32"/>
          <w:szCs w:val="32"/>
          <w:lang w:val="en-US" w:eastAsia="zh-CN"/>
        </w:rPr>
        <w:t>4项：</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仿宋_GB2312" w:eastAsia="仿宋_GB2312"/>
          <w:sz w:val="32"/>
          <w:szCs w:val="32"/>
          <w:lang w:val="en-US" w:eastAsia="zh-CN"/>
        </w:rPr>
        <w:t>大桥冰冻灾害天气应急处置经费预算110万元，支出56.99万元，</w:t>
      </w:r>
      <w:r>
        <w:rPr>
          <w:rFonts w:hint="eastAsia" w:ascii="仿宋_GB2312" w:hAnsi="仿宋" w:eastAsia="仿宋_GB2312" w:cs="Times New Roman"/>
          <w:kern w:val="0"/>
          <w:sz w:val="32"/>
          <w:szCs w:val="32"/>
          <w:lang w:val="en-US" w:eastAsia="zh-CN" w:bidi="ar-SA"/>
        </w:rPr>
        <w:t>预算执行率为51.81%，经费为总预备费，将用于来年冬季</w:t>
      </w:r>
      <w:r>
        <w:rPr>
          <w:rFonts w:hint="eastAsia" w:ascii="仿宋_GB2312" w:eastAsia="仿宋_GB2312"/>
          <w:sz w:val="32"/>
          <w:szCs w:val="32"/>
          <w:lang w:val="en-US" w:eastAsia="zh-CN"/>
        </w:rPr>
        <w:t>冰冻灾害天气应急处置经费。</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安全应急运维经费</w:t>
      </w:r>
      <w:r>
        <w:rPr>
          <w:rFonts w:hint="eastAsia" w:ascii="仿宋_GB2312" w:hAnsi="仿宋" w:eastAsia="仿宋_GB2312" w:cs="Times New Roman"/>
          <w:kern w:val="0"/>
          <w:sz w:val="32"/>
          <w:szCs w:val="32"/>
          <w:lang w:val="en-US" w:eastAsia="zh-CN" w:bidi="ar-SA"/>
        </w:rPr>
        <w:t>预算200万元，支出165.55万元，预算执行率为82.78%，控制情况良好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洞庭湖大桥交通发展专项</w:t>
      </w:r>
      <w:r>
        <w:rPr>
          <w:rFonts w:hint="eastAsia" w:ascii="仿宋_GB2312" w:hAnsi="仿宋" w:eastAsia="仿宋_GB2312" w:cs="Times New Roman"/>
          <w:kern w:val="0"/>
          <w:sz w:val="32"/>
          <w:szCs w:val="32"/>
          <w:lang w:val="en-US" w:eastAsia="zh-CN" w:bidi="ar-SA"/>
        </w:rPr>
        <w:t>预算50万元，支出45.98万元，预算执行率为91.96%，控制情况良好</w:t>
      </w:r>
      <w:r>
        <w:rPr>
          <w:rFonts w:hint="eastAsia" w:ascii="仿宋_GB2312" w:eastAsia="仿宋_GB2312"/>
          <w:sz w:val="32"/>
          <w:szCs w:val="32"/>
        </w:rPr>
        <w:t>。</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抗冰保畅上级转移支付</w:t>
      </w:r>
      <w:r>
        <w:rPr>
          <w:rFonts w:hint="eastAsia" w:ascii="仿宋_GB2312" w:hAnsi="仿宋" w:eastAsia="仿宋_GB2312" w:cs="Times New Roman"/>
          <w:kern w:val="0"/>
          <w:sz w:val="32"/>
          <w:szCs w:val="32"/>
          <w:lang w:val="en-US" w:eastAsia="zh-CN" w:bidi="ar-SA"/>
        </w:rPr>
        <w:t>预算25万元，支出25万元，预算执行率为100%。</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eastAsia="仿宋_GB2312"/>
          <w:sz w:val="32"/>
          <w:szCs w:val="32"/>
          <w:lang w:eastAsia="zh-CN"/>
        </w:rPr>
        <w:t>部省级</w:t>
      </w:r>
      <w:r>
        <w:rPr>
          <w:rFonts w:hint="eastAsia" w:ascii="仿宋_GB2312" w:eastAsia="仿宋_GB2312"/>
          <w:sz w:val="32"/>
          <w:szCs w:val="32"/>
        </w:rPr>
        <w:t>专项资金</w:t>
      </w:r>
      <w:r>
        <w:rPr>
          <w:rFonts w:hint="eastAsia" w:ascii="仿宋_GB2312" w:eastAsia="仿宋_GB2312"/>
          <w:sz w:val="32"/>
          <w:szCs w:val="32"/>
          <w:lang w:eastAsia="zh-CN"/>
        </w:rPr>
        <w:t>项目洞庭湖大桥维修加固工程预算</w:t>
      </w:r>
      <w:r>
        <w:rPr>
          <w:rFonts w:hint="eastAsia" w:ascii="仿宋_GB2312" w:eastAsia="仿宋_GB2312"/>
          <w:sz w:val="32"/>
          <w:szCs w:val="32"/>
          <w:lang w:val="en-US" w:eastAsia="zh-CN"/>
        </w:rPr>
        <w:t>2115万元，决算数2047.34万元，工程项目未财评，2024年未做绩效评价。</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由于资金缺口问题突出，我中心高度重视预算绩效管理工作，领导班子对预算资金的安排和使用提出了更为严格的要求。为确保2024年预算绩效管理工作顺利开展，我们采取了以下措施：</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 提前部署预算编制工作。2023年即组织各部门及二级机构科学编制2024年度预算方案，经财务部门汇总审核后按规定程序上报。</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 强化预算执行管控。年度预算批复下达后，原则上不再新增支出项目。对确需安排的不可预见性支出，严格履行党委会审议决策程序。</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 加强绩效自主管理。重点监控人员经费发放时效性和办公经费使用规范性，在保障基本支出的同时，严格控制非必要开支。</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主要困难体现在：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1. 桥梁养护资金缺口较大。洞庭湖大桥已运营24年，维护成本持续攀升，现有预算难以保障基本养护需求。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 特种作业车辆经费不足。公务车改革后保留的桥梁维护专用车辆运行经费紧张。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仿宋_GB2312" w:eastAsia="仿宋_GB2312"/>
          <w:sz w:val="32"/>
          <w:szCs w:val="32"/>
          <w:lang w:eastAsia="zh-CN"/>
        </w:rPr>
        <w:t>3. 公务出行保障不足。事业单位人员无法享受车补政策，现有差旅标准难以满足实际需求。</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1. 申请增加桥梁专项养护资金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2. 提高特种作业车辆运行经费标准。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仿宋_GB2312" w:eastAsia="仿宋_GB2312"/>
          <w:sz w:val="32"/>
          <w:szCs w:val="32"/>
          <w:lang w:eastAsia="zh-CN"/>
        </w:rPr>
        <w:t>3. 建立按次计量的公务出行经费保障机制。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根据本单位年初工作规划和重点工作，围绕市委、市政府以及省局的工作部署，积极履行职责，强化管理，较好地完成了年度工作目标，同时加强预算收支的管理，建立健全内部管理制度，严格内部管理流程，单位整体支出管理得到了提升。在规定时限内对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年部门整体支出绩效自评报告在岳阳市</w:t>
      </w:r>
      <w:r>
        <w:rPr>
          <w:rFonts w:hint="eastAsia" w:ascii="Times New Roman" w:hAnsi="Times New Roman" w:eastAsia="仿宋_GB2312" w:cs="Times New Roman"/>
          <w:sz w:val="32"/>
          <w:szCs w:val="32"/>
          <w:highlight w:val="none"/>
          <w:lang w:eastAsia="zh-CN"/>
        </w:rPr>
        <w:t>交通运输</w:t>
      </w:r>
      <w:r>
        <w:rPr>
          <w:rFonts w:hint="default" w:ascii="Times New Roman" w:hAnsi="Times New Roman" w:eastAsia="仿宋_GB2312" w:cs="Times New Roman"/>
          <w:sz w:val="32"/>
          <w:szCs w:val="32"/>
          <w:highlight w:val="none"/>
        </w:rPr>
        <w:t>局门户网站进行公开。</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1.95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4432.47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2725.13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2562.99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269.38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225.13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222.13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4163.09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2340.86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大桥冰冻灾害天气应急处置经费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56.99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安全应急运维经费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165.55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洞庭湖大桥维修加固项目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4163.09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2115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2047.34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洞庭湖大桥交通发展专项</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45.98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抗冰保畅上级转移支付</w:t>
            </w:r>
          </w:p>
        </w:tc>
        <w:tc>
          <w:tcPr>
            <w:tcW w:w="2038" w:type="dxa"/>
            <w:gridSpan w:val="2"/>
            <w:tcBorders>
              <w:top w:val="single" w:color="auto" w:sz="4" w:space="0"/>
              <w:left w:val="nil"/>
              <w:bottom w:val="single" w:color="auto" w:sz="4" w:space="0"/>
              <w:right w:val="single" w:color="000000" w:sz="4" w:space="0"/>
            </w:tcBorders>
            <w:noWrap w:val="0"/>
            <w:vAlign w:val="center"/>
          </w:tcPr>
          <w:p>
            <w:pPr>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123.39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120.59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142.85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7.71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12.40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7.73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6.19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394.167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394.167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制定了《桥梁检查维护工作细则》、《水、电管理工作细</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则》《清洁工作细则》等内部管理制度。</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2025.06.20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76"/>
        <w:gridCol w:w="1076"/>
        <w:gridCol w:w="1029"/>
        <w:gridCol w:w="1267"/>
        <w:gridCol w:w="1308"/>
        <w:gridCol w:w="1266"/>
        <w:gridCol w:w="714"/>
        <w:gridCol w:w="903"/>
        <w:gridCol w:w="144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岳阳市洞庭湖大桥养护中心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color w:val="000000"/>
                <w:kern w:val="0"/>
                <w:sz w:val="18"/>
                <w:szCs w:val="18"/>
                <w:u w:val="none"/>
                <w:lang w:val="en-US" w:eastAsia="zh-CN" w:bidi="ar"/>
              </w:rPr>
              <w:t>1443.55</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Times New Roman" w:hAnsi="Times New Roman" w:cs="Times New Roman"/>
                <w:i w:val="0"/>
                <w:color w:val="000000"/>
                <w:kern w:val="0"/>
                <w:sz w:val="18"/>
                <w:szCs w:val="18"/>
                <w:u w:val="none"/>
                <w:lang w:val="en-US" w:eastAsia="zh-CN" w:bidi="ar"/>
              </w:rPr>
              <w:t>5384.53</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3947.89</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7</w:t>
            </w:r>
            <w:r>
              <w:rPr>
                <w:rFonts w:hint="eastAsia" w:ascii="Times New Roman" w:hAnsi="Times New Roman" w:cs="Times New Roman"/>
                <w:i w:val="0"/>
                <w:color w:val="000000"/>
                <w:kern w:val="0"/>
                <w:sz w:val="18"/>
                <w:szCs w:val="18"/>
                <w:u w:val="none"/>
                <w:lang w:val="en-US" w:eastAsia="zh-CN" w:bidi="ar"/>
              </w:rPr>
              <w:t>3.32</w:t>
            </w:r>
            <w:r>
              <w:rPr>
                <w:rFonts w:hint="default" w:ascii="Times New Roman" w:hAnsi="Times New Roman" w:eastAsia="宋体" w:cs="Times New Roman"/>
                <w:i w:val="0"/>
                <w:color w:val="000000"/>
                <w:kern w:val="0"/>
                <w:sz w:val="18"/>
                <w:szCs w:val="18"/>
                <w:u w:val="none"/>
                <w:lang w:val="en-US" w:eastAsia="zh-CN" w:bidi="ar"/>
              </w:rPr>
              <w:t>%</w:t>
            </w:r>
          </w:p>
        </w:tc>
        <w:tc>
          <w:tcPr>
            <w:tcW w:w="144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color w:val="000000"/>
                <w:kern w:val="0"/>
                <w:sz w:val="18"/>
                <w:szCs w:val="18"/>
                <w:u w:val="none"/>
                <w:lang w:val="en-US" w:eastAsia="zh-CN" w:bidi="ar"/>
              </w:rPr>
              <w:t>7.3</w:t>
            </w:r>
            <w:r>
              <w:rPr>
                <w:rFonts w:hint="eastAsia" w:ascii="Times New Roman" w:hAnsi="Times New Roman" w:cs="Times New Roman"/>
                <w:i w:val="0"/>
                <w:color w:val="000000"/>
                <w:kern w:val="0"/>
                <w:sz w:val="18"/>
                <w:szCs w:val="18"/>
                <w:u w:val="none"/>
                <w:lang w:val="en-US" w:eastAsia="zh-CN" w:bidi="ar"/>
              </w:rPr>
              <w:t>3</w:t>
            </w:r>
          </w:p>
        </w:tc>
      </w:tr>
      <w:tr>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5333.32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1384.90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2562.99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eastAsia="zh-CN"/>
              </w:rPr>
              <w:t>：</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51.21</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1.大桥全年安全畅通；</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2.大桥周边生态环境良性循环；</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3.应急处置快速高效。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大桥全年安全畅通，应急处置快速高效，周边环境良性循环。</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处理紧急情况</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3起</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400" w:firstLineChars="200"/>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处理交通事故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6起</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6起</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大桥通畅率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紧急情况处置率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发生事故上报率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控制在预算内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按预算执行</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未超预算</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完成非税任务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13.98</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28.62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大桥美化亮化</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美化亮化达</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全桥路灯景观灯使用率</w:t>
            </w: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全桥监管覆盖率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提高城市市容市貌</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有效提高城市市容市貌</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桥梁日常保洁，保持桥梁清洁</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保障桥梁安全通畅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有可持续影响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default" w:ascii="仿宋_GB2312" w:hAnsi="仿宋_GB2312" w:eastAsia="仿宋_GB2312" w:cs="仿宋_GB2312"/>
                <w:color w:val="000000"/>
                <w:sz w:val="20"/>
                <w:szCs w:val="20"/>
                <w:lang w:val="en-US" w:eastAsia="zh-CN"/>
              </w:rPr>
              <w:t>有可持续影响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受益对象满意度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大于等于95%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绝大部分人满意</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97.33</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2025.6.20  </w:t>
      </w:r>
      <w:r>
        <w:rPr>
          <w:rFonts w:hint="default" w:ascii="Times New Roman" w:hAnsi="Times New Roman" w:eastAsia="仿宋_GB2312" w:cs="Times New Roman"/>
          <w:sz w:val="22"/>
        </w:rPr>
        <w:t>联系电话：</w:t>
      </w:r>
      <w:r>
        <w:rPr>
          <w:rFonts w:hint="default" w:ascii="Times New Roman" w:hAnsi="Times New Roman" w:eastAsia="仿宋_GB2312" w:cs="Times New Roman"/>
          <w:sz w:val="22"/>
          <w:lang w:val="en-US" w:eastAsia="zh-CN"/>
        </w:rPr>
        <w:t>07308783761</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szCs w:val="22"/>
          <w:highlight w:val="none"/>
        </w:rPr>
        <w:t>单位负责人签字：</w:t>
      </w:r>
    </w:p>
    <w:p>
      <w:pPr>
        <w:pStyle w:val="2"/>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pStyle w:val="2"/>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大桥应急运维费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紧急情况下保障桥梁安全畅通</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w:t>
            </w:r>
            <w:r>
              <w:rPr>
                <w:rFonts w:hint="eastAsia" w:eastAsia="仿宋_GB2312"/>
                <w:kern w:val="0"/>
                <w:sz w:val="20"/>
                <w:szCs w:val="20"/>
                <w:lang w:eastAsia="zh-CN"/>
              </w:rPr>
              <w:t>紧急情况下保障桥梁安全畅通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及时处置紧急情况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视发生紧急情况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通畅率</w:t>
            </w:r>
            <w:r>
              <w:rPr>
                <w:rFonts w:hint="eastAsia"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美化城市，交通便利</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大桥保险</w:t>
            </w:r>
            <w:r>
              <w:rPr>
                <w:rFonts w:hint="eastAsia" w:ascii="仿宋_GB2312" w:hAnsi="仿宋_GB2312" w:eastAsia="仿宋_GB2312" w:cs="仿宋_GB2312"/>
                <w:color w:val="000000"/>
                <w:sz w:val="20"/>
                <w:szCs w:val="20"/>
              </w:rPr>
              <w:t>　</w:t>
            </w:r>
          </w:p>
        </w:tc>
      </w:tr>
      <w:tr>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99.06%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31.7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99.06%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9.91</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桥梁资产保障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按时完成保险续约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99.91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大桥电费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116.32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确保洞庭湖大桥用电及交通照明，确保桥梁安全畅通，优化岳阳城市交通质量。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w:t>
            </w:r>
            <w:r>
              <w:rPr>
                <w:rFonts w:hint="eastAsia" w:ascii="仿宋_GB2312" w:hAnsi="仿宋_GB2312" w:eastAsia="仿宋_GB2312" w:cs="仿宋_GB2312"/>
                <w:color w:val="000000"/>
                <w:sz w:val="20"/>
                <w:szCs w:val="20"/>
                <w:lang w:val="en-US" w:eastAsia="zh-CN"/>
              </w:rPr>
              <w:t>9</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大桥日常养护费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53.14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大桥防雷</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99.67%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99.67%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9.97</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r>
              <w:rPr>
                <w:rFonts w:hint="eastAsia" w:ascii="仿宋_GB2312" w:hAnsi="仿宋_GB2312" w:eastAsia="仿宋_GB2312" w:cs="仿宋_GB2312"/>
                <w:color w:val="000000"/>
                <w:sz w:val="20"/>
                <w:szCs w:val="20"/>
                <w:lang w:eastAsia="zh-CN"/>
              </w:rPr>
              <w:t>，美化城市</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桥梁安全有所保障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非税收入征管经费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13.98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28.62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财政预算下达</w:t>
            </w:r>
            <w:r>
              <w:rPr>
                <w:rFonts w:hint="eastAsia" w:ascii="仿宋_GB2312" w:hAnsi="仿宋_GB2312" w:eastAsia="仿宋_GB2312" w:cs="仿宋_GB2312"/>
                <w:color w:val="000000"/>
                <w:sz w:val="20"/>
                <w:szCs w:val="20"/>
                <w:lang w:val="en-US" w:eastAsia="zh-CN"/>
              </w:rPr>
              <w:t>13.98万</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财政预算下达</w:t>
            </w:r>
            <w:r>
              <w:rPr>
                <w:rFonts w:hint="eastAsia" w:ascii="仿宋_GB2312" w:hAnsi="仿宋_GB2312" w:eastAsia="仿宋_GB2312" w:cs="仿宋_GB2312"/>
                <w:color w:val="000000"/>
                <w:sz w:val="20"/>
                <w:szCs w:val="20"/>
                <w:lang w:val="en-US" w:eastAsia="zh-CN"/>
              </w:rPr>
              <w:t>28.62万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保障过桥管线安全可用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过桥管线维护有所保障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
      <w:pPr>
        <w:pStyle w:val="2"/>
      </w:pPr>
    </w:p>
    <w:p>
      <w:pPr>
        <w:widowControl/>
        <w:spacing w:line="600" w:lineRule="exact"/>
        <w:jc w:val="left"/>
        <w:rPr>
          <w:rFonts w:hint="eastAsia"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抗冰保畅上级转移支付</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单位负责人签字：</w:t>
      </w: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洞庭湖大桥交通发展专项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45.98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单位负责人签字：</w:t>
      </w:r>
    </w:p>
    <w:p>
      <w:pPr>
        <w:rPr>
          <w:rFonts w:hint="default" w:ascii="Times New Roman" w:hAnsi="Times New Roman" w:eastAsia="仿宋_GB2312" w:cs="Times New Roman"/>
          <w:sz w:val="22"/>
          <w:szCs w:val="22"/>
        </w:rPr>
      </w:pPr>
    </w:p>
    <w:p>
      <w:pPr>
        <w:rPr>
          <w:rFonts w:hint="default"/>
          <w:lang w:val="en-US" w:eastAsia="zh-CN"/>
        </w:rPr>
      </w:pPr>
      <w:bookmarkStart w:id="0" w:name="_GoBack"/>
      <w:bookmarkEnd w:id="0"/>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11</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安全应急运维经费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82.78%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82.78%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8.28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98.28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rPr>
          <w:rFonts w:hint="eastAsia" w:ascii="黑体" w:hAnsi="黑体" w:eastAsia="黑体" w:cs="黑体"/>
          <w:sz w:val="32"/>
          <w:szCs w:val="3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大桥冰冻灾害天气应急处置经费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市交通运输局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市洞庭湖大桥养护中心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51.81%</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5.18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确保桥梁安全畅通，优化岳阳城市交通质量。</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eastAsia="仿宋_GB2312"/>
                <w:kern w:val="0"/>
                <w:sz w:val="20"/>
                <w:szCs w:val="20"/>
                <w:lang w:eastAsia="zh-CN"/>
              </w:rPr>
              <w:t>保障桥梁安全畅通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6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覆盖率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全桥覆盖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促进经济平稳发展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人群生活得到改善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全桥覆盖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生态环境改善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有所改善</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实现可持续发展</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保障桥梁安全通畅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有可持续影响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绝大部分人满意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95.18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胡敏</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2025.6.20</w:t>
      </w:r>
      <w:r>
        <w:rPr>
          <w:rFonts w:hint="default" w:ascii="Times New Roman" w:hAnsi="Times New Roman" w:eastAsia="仿宋_GB2312" w:cs="Times New Roman"/>
          <w:sz w:val="22"/>
        </w:rPr>
        <w:t xml:space="preserve"> 联系电话：</w:t>
      </w:r>
      <w:r>
        <w:rPr>
          <w:rFonts w:hint="default" w:ascii="Times New Roman" w:hAnsi="Times New Roman" w:eastAsia="仿宋_GB2312" w:cs="Times New Roman"/>
          <w:sz w:val="22"/>
          <w:lang w:val="en-US" w:eastAsia="zh-CN"/>
        </w:rPr>
        <w:t>07308783761</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 xml:space="preserve"> </w:t>
      </w:r>
      <w:r>
        <w:rPr>
          <w:rFonts w:hint="eastAsia" w:ascii="Times New Roman" w:hAnsi="Times New Roman" w:eastAsia="仿宋_GB2312" w:cs="Times New Roman"/>
          <w:sz w:val="22"/>
          <w:lang w:val="en-US" w:eastAsia="zh-CN"/>
        </w:rPr>
        <w:t xml:space="preserve"> </w:t>
      </w:r>
      <w:r>
        <w:rPr>
          <w:rFonts w:hint="default" w:ascii="Times New Roman" w:hAnsi="Times New Roman" w:eastAsia="仿宋_GB2312" w:cs="Times New Roman"/>
          <w:sz w:val="22"/>
        </w:rPr>
        <w:t>单位负责人签字：</w:t>
      </w:r>
    </w:p>
    <w:p>
      <w:pPr>
        <w:rPr>
          <w:rFonts w:hint="default" w:ascii="Times New Roman" w:hAnsi="Times New Roman" w:eastAsia="仿宋_GB2312" w:cs="Times New Roman"/>
          <w:sz w:val="22"/>
          <w:szCs w:val="22"/>
        </w:rPr>
      </w:pPr>
    </w:p>
    <w:p>
      <w:pPr>
        <w:pStyle w:val="2"/>
        <w:rPr>
          <w:rFonts w:hint="eastAsia"/>
        </w:rPr>
      </w:pPr>
    </w:p>
    <w:p>
      <w:pPr>
        <w:pStyle w:val="2"/>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068B0"/>
    <w:multiLevelType w:val="singleLevel"/>
    <w:tmpl w:val="A01068B0"/>
    <w:lvl w:ilvl="0" w:tentative="0">
      <w:start w:val="1"/>
      <w:numFmt w:val="chineseCounting"/>
      <w:suff w:val="nothing"/>
      <w:lvlText w:val="%1、"/>
      <w:lvlJc w:val="left"/>
      <w:rPr>
        <w:rFonts w:hint="eastAsia"/>
      </w:rPr>
    </w:lvl>
  </w:abstractNum>
  <w:abstractNum w:abstractNumId="1">
    <w:nsid w:val="B3E8E3B6"/>
    <w:multiLevelType w:val="singleLevel"/>
    <w:tmpl w:val="B3E8E3B6"/>
    <w:lvl w:ilvl="0" w:tentative="0">
      <w:start w:val="8"/>
      <w:numFmt w:val="chineseCounting"/>
      <w:suff w:val="nothing"/>
      <w:lvlText w:val="%1、"/>
      <w:lvlJc w:val="left"/>
      <w:rPr>
        <w:rFonts w:hint="eastAsia"/>
      </w:rPr>
    </w:lvl>
  </w:abstractNum>
  <w:abstractNum w:abstractNumId="2">
    <w:nsid w:val="700020C8"/>
    <w:multiLevelType w:val="singleLevel"/>
    <w:tmpl w:val="700020C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BD4F42"/>
    <w:rsid w:val="00E04347"/>
    <w:rsid w:val="01B82967"/>
    <w:rsid w:val="01BF166D"/>
    <w:rsid w:val="02C638DF"/>
    <w:rsid w:val="056B20F3"/>
    <w:rsid w:val="077569DD"/>
    <w:rsid w:val="08AF25E3"/>
    <w:rsid w:val="0940423E"/>
    <w:rsid w:val="0D107E7B"/>
    <w:rsid w:val="0E4D5E73"/>
    <w:rsid w:val="0F752B68"/>
    <w:rsid w:val="107C119C"/>
    <w:rsid w:val="10944326"/>
    <w:rsid w:val="12F450A8"/>
    <w:rsid w:val="14123561"/>
    <w:rsid w:val="15863D5C"/>
    <w:rsid w:val="15FF0DE6"/>
    <w:rsid w:val="1656401C"/>
    <w:rsid w:val="1694429A"/>
    <w:rsid w:val="17091909"/>
    <w:rsid w:val="18515A5E"/>
    <w:rsid w:val="18C6361B"/>
    <w:rsid w:val="18E17362"/>
    <w:rsid w:val="1AAF2DD5"/>
    <w:rsid w:val="1BEC025E"/>
    <w:rsid w:val="1CB2349F"/>
    <w:rsid w:val="23175E75"/>
    <w:rsid w:val="238259C7"/>
    <w:rsid w:val="24F72435"/>
    <w:rsid w:val="251672D8"/>
    <w:rsid w:val="257419FF"/>
    <w:rsid w:val="26565921"/>
    <w:rsid w:val="26F328E0"/>
    <w:rsid w:val="26F80E93"/>
    <w:rsid w:val="274B5138"/>
    <w:rsid w:val="27606313"/>
    <w:rsid w:val="2A855F3C"/>
    <w:rsid w:val="2BED7120"/>
    <w:rsid w:val="2C414687"/>
    <w:rsid w:val="2CCE420F"/>
    <w:rsid w:val="2D6F0515"/>
    <w:rsid w:val="2F8A113E"/>
    <w:rsid w:val="30E77F43"/>
    <w:rsid w:val="31301BF1"/>
    <w:rsid w:val="31CF1D43"/>
    <w:rsid w:val="3268268F"/>
    <w:rsid w:val="32AC3CB0"/>
    <w:rsid w:val="32F822D7"/>
    <w:rsid w:val="34962CAE"/>
    <w:rsid w:val="3686501B"/>
    <w:rsid w:val="369B06A2"/>
    <w:rsid w:val="385969B8"/>
    <w:rsid w:val="386628A6"/>
    <w:rsid w:val="39623076"/>
    <w:rsid w:val="39AE37C4"/>
    <w:rsid w:val="3AC339FB"/>
    <w:rsid w:val="3C94676F"/>
    <w:rsid w:val="3E9C0B04"/>
    <w:rsid w:val="3FDC5E2D"/>
    <w:rsid w:val="40733605"/>
    <w:rsid w:val="42723AB5"/>
    <w:rsid w:val="471B6F39"/>
    <w:rsid w:val="48513732"/>
    <w:rsid w:val="48DC4B96"/>
    <w:rsid w:val="4BB50541"/>
    <w:rsid w:val="4C776080"/>
    <w:rsid w:val="4CD32913"/>
    <w:rsid w:val="4F3A4FD9"/>
    <w:rsid w:val="506127A0"/>
    <w:rsid w:val="508E3FB7"/>
    <w:rsid w:val="514C63DC"/>
    <w:rsid w:val="51AF5419"/>
    <w:rsid w:val="51F15DFD"/>
    <w:rsid w:val="53B11E7D"/>
    <w:rsid w:val="54831C6D"/>
    <w:rsid w:val="55626E76"/>
    <w:rsid w:val="56F4500F"/>
    <w:rsid w:val="59853692"/>
    <w:rsid w:val="59886344"/>
    <w:rsid w:val="59B62135"/>
    <w:rsid w:val="5BCE5608"/>
    <w:rsid w:val="5C5F76AC"/>
    <w:rsid w:val="5D747B66"/>
    <w:rsid w:val="5DDC5E8E"/>
    <w:rsid w:val="5E887000"/>
    <w:rsid w:val="5ED04EBA"/>
    <w:rsid w:val="5EFE576E"/>
    <w:rsid w:val="60F477AF"/>
    <w:rsid w:val="62603163"/>
    <w:rsid w:val="62D665B3"/>
    <w:rsid w:val="62F3146E"/>
    <w:rsid w:val="655C3211"/>
    <w:rsid w:val="65C1542D"/>
    <w:rsid w:val="6626745E"/>
    <w:rsid w:val="67C065E8"/>
    <w:rsid w:val="685E010F"/>
    <w:rsid w:val="694804B0"/>
    <w:rsid w:val="69B170F2"/>
    <w:rsid w:val="6A4C2802"/>
    <w:rsid w:val="6B0B040F"/>
    <w:rsid w:val="6B7D2485"/>
    <w:rsid w:val="6C132A24"/>
    <w:rsid w:val="6CE933E5"/>
    <w:rsid w:val="6D814635"/>
    <w:rsid w:val="6F5C38CC"/>
    <w:rsid w:val="71B30B97"/>
    <w:rsid w:val="71C80B3D"/>
    <w:rsid w:val="71ED7A78"/>
    <w:rsid w:val="726E34C9"/>
    <w:rsid w:val="729E3D33"/>
    <w:rsid w:val="72DD3E80"/>
    <w:rsid w:val="72EB4117"/>
    <w:rsid w:val="740735EA"/>
    <w:rsid w:val="7439183B"/>
    <w:rsid w:val="753C2C43"/>
    <w:rsid w:val="76777CC2"/>
    <w:rsid w:val="77890DE7"/>
    <w:rsid w:val="79436BAF"/>
    <w:rsid w:val="79CC43DE"/>
    <w:rsid w:val="7A005E33"/>
    <w:rsid w:val="7A4913B1"/>
    <w:rsid w:val="7ABC5F7C"/>
    <w:rsid w:val="7D913B11"/>
    <w:rsid w:val="7E921135"/>
    <w:rsid w:val="7FC05611"/>
    <w:rsid w:val="DFEF884A"/>
    <w:rsid w:val="FEDE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kylin</cp:lastModifiedBy>
  <cp:lastPrinted>2025-06-23T16:07:00Z</cp:lastPrinted>
  <dcterms:modified xsi:type="dcterms:W3CDTF">2025-07-17T14:33:59Z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6182D3A10D564617983F46DEE354AEAF</vt:lpwstr>
  </property>
</Properties>
</file>