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D6" w:rsidRDefault="00AC21D6" w:rsidP="00AC21D6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C21D6" w:rsidRDefault="00AC21D6" w:rsidP="00AC21D6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1065"/>
        <w:gridCol w:w="1053"/>
        <w:gridCol w:w="1344"/>
        <w:gridCol w:w="1068"/>
        <w:gridCol w:w="1216"/>
        <w:gridCol w:w="814"/>
        <w:gridCol w:w="861"/>
        <w:gridCol w:w="1372"/>
      </w:tblGrid>
      <w:tr w:rsidR="00AC21D6" w:rsidTr="001D7958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中心城区房地产办证专项行动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岳阳市自然资源和规划局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岳阳市不动产登记中心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已经办理房屋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栋证但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尚未办理分户证的新建商品房，督促办理房产证，制定2024年7月1日之前完成6000套，至2024年12月31日前共完成20000套的目标。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  <w:highlight w:val="yellow"/>
              </w:rPr>
            </w:pPr>
            <w:r w:rsidRPr="000F192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自专项行动以来，全市各级各部门主动作为、紧密配合、攻</w:t>
            </w:r>
            <w:proofErr w:type="gramStart"/>
            <w:r w:rsidRPr="000F192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艰</w:t>
            </w:r>
            <w:proofErr w:type="gramEnd"/>
            <w:r w:rsidRPr="000F192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克难，截止2024年底已办结14044户，完成总任务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70.22</w:t>
            </w:r>
            <w:r w:rsidRPr="000F192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%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办理分户证户数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20000户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14044户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剩余未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户数属于多种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原因形成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的遗留问题。</w:t>
            </w:r>
            <w:r w:rsidRPr="00FF42D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基于节约行政资源、数量</w:t>
            </w:r>
            <w:proofErr w:type="gramStart"/>
            <w:r w:rsidRPr="00FF42D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不大因素</w:t>
            </w:r>
            <w:proofErr w:type="gramEnd"/>
            <w:r w:rsidRPr="00FF42D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考虑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，</w:t>
            </w:r>
            <w:r w:rsidRPr="00FF42D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建议停止房地产办证专项行动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专项经费按标准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1000元/套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摸清办证底数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办证效率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资金分配合理性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C21D6" w:rsidTr="001D7958">
        <w:trPr>
          <w:trHeight w:val="568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按照计划时间完成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项目成本控制在预算范围内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防范金融风险，创造良好经济环境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降低金融风险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有所降低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加强宣传报道，引导购房人及时办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理不动产权证、分户证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有明显效果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有明显效果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保障购房人权益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有所保障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有所保障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  <w:p w:rsidR="00AC21D6" w:rsidRDefault="00AC21D6" w:rsidP="001D7958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对环境造成的负面影响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建立“交房即交证”的长效机制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建立新建商品房买卖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合同网签备案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信息实时共享和及时纳税的长效机制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适应工作需求，使得工作进入良性循环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  <w:lang w:bidi="ar"/>
              </w:rPr>
              <w:t>群众满意率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 w:bidi="ar"/>
              </w:rPr>
              <w:t>≥95%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 w:bidi="ar"/>
              </w:rPr>
              <w:t>5%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C21D6" w:rsidTr="001D7958">
        <w:trPr>
          <w:jc w:val="center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6" w:rsidRDefault="00AC21D6" w:rsidP="001D795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AC21D6" w:rsidRDefault="00AC21D6" w:rsidP="00AC21D6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AC21D6" w:rsidRDefault="00AC21D6" w:rsidP="00AC21D6">
      <w:pPr>
        <w:rPr>
          <w:rFonts w:ascii="Times New Roman" w:eastAsia="仿宋_GB2312" w:hAnsi="Times New Roman"/>
          <w:sz w:val="22"/>
          <w:szCs w:val="22"/>
        </w:rPr>
      </w:pPr>
    </w:p>
    <w:p w:rsidR="003553B2" w:rsidRPr="00AC21D6" w:rsidRDefault="003553B2">
      <w:bookmarkStart w:id="0" w:name="_GoBack"/>
      <w:bookmarkEnd w:id="0"/>
    </w:p>
    <w:sectPr w:rsidR="003553B2" w:rsidRPr="00AC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D6"/>
    <w:rsid w:val="003553B2"/>
    <w:rsid w:val="00A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B09DC-37E4-4E17-8EE2-21C1CCA8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1D6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微软中国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2025-07-18T01:33:00Z</dcterms:created>
  <dcterms:modified xsi:type="dcterms:W3CDTF">2025-07-18T01:33:00Z</dcterms:modified>
</cp:coreProperties>
</file>