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附件4</w:t>
      </w:r>
    </w:p>
    <w:p>
      <w:pPr>
        <w:jc w:val="center"/>
        <w:rPr>
          <w:rFonts w:ascii="Times New Roman" w:hAnsi="Times New Roman" w:eastAsia="方正小标宋_GBK"/>
          <w:sz w:val="52"/>
          <w:szCs w:val="52"/>
        </w:rPr>
      </w:pP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年度</w:t>
      </w:r>
      <w:bookmarkStart w:id="0" w:name="_GoBack"/>
      <w:bookmarkEnd w:id="0"/>
      <w:r>
        <w:rPr>
          <w:rFonts w:hint="eastAsia" w:ascii="方正小标宋简体" w:hAnsi="方正小标宋简体" w:eastAsia="方正小标宋简体" w:cs="方正小标宋简体"/>
          <w:sz w:val="44"/>
          <w:szCs w:val="44"/>
        </w:rPr>
        <w:t>部门（岳阳市污水处理监督中心）</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整体支出</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pPr>
        <w:jc w:val="center"/>
        <w:rPr>
          <w:rFonts w:ascii="Times New Roman" w:hAnsi="Times New Roman" w:eastAsia="方正小标宋_GBK"/>
          <w:b/>
          <w:sz w:val="52"/>
          <w:szCs w:val="5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楷体_GB2312"/>
          <w:b/>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jc w:val="center"/>
        <w:rPr>
          <w:rFonts w:ascii="Times New Roman" w:hAnsi="Times New Roman" w:eastAsia="黑体"/>
          <w:sz w:val="32"/>
          <w:szCs w:val="32"/>
        </w:rPr>
      </w:pPr>
    </w:p>
    <w:p>
      <w:pPr>
        <w:spacing w:line="600" w:lineRule="exact"/>
        <w:jc w:val="center"/>
        <w:rPr>
          <w:rFonts w:ascii="Times New Roman" w:hAnsi="Times New Roman" w:eastAsia="仿宋_GB2312"/>
          <w:sz w:val="32"/>
          <w:szCs w:val="32"/>
          <w:u w:val="single"/>
        </w:rPr>
      </w:pPr>
      <w:r>
        <w:rPr>
          <w:rFonts w:ascii="Times New Roman" w:hAnsi="Times New Roman" w:eastAsia="仿宋_GB2312"/>
          <w:sz w:val="32"/>
          <w:szCs w:val="32"/>
        </w:rPr>
        <w:t>部门（单位）名称：</w:t>
      </w:r>
      <w:r>
        <w:rPr>
          <w:rFonts w:ascii="Times New Roman" w:hAnsi="Times New Roman" w:eastAsia="仿宋_GB2312"/>
          <w:sz w:val="32"/>
          <w:szCs w:val="32"/>
          <w:u w:val="single"/>
        </w:rPr>
        <w:t>（盖章）</w:t>
      </w:r>
    </w:p>
    <w:p>
      <w:pPr>
        <w:spacing w:line="600" w:lineRule="exact"/>
        <w:jc w:val="center"/>
        <w:rPr>
          <w:rFonts w:ascii="Times New Roman" w:hAnsi="Times New Roman" w:eastAsia="楷体_GB2312"/>
          <w:sz w:val="32"/>
          <w:szCs w:val="32"/>
        </w:rPr>
      </w:pPr>
      <w:r>
        <w:rPr>
          <w:rFonts w:hint="eastAsia" w:ascii="Times New Roman" w:hAnsi="Times New Roman" w:eastAsia="楷体_GB2312"/>
          <w:sz w:val="32"/>
          <w:szCs w:val="32"/>
        </w:rPr>
        <w:t>202</w:t>
      </w:r>
      <w:r>
        <w:rPr>
          <w:rFonts w:hint="eastAsia" w:ascii="Times New Roman" w:hAnsi="Times New Roman" w:eastAsia="楷体_GB2312"/>
          <w:sz w:val="32"/>
          <w:szCs w:val="32"/>
          <w:lang w:val="en-US" w:eastAsia="zh-CN"/>
        </w:rPr>
        <w:t>5</w:t>
      </w:r>
      <w:r>
        <w:rPr>
          <w:rFonts w:ascii="Times New Roman" w:hAnsi="Times New Roman" w:eastAsia="楷体_GB2312"/>
          <w:sz w:val="32"/>
          <w:szCs w:val="32"/>
        </w:rPr>
        <w:t xml:space="preserve">年  </w:t>
      </w:r>
      <w:r>
        <w:rPr>
          <w:rFonts w:hint="eastAsia" w:ascii="Times New Roman" w:hAnsi="Times New Roman" w:eastAsia="楷体_GB2312"/>
          <w:sz w:val="32"/>
          <w:szCs w:val="32"/>
          <w:lang w:val="en-US" w:eastAsia="zh-CN"/>
        </w:rPr>
        <w:t>4</w:t>
      </w:r>
      <w:r>
        <w:rPr>
          <w:rFonts w:ascii="Times New Roman" w:hAnsi="Times New Roman" w:eastAsia="楷体_GB2312"/>
          <w:sz w:val="32"/>
          <w:szCs w:val="32"/>
        </w:rPr>
        <w:t xml:space="preserve">月 </w:t>
      </w:r>
      <w:r>
        <w:rPr>
          <w:rFonts w:hint="eastAsia" w:ascii="Times New Roman" w:hAnsi="Times New Roman" w:eastAsia="楷体_GB2312"/>
          <w:sz w:val="32"/>
          <w:szCs w:val="32"/>
          <w:lang w:val="en-US" w:eastAsia="zh-CN"/>
        </w:rPr>
        <w:t>25</w:t>
      </w:r>
      <w:r>
        <w:rPr>
          <w:rFonts w:ascii="Times New Roman" w:hAnsi="Times New Roman" w:eastAsia="楷体_GB2312"/>
          <w:sz w:val="32"/>
          <w:szCs w:val="32"/>
        </w:rPr>
        <w:t xml:space="preserve"> 日</w:t>
      </w:r>
    </w:p>
    <w:p>
      <w:pPr>
        <w:jc w:val="center"/>
        <w:rPr>
          <w:rFonts w:ascii="Times New Roman" w:hAnsi="Times New Roman" w:eastAsia="仿宋_GB2312"/>
          <w:sz w:val="32"/>
          <w:szCs w:val="32"/>
        </w:rPr>
      </w:pPr>
      <w:r>
        <w:rPr>
          <w:rFonts w:ascii="Times New Roman" w:hAnsi="Times New Roman" w:eastAsia="仿宋_GB2312"/>
          <w:sz w:val="32"/>
          <w:szCs w:val="32"/>
        </w:rPr>
        <w:t>（此页为封面）</w:t>
      </w:r>
    </w:p>
    <w:p>
      <w:pPr>
        <w:jc w:val="center"/>
        <w:rPr>
          <w:rFonts w:ascii="方正小标宋简体" w:hAnsi="方正小标宋简体" w:eastAsia="方正小标宋简体" w:cs="方正小标宋简体"/>
          <w:sz w:val="44"/>
          <w:szCs w:val="44"/>
        </w:rPr>
      </w:pPr>
      <w:r>
        <w:rPr>
          <w:rFonts w:ascii="Times New Roman" w:hAnsi="Times New Roman" w:eastAsia="仿宋_GB2312"/>
          <w:sz w:val="32"/>
          <w:szCs w:val="32"/>
        </w:rPr>
        <w:br w:type="page"/>
      </w: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年度岳阳市污水处理监督中心</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整体支出绩效自评报告</w:t>
      </w:r>
    </w:p>
    <w:p>
      <w:pPr>
        <w:ind w:firstLine="420" w:firstLineChars="200"/>
        <w:rPr>
          <w:rFonts w:ascii="Times New Roman" w:hAnsi="Times New Roman" w:eastAsia="仿宋_GB2312"/>
          <w:sz w:val="21"/>
          <w:szCs w:val="21"/>
        </w:rPr>
      </w:pPr>
    </w:p>
    <w:p>
      <w:pPr>
        <w:numPr>
          <w:ilvl w:val="0"/>
          <w:numId w:val="1"/>
        </w:num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部门（单位）基本情况</w:t>
      </w:r>
    </w:p>
    <w:p>
      <w:pPr>
        <w:pStyle w:val="7"/>
        <w:widowControl/>
        <w:spacing w:line="600" w:lineRule="exact"/>
        <w:ind w:firstLine="640" w:firstLineChars="200"/>
        <w:jc w:val="both"/>
        <w:rPr>
          <w:rFonts w:ascii="Times New Roman" w:hAnsi="Times New Roman" w:eastAsia="仿宋_GB2312"/>
          <w:color w:val="000000"/>
          <w:sz w:val="32"/>
          <w:szCs w:val="32"/>
        </w:rPr>
      </w:pPr>
      <w:r>
        <w:rPr>
          <w:rFonts w:hint="eastAsia" w:ascii="Times New Roman" w:hAnsi="Times New Roman" w:eastAsia="仿宋_GB2312"/>
          <w:color w:val="000000"/>
          <w:sz w:val="32"/>
          <w:szCs w:val="32"/>
        </w:rPr>
        <w:t>岳阳市污水处理监督中心负责对全市污水处理厂行业的监督管理，其具体工作有：对污水处理厂运行的监管、水质检测达标排放、污泥处理无害化处置、污水处理费协助征缴、污水处理站运行管理、中心城区移动式（临时）污水处理设备的监管、协助处理污水处理厂回购谈判、污水处理与污泥处置服务费的核定、全市污水处理行业系统的数据统计与平台上报等。</w:t>
      </w:r>
    </w:p>
    <w:p>
      <w:pPr>
        <w:pStyle w:val="7"/>
        <w:widowControl/>
        <w:spacing w:line="600" w:lineRule="exact"/>
        <w:ind w:firstLine="640" w:firstLineChars="200"/>
        <w:jc w:val="both"/>
        <w:rPr>
          <w:rFonts w:ascii="Times New Roman" w:hAnsi="Times New Roman" w:eastAsia="仿宋_GB2312"/>
          <w:color w:val="000000"/>
          <w:sz w:val="32"/>
          <w:szCs w:val="32"/>
        </w:rPr>
      </w:pPr>
      <w:r>
        <w:rPr>
          <w:rFonts w:hint="eastAsia" w:ascii="Times New Roman" w:hAnsi="Times New Roman" w:eastAsia="仿宋_GB2312"/>
          <w:color w:val="000000"/>
          <w:sz w:val="32"/>
          <w:szCs w:val="32"/>
        </w:rPr>
        <w:t>机构情况：岳阳市污水处理监督中心为正科级公益性一类事业单位，隶属岳阳市住房和城乡建设局。</w:t>
      </w:r>
    </w:p>
    <w:p>
      <w:pPr>
        <w:pStyle w:val="12"/>
        <w:widowControl/>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12"/>
        <w:widowControl/>
        <w:spacing w:line="600" w:lineRule="exact"/>
        <w:ind w:firstLine="640"/>
        <w:rPr>
          <w:rFonts w:ascii="Times New Roman" w:hAnsi="Times New Roman" w:eastAsia="楷体_GB2312"/>
          <w:bCs/>
          <w:sz w:val="32"/>
          <w:szCs w:val="32"/>
        </w:rPr>
      </w:pPr>
      <w:r>
        <w:rPr>
          <w:rFonts w:ascii="Times New Roman" w:hAnsi="Times New Roman" w:eastAsia="楷体_GB2312"/>
          <w:bCs/>
          <w:sz w:val="32"/>
          <w:szCs w:val="32"/>
        </w:rPr>
        <w:t>（一）基本支出情况</w:t>
      </w:r>
    </w:p>
    <w:p>
      <w:pPr>
        <w:widowControl/>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rPr>
        <w:t>202</w:t>
      </w:r>
      <w:r>
        <w:rPr>
          <w:rFonts w:hint="eastAsia" w:ascii="Times New Roman" w:hAnsi="Times New Roman" w:eastAsia="仿宋_GB2312"/>
          <w:color w:val="000000"/>
          <w:sz w:val="32"/>
          <w:szCs w:val="32"/>
          <w:lang w:val="en-US" w:eastAsia="zh-CN"/>
        </w:rPr>
        <w:t>4</w:t>
      </w:r>
      <w:r>
        <w:rPr>
          <w:rFonts w:hint="eastAsia" w:ascii="Times New Roman" w:hAnsi="Times New Roman" w:eastAsia="仿宋_GB2312"/>
          <w:color w:val="000000"/>
          <w:sz w:val="32"/>
          <w:szCs w:val="32"/>
        </w:rPr>
        <w:t>年我中心预算安排基本支出包括：（1）人员经费（工资福利支出）：</w:t>
      </w:r>
      <w:r>
        <w:rPr>
          <w:rFonts w:hint="eastAsia" w:ascii="Times New Roman" w:hAnsi="Times New Roman" w:eastAsia="仿宋_GB2312"/>
          <w:color w:val="000000"/>
          <w:sz w:val="32"/>
          <w:szCs w:val="32"/>
          <w:lang w:val="en-US" w:eastAsia="zh-CN"/>
        </w:rPr>
        <w:t>364.2</w:t>
      </w:r>
      <w:r>
        <w:rPr>
          <w:rFonts w:hint="eastAsia" w:ascii="Times New Roman" w:hAnsi="Times New Roman" w:eastAsia="仿宋_GB2312"/>
          <w:color w:val="000000"/>
          <w:sz w:val="32"/>
          <w:szCs w:val="32"/>
        </w:rPr>
        <w:t>万元，其中：基本工资</w:t>
      </w:r>
      <w:r>
        <w:rPr>
          <w:rFonts w:hint="eastAsia" w:ascii="Times New Roman" w:hAnsi="Times New Roman" w:eastAsia="仿宋_GB2312"/>
          <w:color w:val="000000"/>
          <w:sz w:val="32"/>
          <w:szCs w:val="32"/>
          <w:lang w:val="en-US" w:eastAsia="zh-CN"/>
        </w:rPr>
        <w:t>110.87</w:t>
      </w:r>
      <w:r>
        <w:rPr>
          <w:rFonts w:hint="eastAsia" w:ascii="Times New Roman" w:hAnsi="Times New Roman" w:eastAsia="仿宋_GB2312"/>
          <w:color w:val="000000"/>
          <w:sz w:val="32"/>
          <w:szCs w:val="32"/>
        </w:rPr>
        <w:t>万元，绩效工资</w:t>
      </w:r>
      <w:r>
        <w:rPr>
          <w:rFonts w:hint="eastAsia" w:ascii="Times New Roman" w:hAnsi="Times New Roman" w:eastAsia="仿宋_GB2312"/>
          <w:color w:val="000000"/>
          <w:sz w:val="32"/>
          <w:szCs w:val="32"/>
          <w:lang w:val="en-US" w:eastAsia="zh-CN"/>
        </w:rPr>
        <w:t>65.16</w:t>
      </w:r>
      <w:r>
        <w:rPr>
          <w:rFonts w:hint="eastAsia" w:ascii="Times New Roman" w:hAnsi="Times New Roman" w:eastAsia="仿宋_GB2312"/>
          <w:color w:val="000000"/>
          <w:sz w:val="32"/>
          <w:szCs w:val="32"/>
        </w:rPr>
        <w:t>万元，津贴补贴</w:t>
      </w:r>
      <w:r>
        <w:rPr>
          <w:rFonts w:hint="eastAsia" w:ascii="Times New Roman" w:hAnsi="Times New Roman" w:eastAsia="仿宋_GB2312"/>
          <w:color w:val="000000"/>
          <w:sz w:val="32"/>
          <w:szCs w:val="32"/>
          <w:lang w:val="en-US" w:eastAsia="zh-CN"/>
        </w:rPr>
        <w:t>12.38</w:t>
      </w:r>
      <w:r>
        <w:rPr>
          <w:rFonts w:hint="eastAsia" w:ascii="Times New Roman" w:hAnsi="Times New Roman" w:eastAsia="仿宋_GB2312"/>
          <w:color w:val="000000"/>
          <w:sz w:val="32"/>
          <w:szCs w:val="32"/>
        </w:rPr>
        <w:t>万元，奖金</w:t>
      </w:r>
      <w:r>
        <w:rPr>
          <w:rFonts w:hint="eastAsia" w:ascii="Times New Roman" w:hAnsi="Times New Roman" w:eastAsia="仿宋_GB2312"/>
          <w:color w:val="000000"/>
          <w:sz w:val="32"/>
          <w:szCs w:val="32"/>
          <w:lang w:val="en-US" w:eastAsia="zh-CN"/>
        </w:rPr>
        <w:t>74.87</w:t>
      </w:r>
      <w:r>
        <w:rPr>
          <w:rFonts w:hint="eastAsia" w:ascii="Times New Roman" w:hAnsi="Times New Roman" w:eastAsia="仿宋_GB2312"/>
          <w:color w:val="000000"/>
          <w:sz w:val="32"/>
          <w:szCs w:val="32"/>
        </w:rPr>
        <w:t>万元，机关事业单位基本养老保险缴费</w:t>
      </w:r>
      <w:r>
        <w:rPr>
          <w:rFonts w:hint="eastAsia" w:ascii="Times New Roman" w:hAnsi="Times New Roman" w:eastAsia="仿宋_GB2312"/>
          <w:color w:val="000000"/>
          <w:sz w:val="32"/>
          <w:szCs w:val="32"/>
          <w:lang w:val="en-US" w:eastAsia="zh-CN"/>
        </w:rPr>
        <w:t>37.11</w:t>
      </w:r>
      <w:r>
        <w:rPr>
          <w:rFonts w:hint="eastAsia" w:ascii="Times New Roman" w:hAnsi="Times New Roman" w:eastAsia="仿宋_GB2312"/>
          <w:color w:val="000000"/>
          <w:sz w:val="32"/>
          <w:szCs w:val="32"/>
        </w:rPr>
        <w:t>万元，职工基本医疗保险缴费</w:t>
      </w:r>
      <w:r>
        <w:rPr>
          <w:rFonts w:hint="eastAsia" w:ascii="Times New Roman" w:hAnsi="Times New Roman" w:eastAsia="仿宋_GB2312"/>
          <w:color w:val="000000"/>
          <w:sz w:val="32"/>
          <w:szCs w:val="32"/>
          <w:lang w:val="en-US" w:eastAsia="zh-CN"/>
        </w:rPr>
        <w:t>14.81</w:t>
      </w:r>
      <w:r>
        <w:rPr>
          <w:rFonts w:hint="eastAsia" w:ascii="Times New Roman" w:hAnsi="Times New Roman" w:eastAsia="仿宋_GB2312"/>
          <w:color w:val="000000"/>
          <w:sz w:val="32"/>
          <w:szCs w:val="32"/>
        </w:rPr>
        <w:t>万元，其他社会保障缴费</w:t>
      </w:r>
      <w:r>
        <w:rPr>
          <w:rFonts w:hint="eastAsia" w:ascii="Times New Roman" w:hAnsi="Times New Roman" w:eastAsia="仿宋_GB2312"/>
          <w:color w:val="000000"/>
          <w:sz w:val="32"/>
          <w:szCs w:val="32"/>
          <w:lang w:val="en-US" w:eastAsia="zh-CN"/>
        </w:rPr>
        <w:t>11.24</w:t>
      </w:r>
      <w:r>
        <w:rPr>
          <w:rFonts w:hint="eastAsia"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含残保金2.86万元</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，住房公积金27.</w:t>
      </w:r>
      <w:r>
        <w:rPr>
          <w:rFonts w:hint="eastAsia" w:ascii="Times New Roman" w:hAnsi="Times New Roman" w:eastAsia="仿宋_GB2312"/>
          <w:color w:val="000000"/>
          <w:sz w:val="32"/>
          <w:szCs w:val="32"/>
          <w:lang w:val="en-US" w:eastAsia="zh-CN"/>
        </w:rPr>
        <w:t>76</w:t>
      </w:r>
      <w:r>
        <w:rPr>
          <w:rFonts w:hint="eastAsia" w:ascii="Times New Roman" w:hAnsi="Times New Roman" w:eastAsia="仿宋_GB2312"/>
          <w:color w:val="000000"/>
          <w:sz w:val="32"/>
          <w:szCs w:val="32"/>
        </w:rPr>
        <w:t>万元，伙食补助费10万元；（2）人员经费（对个人和家庭的补助支出）：</w:t>
      </w:r>
      <w:r>
        <w:rPr>
          <w:rFonts w:hint="eastAsia" w:ascii="Times New Roman" w:hAnsi="Times New Roman" w:eastAsia="仿宋_GB2312"/>
          <w:color w:val="000000"/>
          <w:sz w:val="32"/>
          <w:szCs w:val="32"/>
          <w:lang w:val="en-US" w:eastAsia="zh-CN"/>
        </w:rPr>
        <w:t>41.46</w:t>
      </w:r>
      <w:r>
        <w:rPr>
          <w:rFonts w:hint="eastAsia" w:ascii="Times New Roman" w:hAnsi="Times New Roman" w:eastAsia="仿宋_GB2312"/>
          <w:color w:val="000000"/>
          <w:sz w:val="32"/>
          <w:szCs w:val="32"/>
        </w:rPr>
        <w:t>万元，其中：退休费</w:t>
      </w:r>
      <w:r>
        <w:rPr>
          <w:rFonts w:hint="eastAsia" w:ascii="Times New Roman" w:hAnsi="Times New Roman" w:eastAsia="仿宋_GB2312"/>
          <w:color w:val="000000"/>
          <w:sz w:val="32"/>
          <w:szCs w:val="32"/>
          <w:lang w:val="en-US" w:eastAsia="zh-CN"/>
        </w:rPr>
        <w:t>33.71</w:t>
      </w:r>
      <w:r>
        <w:rPr>
          <w:rFonts w:hint="eastAsia" w:ascii="Times New Roman" w:hAnsi="Times New Roman" w:eastAsia="仿宋_GB2312"/>
          <w:color w:val="000000"/>
          <w:sz w:val="32"/>
          <w:szCs w:val="32"/>
        </w:rPr>
        <w:t>万元，医疗费补助</w:t>
      </w:r>
      <w:r>
        <w:rPr>
          <w:rFonts w:hint="eastAsia" w:ascii="Times New Roman" w:hAnsi="Times New Roman" w:eastAsia="仿宋_GB2312"/>
          <w:color w:val="000000"/>
          <w:sz w:val="32"/>
          <w:szCs w:val="32"/>
          <w:lang w:val="en-US" w:eastAsia="zh-CN"/>
        </w:rPr>
        <w:t>3.05</w:t>
      </w:r>
      <w:r>
        <w:rPr>
          <w:rFonts w:hint="eastAsia" w:ascii="Times New Roman" w:hAnsi="Times New Roman" w:eastAsia="仿宋_GB2312"/>
          <w:color w:val="000000"/>
          <w:sz w:val="32"/>
          <w:szCs w:val="32"/>
        </w:rPr>
        <w:t>万元，其他对个人和家庭的补助</w:t>
      </w:r>
      <w:r>
        <w:rPr>
          <w:rFonts w:hint="eastAsia" w:ascii="Times New Roman" w:hAnsi="Times New Roman" w:eastAsia="仿宋_GB2312"/>
          <w:color w:val="000000"/>
          <w:sz w:val="32"/>
          <w:szCs w:val="32"/>
          <w:lang w:val="en-US" w:eastAsia="zh-CN"/>
        </w:rPr>
        <w:t>4.7</w:t>
      </w:r>
      <w:r>
        <w:rPr>
          <w:rFonts w:hint="eastAsia" w:ascii="Times New Roman" w:hAnsi="Times New Roman" w:eastAsia="仿宋_GB2312"/>
          <w:color w:val="000000"/>
          <w:sz w:val="32"/>
          <w:szCs w:val="32"/>
        </w:rPr>
        <w:t>万元；（3）公用经费（商品和服务支出）：</w:t>
      </w:r>
      <w:r>
        <w:rPr>
          <w:rFonts w:hint="eastAsia" w:ascii="Times New Roman" w:hAnsi="Times New Roman" w:eastAsia="仿宋_GB2312"/>
          <w:color w:val="000000"/>
          <w:sz w:val="32"/>
          <w:szCs w:val="32"/>
          <w:lang w:val="en-US" w:eastAsia="zh-CN"/>
        </w:rPr>
        <w:t>36.66</w:t>
      </w:r>
      <w:r>
        <w:rPr>
          <w:rFonts w:hint="eastAsia" w:ascii="Times New Roman" w:hAnsi="Times New Roman" w:eastAsia="仿宋_GB2312"/>
          <w:color w:val="000000"/>
          <w:sz w:val="32"/>
          <w:szCs w:val="32"/>
        </w:rPr>
        <w:t>万元，其中：办公费</w:t>
      </w:r>
      <w:r>
        <w:rPr>
          <w:rFonts w:hint="eastAsia" w:ascii="Times New Roman" w:hAnsi="Times New Roman" w:eastAsia="仿宋_GB2312"/>
          <w:color w:val="000000"/>
          <w:sz w:val="32"/>
          <w:szCs w:val="32"/>
          <w:lang w:val="en-US" w:eastAsia="zh-CN"/>
        </w:rPr>
        <w:t>2.14</w:t>
      </w:r>
      <w:r>
        <w:rPr>
          <w:rFonts w:hint="eastAsia" w:ascii="Times New Roman" w:hAnsi="Times New Roman" w:eastAsia="仿宋_GB2312"/>
          <w:color w:val="000000"/>
          <w:sz w:val="32"/>
          <w:szCs w:val="32"/>
        </w:rPr>
        <w:t>万元，印刷费1万元，邮电费</w:t>
      </w:r>
      <w:r>
        <w:rPr>
          <w:rFonts w:hint="eastAsia" w:ascii="Times New Roman" w:hAnsi="Times New Roman" w:eastAsia="仿宋_GB2312"/>
          <w:color w:val="000000"/>
          <w:sz w:val="32"/>
          <w:szCs w:val="32"/>
          <w:lang w:val="en-US" w:eastAsia="zh-CN"/>
        </w:rPr>
        <w:t>0.9</w:t>
      </w:r>
      <w:r>
        <w:rPr>
          <w:rFonts w:hint="eastAsia" w:ascii="Times New Roman" w:hAnsi="Times New Roman" w:eastAsia="仿宋_GB2312"/>
          <w:color w:val="000000"/>
          <w:sz w:val="32"/>
          <w:szCs w:val="32"/>
        </w:rPr>
        <w:t>万元，差旅费</w:t>
      </w:r>
      <w:r>
        <w:rPr>
          <w:rFonts w:hint="eastAsia" w:ascii="Times New Roman" w:hAnsi="Times New Roman" w:eastAsia="仿宋_GB2312"/>
          <w:color w:val="000000"/>
          <w:sz w:val="32"/>
          <w:szCs w:val="32"/>
          <w:lang w:val="en-US" w:eastAsia="zh-CN"/>
        </w:rPr>
        <w:t>0.87</w:t>
      </w:r>
      <w:r>
        <w:rPr>
          <w:rFonts w:hint="eastAsia" w:ascii="Times New Roman" w:hAnsi="Times New Roman" w:eastAsia="仿宋_GB2312"/>
          <w:color w:val="000000"/>
          <w:sz w:val="32"/>
          <w:szCs w:val="32"/>
        </w:rPr>
        <w:t>万元，维修（护）费1万元，</w:t>
      </w:r>
      <w:r>
        <w:rPr>
          <w:rFonts w:hint="eastAsia" w:ascii="Times New Roman" w:hAnsi="Times New Roman" w:eastAsia="仿宋_GB2312"/>
          <w:color w:val="000000"/>
          <w:sz w:val="32"/>
          <w:szCs w:val="32"/>
          <w:lang w:val="en-US" w:eastAsia="zh-CN"/>
        </w:rPr>
        <w:t>劳务费1.21万元，</w:t>
      </w:r>
      <w:r>
        <w:rPr>
          <w:rFonts w:hint="eastAsia" w:ascii="Times New Roman" w:hAnsi="Times New Roman" w:eastAsia="仿宋_GB2312"/>
          <w:color w:val="000000"/>
          <w:sz w:val="32"/>
          <w:szCs w:val="32"/>
        </w:rPr>
        <w:t>委托业务费</w:t>
      </w:r>
      <w:r>
        <w:rPr>
          <w:rFonts w:hint="eastAsia" w:ascii="Times New Roman" w:hAnsi="Times New Roman" w:eastAsia="仿宋_GB2312"/>
          <w:color w:val="000000"/>
          <w:sz w:val="32"/>
          <w:szCs w:val="32"/>
          <w:lang w:val="en-US" w:eastAsia="zh-CN"/>
        </w:rPr>
        <w:t>0.8</w:t>
      </w:r>
      <w:r>
        <w:rPr>
          <w:rFonts w:hint="eastAsia" w:ascii="Times New Roman" w:hAnsi="Times New Roman" w:eastAsia="仿宋_GB2312"/>
          <w:color w:val="000000"/>
          <w:sz w:val="32"/>
          <w:szCs w:val="32"/>
        </w:rPr>
        <w:t>万元，工会经费</w:t>
      </w:r>
      <w:r>
        <w:rPr>
          <w:rFonts w:hint="eastAsia" w:ascii="Times New Roman" w:hAnsi="Times New Roman" w:eastAsia="仿宋_GB2312"/>
          <w:color w:val="000000"/>
          <w:sz w:val="32"/>
          <w:szCs w:val="32"/>
          <w:lang w:val="en-US" w:eastAsia="zh-CN"/>
        </w:rPr>
        <w:t>14.74</w:t>
      </w:r>
      <w:r>
        <w:rPr>
          <w:rFonts w:hint="eastAsia" w:ascii="Times New Roman" w:hAnsi="Times New Roman" w:eastAsia="仿宋_GB2312"/>
          <w:color w:val="000000"/>
          <w:sz w:val="32"/>
          <w:szCs w:val="32"/>
        </w:rPr>
        <w:t>万元，福利费2.</w:t>
      </w:r>
      <w:r>
        <w:rPr>
          <w:rFonts w:hint="eastAsia" w:ascii="Times New Roman" w:hAnsi="Times New Roman" w:eastAsia="仿宋_GB2312"/>
          <w:color w:val="000000"/>
          <w:sz w:val="32"/>
          <w:szCs w:val="32"/>
          <w:lang w:val="en-US" w:eastAsia="zh-CN"/>
        </w:rPr>
        <w:t>23</w:t>
      </w:r>
      <w:r>
        <w:rPr>
          <w:rFonts w:hint="eastAsia" w:ascii="Times New Roman" w:hAnsi="Times New Roman" w:eastAsia="仿宋_GB2312"/>
          <w:color w:val="000000"/>
          <w:sz w:val="32"/>
          <w:szCs w:val="32"/>
        </w:rPr>
        <w:t>万元，公务用车运维费</w:t>
      </w:r>
      <w:r>
        <w:rPr>
          <w:rFonts w:hint="eastAsia" w:ascii="Times New Roman" w:hAnsi="Times New Roman" w:eastAsia="仿宋_GB2312"/>
          <w:color w:val="000000"/>
          <w:sz w:val="32"/>
          <w:szCs w:val="32"/>
          <w:lang w:val="en-US" w:eastAsia="zh-CN"/>
        </w:rPr>
        <w:t>2.63</w:t>
      </w:r>
      <w:r>
        <w:rPr>
          <w:rFonts w:hint="eastAsia" w:ascii="Times New Roman" w:hAnsi="Times New Roman" w:eastAsia="仿宋_GB2312"/>
          <w:color w:val="000000"/>
          <w:sz w:val="32"/>
          <w:szCs w:val="32"/>
        </w:rPr>
        <w:t>万元，其他交通费5万元，其他商品和服务支出4.</w:t>
      </w:r>
      <w:r>
        <w:rPr>
          <w:rFonts w:hint="eastAsia" w:ascii="Times New Roman" w:hAnsi="Times New Roman" w:eastAsia="仿宋_GB2312"/>
          <w:color w:val="000000"/>
          <w:sz w:val="32"/>
          <w:szCs w:val="32"/>
          <w:lang w:val="en-US" w:eastAsia="zh-CN"/>
        </w:rPr>
        <w:t>14</w:t>
      </w:r>
      <w:r>
        <w:rPr>
          <w:rFonts w:hint="eastAsia"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4</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资本性支出：0.28万元（办公设备购置）。</w:t>
      </w:r>
    </w:p>
    <w:p>
      <w:pPr>
        <w:pStyle w:val="12"/>
        <w:widowControl/>
        <w:spacing w:line="600" w:lineRule="exact"/>
        <w:ind w:left="560" w:leftChars="200" w:firstLine="0" w:firstLineChars="0"/>
        <w:rPr>
          <w:rFonts w:ascii="Times New Roman" w:hAnsi="Times New Roman" w:eastAsia="楷体_GB2312"/>
          <w:bCs/>
          <w:sz w:val="32"/>
          <w:szCs w:val="32"/>
        </w:rPr>
      </w:pPr>
      <w:r>
        <w:rPr>
          <w:rFonts w:hint="eastAsia" w:ascii="Times New Roman" w:hAnsi="Times New Roman" w:eastAsia="楷体_GB2312"/>
          <w:bCs/>
          <w:sz w:val="32"/>
          <w:szCs w:val="32"/>
        </w:rPr>
        <w:t>（二）</w:t>
      </w:r>
      <w:r>
        <w:rPr>
          <w:rFonts w:ascii="Times New Roman" w:hAnsi="Times New Roman" w:eastAsia="楷体_GB2312"/>
          <w:bCs/>
          <w:sz w:val="32"/>
          <w:szCs w:val="32"/>
        </w:rPr>
        <w:t>项目支出情况</w:t>
      </w:r>
    </w:p>
    <w:p>
      <w:pPr>
        <w:pStyle w:val="12"/>
        <w:widowControl/>
        <w:spacing w:line="600" w:lineRule="exact"/>
        <w:ind w:firstLine="0" w:firstLineChars="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 xml:space="preserve">    我中心专项资金为财政代编，202</w:t>
      </w:r>
      <w:r>
        <w:rPr>
          <w:rFonts w:hint="eastAsia" w:ascii="Times New Roman" w:hAnsi="Times New Roman" w:eastAsia="仿宋_GB2312"/>
          <w:color w:val="000000"/>
          <w:sz w:val="32"/>
          <w:szCs w:val="32"/>
          <w:lang w:val="en-US" w:eastAsia="zh-CN"/>
        </w:rPr>
        <w:t>4</w:t>
      </w:r>
      <w:r>
        <w:rPr>
          <w:rFonts w:hint="eastAsia" w:ascii="Times New Roman" w:hAnsi="Times New Roman" w:eastAsia="仿宋_GB2312"/>
          <w:color w:val="000000"/>
          <w:sz w:val="32"/>
          <w:szCs w:val="32"/>
        </w:rPr>
        <w:t>年我中心</w:t>
      </w:r>
      <w:r>
        <w:rPr>
          <w:rFonts w:hint="eastAsia" w:ascii="Times New Roman" w:hAnsi="Times New Roman" w:eastAsia="仿宋_GB2312"/>
          <w:color w:val="000000"/>
          <w:sz w:val="32"/>
          <w:szCs w:val="32"/>
          <w:lang w:val="en-US" w:eastAsia="zh-CN"/>
        </w:rPr>
        <w:t>下达</w:t>
      </w:r>
      <w:r>
        <w:rPr>
          <w:rFonts w:hint="eastAsia" w:ascii="Times New Roman" w:hAnsi="Times New Roman" w:eastAsia="仿宋_GB2312"/>
          <w:color w:val="000000"/>
          <w:sz w:val="32"/>
          <w:szCs w:val="32"/>
        </w:rPr>
        <w:t>项目资金</w:t>
      </w:r>
      <w:r>
        <w:rPr>
          <w:rFonts w:hint="eastAsia" w:ascii="Times New Roman" w:hAnsi="Times New Roman" w:eastAsia="仿宋_GB2312"/>
          <w:color w:val="000000"/>
          <w:sz w:val="32"/>
          <w:szCs w:val="32"/>
          <w:lang w:val="en-US" w:eastAsia="zh-CN"/>
        </w:rPr>
        <w:t>215.99</w:t>
      </w:r>
      <w:r>
        <w:rPr>
          <w:rFonts w:hint="eastAsia"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其中当年预算资金125万元，上年结转结余资金90.99万元</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，实际支出</w:t>
      </w:r>
      <w:r>
        <w:rPr>
          <w:rFonts w:hint="eastAsia" w:ascii="Times New Roman" w:hAnsi="Times New Roman" w:eastAsia="仿宋_GB2312"/>
          <w:color w:val="000000"/>
          <w:sz w:val="32"/>
          <w:szCs w:val="32"/>
          <w:lang w:val="en-US" w:eastAsia="zh-CN"/>
        </w:rPr>
        <w:t>143.76</w:t>
      </w:r>
      <w:r>
        <w:rPr>
          <w:rFonts w:hint="eastAsia" w:ascii="Times New Roman" w:hAnsi="Times New Roman" w:eastAsia="仿宋_GB2312"/>
          <w:color w:val="000000"/>
          <w:sz w:val="32"/>
          <w:szCs w:val="32"/>
        </w:rPr>
        <w:t>万元</w:t>
      </w:r>
      <w:r>
        <w:rPr>
          <w:rFonts w:hint="eastAsia" w:ascii="Times New Roman" w:hAnsi="Times New Roman" w:eastAsia="仿宋_GB2312" w:cs="Times New Roman"/>
          <w:color w:val="000000"/>
          <w:kern w:val="0"/>
          <w:sz w:val="32"/>
          <w:szCs w:val="32"/>
          <w:lang w:val="en-US" w:eastAsia="zh-CN" w:bidi="ar-SA"/>
        </w:rPr>
        <w:t>；另外城市管网及污水处理补助项目经费上年结转结余213.31万元（该经费属于中央转移支付资金，</w:t>
      </w:r>
      <w:r>
        <w:rPr>
          <w:rFonts w:hint="eastAsia" w:ascii="仿宋_GB2312" w:hAnsi="仿宋" w:eastAsia="仿宋_GB2312"/>
          <w:bCs/>
          <w:sz w:val="32"/>
          <w:szCs w:val="32"/>
          <w:lang w:val="en-US" w:eastAsia="zh-CN"/>
        </w:rPr>
        <w:t>为污水处理监督系统平台建设费用</w:t>
      </w:r>
      <w:r>
        <w:rPr>
          <w:rFonts w:hint="eastAsia" w:ascii="Times New Roman" w:hAnsi="Times New Roman" w:eastAsia="仿宋_GB2312" w:cs="Times New Roman"/>
          <w:color w:val="000000"/>
          <w:kern w:val="0"/>
          <w:sz w:val="32"/>
          <w:szCs w:val="32"/>
          <w:lang w:val="en-US" w:eastAsia="zh-CN" w:bidi="ar-SA"/>
        </w:rPr>
        <w:t>），实际支出123.13万元</w:t>
      </w:r>
      <w:r>
        <w:rPr>
          <w:rFonts w:hint="eastAsia" w:ascii="Times New Roman" w:hAnsi="Times New Roman" w:eastAsia="仿宋_GB2312"/>
          <w:color w:val="000000"/>
          <w:sz w:val="32"/>
          <w:szCs w:val="32"/>
        </w:rPr>
        <w:t>。</w:t>
      </w:r>
    </w:p>
    <w:p>
      <w:pPr>
        <w:pStyle w:val="12"/>
        <w:widowControl/>
        <w:spacing w:line="600" w:lineRule="exact"/>
        <w:ind w:firstLine="640"/>
        <w:rPr>
          <w:rFonts w:ascii="Times New Roman" w:hAnsi="Times New Roman" w:eastAsia="黑体"/>
          <w:sz w:val="32"/>
          <w:szCs w:val="32"/>
        </w:rPr>
      </w:pPr>
      <w:r>
        <w:rPr>
          <w:rFonts w:ascii="Times New Roman" w:hAnsi="Times New Roman" w:eastAsia="黑体"/>
          <w:sz w:val="32"/>
          <w:szCs w:val="32"/>
        </w:rPr>
        <w:t>三、政府性基金预算支出情况</w:t>
      </w:r>
    </w:p>
    <w:p>
      <w:pPr>
        <w:pStyle w:val="12"/>
        <w:widowControl/>
        <w:spacing w:line="600" w:lineRule="exact"/>
        <w:ind w:firstLine="560"/>
        <w:rPr>
          <w:rFonts w:ascii="仿宋" w:hAnsi="仿宋" w:eastAsia="仿宋_GB2312"/>
          <w:szCs w:val="28"/>
        </w:rPr>
      </w:pPr>
      <w:r>
        <w:rPr>
          <w:rFonts w:hint="eastAsia" w:ascii="仿宋" w:hAnsi="仿宋" w:eastAsia="仿宋_GB2312"/>
          <w:szCs w:val="28"/>
        </w:rPr>
        <w:t>无</w:t>
      </w:r>
    </w:p>
    <w:p>
      <w:pPr>
        <w:pStyle w:val="12"/>
        <w:widowControl/>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12"/>
        <w:widowControl/>
        <w:spacing w:line="600" w:lineRule="exact"/>
        <w:ind w:firstLine="560"/>
        <w:rPr>
          <w:rFonts w:ascii="仿宋" w:hAnsi="仿宋" w:eastAsia="仿宋_GB2312"/>
          <w:szCs w:val="28"/>
        </w:rPr>
      </w:pPr>
      <w:r>
        <w:rPr>
          <w:rFonts w:hint="eastAsia" w:ascii="仿宋" w:hAnsi="仿宋" w:eastAsia="仿宋_GB2312"/>
          <w:szCs w:val="28"/>
        </w:rPr>
        <w:t>无</w:t>
      </w:r>
    </w:p>
    <w:p>
      <w:pPr>
        <w:pStyle w:val="12"/>
        <w:widowControl/>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社会保险基金预算支出情况</w:t>
      </w:r>
    </w:p>
    <w:p>
      <w:pPr>
        <w:pStyle w:val="12"/>
        <w:widowControl/>
        <w:spacing w:line="600" w:lineRule="exact"/>
        <w:ind w:firstLine="560"/>
        <w:rPr>
          <w:rFonts w:ascii="仿宋" w:hAnsi="仿宋" w:eastAsia="仿宋_GB2312"/>
          <w:szCs w:val="28"/>
        </w:rPr>
      </w:pPr>
      <w:r>
        <w:rPr>
          <w:rFonts w:hint="eastAsia" w:ascii="仿宋" w:hAnsi="仿宋" w:eastAsia="仿宋_GB2312"/>
          <w:szCs w:val="28"/>
        </w:rPr>
        <w:t>无</w:t>
      </w:r>
    </w:p>
    <w:p>
      <w:pPr>
        <w:widowControl/>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六、部门整体支出绩效情况</w:t>
      </w:r>
    </w:p>
    <w:p>
      <w:pPr>
        <w:widowControl/>
        <w:spacing w:line="60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（一）绩效评价实施过程情况</w:t>
      </w:r>
    </w:p>
    <w:p>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我中心领导对预算绩效管理工作十分重视。中心专门成立了绩效评价工作领导小组，建立了绩效跟踪监控制度。中心主任胡斌亲任领导小组组长，支部副书记付宾任副组长，中心支部委员任小组成员，各部门分工明确，相互协调、监督，我们采取调查分析相关文件资料及预决算报表、数据核查、询问查证等形式，对我中心202</w:t>
      </w:r>
      <w:r>
        <w:rPr>
          <w:rFonts w:hint="eastAsia" w:ascii="Times New Roman" w:hAnsi="Times New Roman" w:eastAsia="仿宋_GB2312"/>
          <w:color w:val="000000"/>
          <w:sz w:val="32"/>
          <w:szCs w:val="32"/>
          <w:lang w:val="en-US" w:eastAsia="zh-CN"/>
        </w:rPr>
        <w:t>4</w:t>
      </w:r>
      <w:r>
        <w:rPr>
          <w:rFonts w:hint="eastAsia" w:ascii="Times New Roman" w:hAnsi="Times New Roman" w:eastAsia="仿宋_GB2312"/>
          <w:color w:val="000000"/>
          <w:sz w:val="32"/>
          <w:szCs w:val="32"/>
        </w:rPr>
        <w:t>年度部门整体支出实施了绩效评价。</w:t>
      </w:r>
    </w:p>
    <w:p>
      <w:pPr>
        <w:widowControl/>
        <w:spacing w:line="60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（二）预算资金安排基本原则</w:t>
      </w:r>
    </w:p>
    <w:p>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1、按预算收入确定支出计划。原则上资金性质和用途不变，尽可能保障人员支出，压缩公用支出。我中心基本支出</w:t>
      </w:r>
      <w:r>
        <w:rPr>
          <w:rFonts w:hint="eastAsia" w:ascii="Times New Roman" w:hAnsi="Times New Roman" w:eastAsia="仿宋_GB2312"/>
          <w:color w:val="000000"/>
          <w:sz w:val="32"/>
          <w:szCs w:val="32"/>
          <w:lang w:val="en-US" w:eastAsia="zh-CN"/>
        </w:rPr>
        <w:t>442.6</w:t>
      </w:r>
      <w:r>
        <w:rPr>
          <w:rFonts w:hint="eastAsia" w:ascii="Times New Roman" w:hAnsi="Times New Roman" w:eastAsia="仿宋_GB2312"/>
          <w:color w:val="000000"/>
          <w:sz w:val="32"/>
          <w:szCs w:val="32"/>
        </w:rPr>
        <w:t>万元预算收入全部用于人员经费支出和公用支出，工会经费及离退休人员费用。</w:t>
      </w:r>
    </w:p>
    <w:p>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2、维护预算严肃性。严格按照下达的文件要求执行预算，不得随意变更，因特殊情况却需要变更和调整的，须报中心领导批准后执行。</w:t>
      </w:r>
    </w:p>
    <w:p>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3、坚持厉行节约，勤俭办事原则。严格控制三公经费支出，努力降低行政运行成本。</w:t>
      </w:r>
    </w:p>
    <w:p>
      <w:pPr>
        <w:widowControl/>
        <w:spacing w:line="60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（三）预算资金安排具体办法</w:t>
      </w:r>
    </w:p>
    <w:p>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按照市编制办文件核定的我单位实际在编在岗人数，以人秘科提供的报经市人事局审批后的在职职工基本工资和基础性绩效工资以及离退休职工基本离退休费和离退休补贴标准为依据，核定单位工资总额。</w:t>
      </w:r>
    </w:p>
    <w:p>
      <w:pPr>
        <w:widowControl/>
        <w:spacing w:line="60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（四）绩效评价整体结果概况</w:t>
      </w:r>
    </w:p>
    <w:p>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根据设定的部门整体支出绩效评价指标规定的内容，经评价工作小组综合评价，我中心202</w:t>
      </w:r>
      <w:r>
        <w:rPr>
          <w:rFonts w:hint="eastAsia" w:ascii="Times New Roman" w:hAnsi="Times New Roman" w:eastAsia="仿宋_GB2312"/>
          <w:color w:val="000000"/>
          <w:sz w:val="32"/>
          <w:szCs w:val="32"/>
          <w:lang w:val="en-US" w:eastAsia="zh-CN"/>
        </w:rPr>
        <w:t>4</w:t>
      </w:r>
      <w:r>
        <w:rPr>
          <w:rFonts w:hint="eastAsia" w:ascii="Times New Roman" w:hAnsi="Times New Roman" w:eastAsia="仿宋_GB2312"/>
          <w:color w:val="000000"/>
          <w:sz w:val="32"/>
          <w:szCs w:val="32"/>
        </w:rPr>
        <w:t>年度部门整体支出绩效评价得分</w:t>
      </w:r>
      <w:r>
        <w:rPr>
          <w:rFonts w:hint="eastAsia" w:ascii="Times New Roman" w:hAnsi="Times New Roman" w:eastAsia="仿宋_GB2312"/>
          <w:color w:val="000000"/>
          <w:sz w:val="32"/>
          <w:szCs w:val="32"/>
          <w:lang w:val="en-US" w:eastAsia="zh-CN"/>
        </w:rPr>
        <w:t>95.89</w:t>
      </w:r>
      <w:r>
        <w:rPr>
          <w:rFonts w:hint="eastAsia" w:ascii="Times New Roman" w:hAnsi="Times New Roman" w:eastAsia="仿宋_GB2312"/>
          <w:color w:val="000000"/>
          <w:sz w:val="32"/>
          <w:szCs w:val="32"/>
        </w:rPr>
        <w:t>分。</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1、预算编制和执行情况：2024年我中心全年预算数898.88万元，2024年全年执行数为：709.5万元，预算执行率78.93%，达到目标值的良好水平。</w:t>
      </w:r>
    </w:p>
    <w:p>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2、三公经费控制情况：202</w:t>
      </w:r>
      <w:r>
        <w:rPr>
          <w:rFonts w:hint="eastAsia" w:ascii="Times New Roman" w:hAnsi="Times New Roman" w:eastAsia="仿宋_GB2312"/>
          <w:color w:val="000000"/>
          <w:sz w:val="32"/>
          <w:szCs w:val="32"/>
          <w:lang w:val="en-US" w:eastAsia="zh-CN"/>
        </w:rPr>
        <w:t>4</w:t>
      </w:r>
      <w:r>
        <w:rPr>
          <w:rFonts w:hint="eastAsia" w:ascii="Times New Roman" w:hAnsi="Times New Roman" w:eastAsia="仿宋_GB2312"/>
          <w:color w:val="000000"/>
          <w:sz w:val="32"/>
          <w:szCs w:val="32"/>
        </w:rPr>
        <w:t>年三公经费预算数为6万元，202</w:t>
      </w:r>
      <w:r>
        <w:rPr>
          <w:rFonts w:hint="eastAsia" w:ascii="Times New Roman" w:hAnsi="Times New Roman" w:eastAsia="仿宋_GB2312"/>
          <w:color w:val="000000"/>
          <w:sz w:val="32"/>
          <w:szCs w:val="32"/>
          <w:lang w:val="en-US" w:eastAsia="zh-CN"/>
        </w:rPr>
        <w:t>4</w:t>
      </w:r>
      <w:r>
        <w:rPr>
          <w:rFonts w:hint="eastAsia" w:ascii="Times New Roman" w:hAnsi="Times New Roman" w:eastAsia="仿宋_GB2312"/>
          <w:color w:val="000000"/>
          <w:sz w:val="32"/>
          <w:szCs w:val="32"/>
        </w:rPr>
        <w:t>年实际支付三公经费总额为</w:t>
      </w:r>
      <w:r>
        <w:rPr>
          <w:rFonts w:hint="eastAsia" w:ascii="Times New Roman" w:hAnsi="Times New Roman" w:eastAsia="仿宋_GB2312"/>
          <w:color w:val="000000"/>
          <w:sz w:val="32"/>
          <w:szCs w:val="32"/>
          <w:lang w:val="en-US" w:eastAsia="zh-CN"/>
        </w:rPr>
        <w:t>2.63</w:t>
      </w:r>
      <w:r>
        <w:rPr>
          <w:rFonts w:hint="eastAsia" w:ascii="Times New Roman" w:hAnsi="Times New Roman" w:eastAsia="仿宋_GB2312"/>
          <w:color w:val="000000"/>
          <w:sz w:val="32"/>
          <w:szCs w:val="32"/>
        </w:rPr>
        <w:t>万元，严控单位公务用车运行维护费指标支出，较上年度有</w:t>
      </w:r>
      <w:r>
        <w:rPr>
          <w:rFonts w:hint="eastAsia" w:ascii="Times New Roman" w:hAnsi="Times New Roman" w:eastAsia="仿宋_GB2312"/>
          <w:color w:val="000000"/>
          <w:sz w:val="32"/>
          <w:szCs w:val="32"/>
          <w:lang w:val="en-US" w:eastAsia="zh-CN"/>
        </w:rPr>
        <w:t>小幅度上涨，原因为今年检测检验任务加大，且公用用车购置年限较早，维修保养费用有所增加</w:t>
      </w:r>
      <w:r>
        <w:rPr>
          <w:rFonts w:hint="eastAsia" w:ascii="Times New Roman" w:hAnsi="Times New Roman" w:eastAsia="仿宋_GB2312"/>
          <w:color w:val="000000"/>
          <w:sz w:val="32"/>
          <w:szCs w:val="32"/>
        </w:rPr>
        <w:t>。</w:t>
      </w:r>
    </w:p>
    <w:p>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3、项目支出管理规范和绩效情况：项目支出严格按照预算安排数和项目管理条例执行，绩效评定结果为优。</w:t>
      </w:r>
    </w:p>
    <w:p>
      <w:pPr>
        <w:widowControl/>
        <w:spacing w:line="600" w:lineRule="exact"/>
        <w:ind w:firstLine="643" w:firstLineChars="200"/>
        <w:rPr>
          <w:rFonts w:ascii="Times New Roman" w:hAnsi="Times New Roman" w:eastAsia="仿宋_GB2312"/>
          <w:b/>
          <w:bCs/>
          <w:color w:val="auto"/>
          <w:sz w:val="32"/>
          <w:szCs w:val="32"/>
        </w:rPr>
      </w:pPr>
      <w:r>
        <w:rPr>
          <w:rFonts w:hint="eastAsia" w:ascii="Times New Roman" w:hAnsi="Times New Roman" w:eastAsia="仿宋_GB2312"/>
          <w:b/>
          <w:bCs/>
          <w:color w:val="auto"/>
          <w:sz w:val="32"/>
          <w:szCs w:val="32"/>
        </w:rPr>
        <w:t>项目绩效目标完成情况。</w:t>
      </w:r>
    </w:p>
    <w:p>
      <w:pPr>
        <w:snapToGrid w:val="0"/>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（1） </w:t>
      </w:r>
      <w:r>
        <w:rPr>
          <w:rFonts w:hint="eastAsia" w:ascii="Times New Roman" w:hAnsi="Times New Roman" w:eastAsia="仿宋_GB2312"/>
          <w:sz w:val="32"/>
          <w:szCs w:val="32"/>
        </w:rPr>
        <w:t>2024年市中心城区投入运营的七座污水处理厂累计处理生活污水11781.67万吨(进水)，污水处理厂平均运行负荷达70.75%，累计削减化学需氧量（COD）18470.78吨，生化需氧量（BOD）8339.64吨。</w:t>
      </w:r>
      <w:r>
        <w:rPr>
          <w:rFonts w:ascii="Times New Roman" w:hAnsi="Times New Roman" w:eastAsia="仿宋_GB2312"/>
          <w:sz w:val="32"/>
          <w:szCs w:val="32"/>
        </w:rPr>
        <w:t>确保了污水处理设施的正常运行。对污水处理设施运行和提标改造现场督办共200余次，针对运营所存在问题，共下发整改督办函和警告函</w:t>
      </w:r>
      <w:r>
        <w:rPr>
          <w:rFonts w:hint="eastAsia" w:ascii="Times New Roman" w:hAnsi="Times New Roman" w:eastAsia="仿宋_GB2312"/>
          <w:sz w:val="32"/>
          <w:szCs w:val="32"/>
          <w:lang w:val="en-US" w:eastAsia="zh-CN"/>
        </w:rPr>
        <w:t>20</w:t>
      </w:r>
      <w:r>
        <w:rPr>
          <w:rFonts w:ascii="Times New Roman" w:hAnsi="Times New Roman" w:eastAsia="仿宋_GB2312"/>
          <w:sz w:val="32"/>
          <w:szCs w:val="32"/>
        </w:rPr>
        <w:t>份，召开生产监管工作例会</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次，确保了污水处理设施正常运转和运行效益的发挥。全年</w:t>
      </w:r>
      <w:r>
        <w:rPr>
          <w:rFonts w:ascii="Times New Roman" w:hAnsi="Times New Roman" w:eastAsia="仿宋_GB2312"/>
          <w:color w:val="000000"/>
          <w:sz w:val="32"/>
          <w:szCs w:val="32"/>
        </w:rPr>
        <w:t>严格按照特许经营协议核定各污水运营单位污水处理服务费，合计核定污水处理服务费</w:t>
      </w:r>
      <w:r>
        <w:rPr>
          <w:rFonts w:hint="eastAsia" w:ascii="Times New Roman" w:hAnsi="Times New Roman" w:eastAsia="仿宋_GB2312"/>
          <w:color w:val="000000"/>
          <w:sz w:val="32"/>
          <w:szCs w:val="32"/>
          <w:lang w:val="en-US" w:eastAsia="zh-CN"/>
        </w:rPr>
        <w:t>10378.91</w:t>
      </w:r>
      <w:r>
        <w:rPr>
          <w:rFonts w:ascii="Times New Roman" w:hAnsi="Times New Roman" w:eastAsia="仿宋_GB2312"/>
          <w:color w:val="000000"/>
          <w:sz w:val="32"/>
          <w:szCs w:val="32"/>
        </w:rPr>
        <w:t>万元，累计核减污水处理服务费</w:t>
      </w:r>
      <w:r>
        <w:rPr>
          <w:rFonts w:hint="eastAsia" w:ascii="Times New Roman" w:hAnsi="Times New Roman" w:eastAsia="仿宋_GB2312"/>
          <w:color w:val="000000"/>
          <w:sz w:val="32"/>
          <w:szCs w:val="32"/>
          <w:lang w:val="en-US" w:eastAsia="zh-CN"/>
        </w:rPr>
        <w:t>20.54</w:t>
      </w:r>
      <w:r>
        <w:rPr>
          <w:rFonts w:ascii="Times New Roman" w:hAnsi="Times New Roman" w:eastAsia="仿宋_GB2312"/>
          <w:color w:val="000000"/>
          <w:sz w:val="32"/>
          <w:szCs w:val="32"/>
        </w:rPr>
        <w:t>万元。</w:t>
      </w:r>
    </w:p>
    <w:p>
      <w:pPr>
        <w:widowControl/>
        <w:spacing w:line="600" w:lineRule="exact"/>
        <w:ind w:firstLine="640" w:firstLineChars="200"/>
        <w:rPr>
          <w:rFonts w:hint="eastAsia" w:ascii="Times New Roman" w:hAnsi="Times New Roman" w:eastAsia="仿宋_GB2312"/>
          <w:color w:val="000000"/>
          <w:sz w:val="32"/>
          <w:szCs w:val="32"/>
        </w:rPr>
      </w:pPr>
      <w:r>
        <w:rPr>
          <w:rFonts w:ascii="Times New Roman" w:hAnsi="Times New Roman" w:eastAsia="仿宋_GB2312"/>
          <w:color w:val="000000"/>
          <w:sz w:val="32"/>
          <w:szCs w:val="32"/>
        </w:rPr>
        <w:t>（2）</w:t>
      </w:r>
      <w:r>
        <w:rPr>
          <w:rFonts w:hint="eastAsia" w:ascii="Times New Roman" w:hAnsi="Times New Roman" w:eastAsia="仿宋_GB2312"/>
          <w:color w:val="000000"/>
          <w:sz w:val="32"/>
          <w:szCs w:val="32"/>
        </w:rPr>
        <w:t>中心水质监测监督管理科每月不定期对中心城区投入运行的7家污水处理厂进水、出水及污泥进行抽样监测，202</w:t>
      </w:r>
      <w:r>
        <w:rPr>
          <w:rFonts w:hint="eastAsia" w:ascii="Times New Roman" w:hAnsi="Times New Roman" w:eastAsia="仿宋_GB2312"/>
          <w:color w:val="000000"/>
          <w:sz w:val="32"/>
          <w:szCs w:val="32"/>
          <w:lang w:val="en-US" w:eastAsia="zh-CN"/>
        </w:rPr>
        <w:t>4</w:t>
      </w:r>
      <w:r>
        <w:rPr>
          <w:rFonts w:hint="eastAsia" w:ascii="Times New Roman" w:hAnsi="Times New Roman" w:eastAsia="仿宋_GB2312"/>
          <w:color w:val="000000"/>
          <w:sz w:val="32"/>
          <w:szCs w:val="32"/>
        </w:rPr>
        <w:t>年共计抽样监测6</w:t>
      </w:r>
      <w:r>
        <w:rPr>
          <w:rFonts w:hint="eastAsia" w:ascii="Times New Roman" w:hAnsi="Times New Roman" w:eastAsia="仿宋_GB2312"/>
          <w:color w:val="000000"/>
          <w:sz w:val="32"/>
          <w:szCs w:val="32"/>
          <w:lang w:val="en-US" w:eastAsia="zh-CN"/>
        </w:rPr>
        <w:t>5</w:t>
      </w:r>
      <w:r>
        <w:rPr>
          <w:rFonts w:hint="eastAsia" w:ascii="Times New Roman" w:hAnsi="Times New Roman" w:eastAsia="仿宋_GB2312"/>
          <w:color w:val="000000"/>
          <w:sz w:val="32"/>
          <w:szCs w:val="32"/>
        </w:rPr>
        <w:t>个批次，累计出具检测报告</w:t>
      </w:r>
      <w:r>
        <w:rPr>
          <w:rFonts w:hint="eastAsia" w:ascii="Times New Roman" w:hAnsi="Times New Roman" w:eastAsia="仿宋_GB2312"/>
          <w:color w:val="000000"/>
          <w:sz w:val="32"/>
          <w:szCs w:val="32"/>
          <w:lang w:val="en-US" w:eastAsia="zh-CN"/>
        </w:rPr>
        <w:t>316</w:t>
      </w:r>
      <w:r>
        <w:rPr>
          <w:rFonts w:hint="eastAsia" w:ascii="Times New Roman" w:hAnsi="Times New Roman" w:eastAsia="仿宋_GB2312"/>
          <w:color w:val="000000"/>
          <w:sz w:val="32"/>
          <w:szCs w:val="32"/>
        </w:rPr>
        <w:t>份</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共计检出4次出水超标、1次污泥超标情况，涉及四个污水处理厂；每季度对各污水厂化验室的自行监测进行一次现场检查。对检测出的污水处理厂出水超标问题和现场检查中发现的问题都进行了督办、通报或通知，累计下发督办函5份、出具通知通报3份，预警函6份。定期召开内部业务学习，组织化验员系统学习水质化验方法、行业技术规范等专业知识，不断完善水质检测中心的质量管理体系，提高中心化验员的业务水平；安排化验员参加新修订的行业标准的培训、参加检验检测机构内审员的学习与考核，并取得相应的资格证书。按照城镇污水处理厂化验室运行技术规范与要求，严格督促各污水厂做好化验室的人员管理、设备管理、日常检测、数据统计与上报等工作，正确指导污水处理厂的生产运行。同时，为提升污水厂的化验检测能力建设，两次组织污水厂的化验员参加专题集中培训学习；还对中心城区污水处理厂化验室开展了氨氮和总氮两个项目检测能力的监督考核。</w:t>
      </w:r>
    </w:p>
    <w:p>
      <w:pPr>
        <w:widowControl/>
        <w:spacing w:line="600" w:lineRule="exact"/>
        <w:ind w:firstLine="640" w:firstLineChars="200"/>
        <w:rPr>
          <w:rFonts w:hint="eastAsia" w:ascii="Times New Roman" w:hAnsi="Times New Roman" w:eastAsia="仿宋_GB2312"/>
          <w:color w:val="000000"/>
          <w:sz w:val="32"/>
          <w:szCs w:val="32"/>
        </w:rPr>
      </w:pPr>
      <w:r>
        <w:rPr>
          <w:rFonts w:ascii="Times New Roman" w:hAnsi="Times New Roman" w:eastAsia="仿宋_GB2312"/>
          <w:color w:val="000000"/>
          <w:sz w:val="32"/>
          <w:szCs w:val="32"/>
        </w:rPr>
        <w:t>（3）</w:t>
      </w:r>
      <w:r>
        <w:rPr>
          <w:rFonts w:hint="eastAsia" w:ascii="Times New Roman" w:hAnsi="Times New Roman" w:eastAsia="仿宋_GB2312"/>
          <w:color w:val="000000"/>
          <w:sz w:val="32"/>
          <w:szCs w:val="32"/>
        </w:rPr>
        <w:t>在污泥处理处置监管方面</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rPr>
        <w:t>在污泥处理处置监管方面，先后就污泥转移联单制度、污泥处置应急预案、处置数量核实和污泥处置费审核拨付召开污泥处理处置专题会议，建立报表、台账制度，实行每周至少一次对地磅计量进行跟踪督查，核准污泥处置量，严把污泥处置服务费审核关，及时纠正污泥处置过程中存在的问题。2024 年全年共处置污泥 48163.83 吨，污泥无害化处置率达 100%。核定污泥处置费用1054.8万元，有效保障了污泥处理环节的规范运作。</w:t>
      </w:r>
    </w:p>
    <w:p>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w:t>
      </w:r>
      <w:r>
        <w:rPr>
          <w:rFonts w:hint="eastAsia" w:ascii="Times New Roman" w:hAnsi="Times New Roman" w:eastAsia="仿宋_GB2312"/>
          <w:color w:val="000000"/>
          <w:sz w:val="32"/>
          <w:szCs w:val="32"/>
        </w:rPr>
        <w:t>202</w:t>
      </w:r>
      <w:r>
        <w:rPr>
          <w:rFonts w:hint="eastAsia" w:ascii="Times New Roman" w:hAnsi="Times New Roman" w:eastAsia="仿宋_GB2312"/>
          <w:color w:val="000000"/>
          <w:sz w:val="32"/>
          <w:szCs w:val="32"/>
          <w:lang w:val="en-US" w:eastAsia="zh-CN"/>
        </w:rPr>
        <w:t>4</w:t>
      </w:r>
      <w:r>
        <w:rPr>
          <w:rFonts w:hint="eastAsia" w:ascii="Times New Roman" w:hAnsi="Times New Roman" w:eastAsia="仿宋_GB2312"/>
          <w:color w:val="000000"/>
          <w:sz w:val="32"/>
          <w:szCs w:val="32"/>
        </w:rPr>
        <w:t>年度，我中心对羊角山垃圾渗滤液处置现场地表植被进行了两次修剪和清理，改善了掩埋场的生态环境，降低了异味与扬尘污染及火灾隐患，提升了周边区域的整体环境质量；并委托第三方检测机构每季度对水质进行采样检测，监测渗滤液水质变化情况。全年365天安排专人值班，保证调节池液位降低到有效液位，防止渗滤液从调节池溢出，有效地杜绝对北港河的污染。。</w:t>
      </w:r>
    </w:p>
    <w:p>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5</w:t>
      </w:r>
      <w:r>
        <w:rPr>
          <w:rFonts w:ascii="Times New Roman" w:hAnsi="Times New Roman" w:eastAsia="仿宋_GB2312"/>
          <w:color w:val="000000"/>
          <w:sz w:val="32"/>
          <w:szCs w:val="32"/>
        </w:rPr>
        <w:t>）积极推进污水处理监督系统项目建设工作。</w:t>
      </w:r>
      <w:r>
        <w:rPr>
          <w:rFonts w:hint="eastAsia" w:ascii="Times New Roman" w:hAnsi="Times New Roman" w:eastAsia="仿宋_GB2312"/>
          <w:color w:val="000000"/>
          <w:sz w:val="32"/>
          <w:szCs w:val="32"/>
        </w:rPr>
        <w:t>根据《岳阳市智慧城市整体特许经营项目政府采购合同》和《关于对岳阳市污水处理监督系统项目建设方案的审核意见》，“岳阳市污水处理监督系统项目”由岳阳市交投智慧城市开发有限公司实施建设。于2023年7月10日开工建设，11月20日通过初步验收进入试运行阶段，2024年5月24日完成竣工验收，全市（县、区）18家污水处理厂已全部纳入平台监管，目前监控平台系统在全市污水处理行业监管工作中正发挥着重要作用。</w:t>
      </w:r>
    </w:p>
    <w:p>
      <w:pPr>
        <w:pStyle w:val="8"/>
        <w:spacing w:after="0" w:line="600" w:lineRule="exact"/>
        <w:ind w:firstLine="0" w:firstLineChars="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6</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202</w:t>
      </w:r>
      <w:r>
        <w:rPr>
          <w:rFonts w:hint="eastAsia" w:ascii="Times New Roman" w:hAnsi="Times New Roman" w:eastAsia="仿宋_GB2312"/>
          <w:color w:val="000000"/>
          <w:sz w:val="32"/>
          <w:szCs w:val="32"/>
          <w:lang w:val="en-US" w:eastAsia="zh-CN"/>
        </w:rPr>
        <w:t>4</w:t>
      </w:r>
      <w:r>
        <w:rPr>
          <w:rFonts w:hint="eastAsia" w:ascii="Times New Roman" w:hAnsi="Times New Roman" w:eastAsia="仿宋_GB2312"/>
          <w:color w:val="000000"/>
          <w:sz w:val="32"/>
          <w:szCs w:val="32"/>
        </w:rPr>
        <w:t>年度污水处理费收费工作完成征缴财政9</w:t>
      </w:r>
      <w:r>
        <w:rPr>
          <w:rFonts w:hint="eastAsia" w:ascii="Times New Roman" w:hAnsi="Times New Roman" w:eastAsia="仿宋_GB2312"/>
          <w:color w:val="000000"/>
          <w:sz w:val="32"/>
          <w:szCs w:val="32"/>
          <w:lang w:val="en-US" w:eastAsia="zh-CN"/>
        </w:rPr>
        <w:t>8</w:t>
      </w:r>
      <w:r>
        <w:rPr>
          <w:rFonts w:hint="eastAsia" w:ascii="Times New Roman" w:hAnsi="Times New Roman" w:eastAsia="仿宋_GB2312"/>
          <w:color w:val="000000"/>
          <w:sz w:val="32"/>
          <w:szCs w:val="32"/>
        </w:rPr>
        <w:t>00万，超额完成征缴任务。</w:t>
      </w:r>
    </w:p>
    <w:p>
      <w:pPr>
        <w:pStyle w:val="12"/>
        <w:widowControl/>
        <w:spacing w:line="600" w:lineRule="exact"/>
        <w:ind w:firstLine="640"/>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（一）预算编制和执行缺乏准确性。由于项目执行中不确定因素较多，因而造成预算编制数和实际发生数存在差异，影响了预算收支的准确性。</w:t>
      </w:r>
    </w:p>
    <w:p>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（二）足额安排公用支出</w:t>
      </w:r>
    </w:p>
    <w:p>
      <w:pPr>
        <w:widowControl/>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近年来单位具体职能工作有所增加，上级部门交办的临时性任务繁杂，但预算中未有相关经费安排，建议能提高公用支出预算比例，保障我中心相关工作的有效开展。</w:t>
      </w:r>
    </w:p>
    <w:p>
      <w:pPr>
        <w:widowControl/>
        <w:numPr>
          <w:ilvl w:val="0"/>
          <w:numId w:val="3"/>
        </w:num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下一步改进措施</w:t>
      </w:r>
    </w:p>
    <w:p>
      <w:pPr>
        <w:pStyle w:val="8"/>
        <w:spacing w:after="0"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（一）提高思想认识。</w:t>
      </w:r>
      <w:r>
        <w:rPr>
          <w:rFonts w:hint="eastAsia" w:ascii="Times New Roman" w:hAnsi="Times New Roman" w:eastAsia="仿宋_GB2312"/>
          <w:color w:val="000000"/>
          <w:sz w:val="32"/>
          <w:szCs w:val="32"/>
          <w:lang w:val="en-US" w:eastAsia="zh-CN"/>
        </w:rPr>
        <w:t>进一步深化“零基预算”政策精神，</w:t>
      </w:r>
      <w:r>
        <w:rPr>
          <w:rFonts w:hint="eastAsia" w:ascii="Times New Roman" w:hAnsi="Times New Roman" w:eastAsia="仿宋_GB2312"/>
          <w:color w:val="000000"/>
          <w:sz w:val="32"/>
          <w:szCs w:val="32"/>
        </w:rPr>
        <w:t>增强各科室人员对绩效考核的重视度。</w:t>
      </w:r>
    </w:p>
    <w:p>
      <w:pPr>
        <w:pStyle w:val="8"/>
        <w:spacing w:after="0"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rPr>
        <w:t>（二）建立良好的沟通和反馈机制。建立健全规范的制度保障系统，可以使各类信息能上传下达，相互协调，提高工作效率和效能，增强各科室之间的沟通，了解各科室的基本情况与其相关需求。</w:t>
      </w:r>
    </w:p>
    <w:p>
      <w:pPr>
        <w:pStyle w:val="8"/>
        <w:spacing w:after="0" w:line="600" w:lineRule="exact"/>
        <w:ind w:firstLine="640" w:firstLineChars="200"/>
      </w:pPr>
      <w:r>
        <w:rPr>
          <w:rFonts w:hint="eastAsia" w:ascii="Times New Roman" w:hAnsi="Times New Roman" w:eastAsia="仿宋_GB2312"/>
          <w:color w:val="000000"/>
          <w:sz w:val="32"/>
          <w:szCs w:val="32"/>
        </w:rPr>
        <w:t>（三）加强单位预算的绩效评价。建立财政支出预算绩效考评制度是加强预算管理、提高财政资金使用效益的重要制度保障，结合本单位的实际将绩效考评结果作为预算安排的依据，要不断完善绩效考评办法，提高财政资金使用的规范性、安全性和有效性。</w:t>
      </w:r>
    </w:p>
    <w:p>
      <w:pPr>
        <w:widowControl/>
        <w:numPr>
          <w:ilvl w:val="0"/>
          <w:numId w:val="3"/>
        </w:num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部门整体支出绩效自评结果拟应用和公开情况</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（一）我中心根据整体支出绩效评定指标对各绩效指标量化评价，自评指标得分95.89分。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Times New Roman" w:hAnsi="Times New Roman" w:eastAsia="仿宋_GB2312" w:cs="Times New Roman"/>
          <w:color w:val="000000"/>
          <w:kern w:val="0"/>
          <w:sz w:val="32"/>
          <w:szCs w:val="32"/>
          <w:lang w:val="en-US" w:eastAsia="zh-CN" w:bidi="ar-SA"/>
        </w:rPr>
      </w:pPr>
      <w:r>
        <w:rPr>
          <w:rFonts w:hint="eastAsia" w:ascii="Times New Roman" w:hAnsi="Times New Roman" w:eastAsia="仿宋_GB2312" w:cs="Times New Roman"/>
          <w:color w:val="000000"/>
          <w:kern w:val="0"/>
          <w:sz w:val="32"/>
          <w:szCs w:val="32"/>
          <w:lang w:val="en-US" w:eastAsia="zh-CN" w:bidi="ar-SA"/>
        </w:rPr>
        <w:t>（二）我中心将项目支出后的实际状况与项目申报的绩效目标进行对比分析。按项目实际支出和项目申报绩效目标进行对比分析自评：市污水处理监督中心运行经费项目得分93.66分，城市管网及污水处理补助项目得分92.77分。</w:t>
      </w:r>
    </w:p>
    <w:p>
      <w:pPr>
        <w:pStyle w:val="7"/>
        <w:widowControl/>
        <w:spacing w:line="600" w:lineRule="exact"/>
        <w:ind w:firstLine="420"/>
        <w:jc w:val="both"/>
      </w:pPr>
      <w:r>
        <w:rPr>
          <w:rFonts w:hint="eastAsia" w:ascii="Times New Roman" w:hAnsi="Times New Roman" w:eastAsia="仿宋_GB2312"/>
          <w:color w:val="000000"/>
          <w:sz w:val="32"/>
          <w:szCs w:val="32"/>
        </w:rPr>
        <w:t>（三）我中心将在按时将202</w:t>
      </w:r>
      <w:r>
        <w:rPr>
          <w:rFonts w:hint="eastAsia" w:ascii="Times New Roman" w:hAnsi="Times New Roman" w:eastAsia="仿宋_GB2312"/>
          <w:color w:val="000000"/>
          <w:sz w:val="32"/>
          <w:szCs w:val="32"/>
          <w:lang w:val="en-US" w:eastAsia="zh-CN"/>
        </w:rPr>
        <w:t>4</w:t>
      </w:r>
      <w:r>
        <w:rPr>
          <w:rFonts w:hint="eastAsia" w:ascii="Times New Roman" w:hAnsi="Times New Roman" w:eastAsia="仿宋_GB2312"/>
          <w:color w:val="000000"/>
          <w:sz w:val="32"/>
          <w:szCs w:val="32"/>
        </w:rPr>
        <w:t>年度部门整体支出绩效自评交上级主管部门挂网公示。</w:t>
      </w:r>
    </w:p>
    <w:p>
      <w:pPr>
        <w:widowControl/>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其他需要说明的情况</w:t>
      </w:r>
    </w:p>
    <w:p>
      <w:pPr>
        <w:widowControl/>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无</w:t>
      </w:r>
    </w:p>
    <w:p>
      <w:pPr>
        <w:spacing w:line="600" w:lineRule="exact"/>
      </w:pPr>
    </w:p>
    <w:sectPr>
      <w:pgSz w:w="11906" w:h="16838"/>
      <w:pgMar w:top="1587" w:right="1587" w:bottom="1134" w:left="1587" w:header="851" w:footer="992" w:gutter="0"/>
      <w:cols w:space="720" w:num="1"/>
      <w:docGrid w:type="lines" w:linePitch="3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6E7E51"/>
    <w:multiLevelType w:val="singleLevel"/>
    <w:tmpl w:val="ED6E7E51"/>
    <w:lvl w:ilvl="0" w:tentative="0">
      <w:start w:val="4"/>
      <w:numFmt w:val="chineseCounting"/>
      <w:suff w:val="nothing"/>
      <w:lvlText w:val="%1、"/>
      <w:lvlJc w:val="left"/>
      <w:rPr>
        <w:rFonts w:hint="eastAsia"/>
      </w:rPr>
    </w:lvl>
  </w:abstractNum>
  <w:abstractNum w:abstractNumId="1">
    <w:nsid w:val="F6969868"/>
    <w:multiLevelType w:val="singleLevel"/>
    <w:tmpl w:val="F6969868"/>
    <w:lvl w:ilvl="0" w:tentative="0">
      <w:start w:val="1"/>
      <w:numFmt w:val="chineseCounting"/>
      <w:suff w:val="nothing"/>
      <w:lvlText w:val="%1、"/>
      <w:lvlJc w:val="left"/>
      <w:rPr>
        <w:rFonts w:hint="eastAsia"/>
      </w:rPr>
    </w:lvl>
  </w:abstractNum>
  <w:abstractNum w:abstractNumId="2">
    <w:nsid w:val="4A4EE1AA"/>
    <w:multiLevelType w:val="singleLevel"/>
    <w:tmpl w:val="4A4EE1AA"/>
    <w:lvl w:ilvl="0" w:tentative="0">
      <w:start w:val="8"/>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95"/>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CCFF8E41"/>
    <w:rsid w:val="00253434"/>
    <w:rsid w:val="009C145E"/>
    <w:rsid w:val="00D37ED2"/>
    <w:rsid w:val="00D90DF0"/>
    <w:rsid w:val="00DB0AC7"/>
    <w:rsid w:val="01443A1B"/>
    <w:rsid w:val="015F254D"/>
    <w:rsid w:val="02007E3E"/>
    <w:rsid w:val="02D13AA8"/>
    <w:rsid w:val="03062FFD"/>
    <w:rsid w:val="055F39A2"/>
    <w:rsid w:val="06494230"/>
    <w:rsid w:val="08345652"/>
    <w:rsid w:val="09485EFB"/>
    <w:rsid w:val="0A433449"/>
    <w:rsid w:val="0B8C389F"/>
    <w:rsid w:val="0C0F0642"/>
    <w:rsid w:val="0C233266"/>
    <w:rsid w:val="115F78BB"/>
    <w:rsid w:val="142706FA"/>
    <w:rsid w:val="15642AEF"/>
    <w:rsid w:val="15732C83"/>
    <w:rsid w:val="179D474C"/>
    <w:rsid w:val="17F7788B"/>
    <w:rsid w:val="1A892B95"/>
    <w:rsid w:val="1A893CD4"/>
    <w:rsid w:val="1AAB183B"/>
    <w:rsid w:val="207B74C4"/>
    <w:rsid w:val="21316710"/>
    <w:rsid w:val="21482B1C"/>
    <w:rsid w:val="21EB477C"/>
    <w:rsid w:val="2671171F"/>
    <w:rsid w:val="26945CDC"/>
    <w:rsid w:val="27744E56"/>
    <w:rsid w:val="2A6227AB"/>
    <w:rsid w:val="2B1144D8"/>
    <w:rsid w:val="2C4B14B4"/>
    <w:rsid w:val="2D46629B"/>
    <w:rsid w:val="2EB80FBF"/>
    <w:rsid w:val="30BD15B4"/>
    <w:rsid w:val="31A573DC"/>
    <w:rsid w:val="32A46EDD"/>
    <w:rsid w:val="33AD0A7E"/>
    <w:rsid w:val="34AB307B"/>
    <w:rsid w:val="36502E7E"/>
    <w:rsid w:val="37B327C8"/>
    <w:rsid w:val="37FC7C58"/>
    <w:rsid w:val="3ABF0799"/>
    <w:rsid w:val="3B807F2C"/>
    <w:rsid w:val="3CAF2100"/>
    <w:rsid w:val="3DC962FC"/>
    <w:rsid w:val="3E38680E"/>
    <w:rsid w:val="3E69364E"/>
    <w:rsid w:val="3E853CDE"/>
    <w:rsid w:val="3F5F4FF7"/>
    <w:rsid w:val="47C45597"/>
    <w:rsid w:val="4B1936C2"/>
    <w:rsid w:val="4C455922"/>
    <w:rsid w:val="4E7850CA"/>
    <w:rsid w:val="4F7433EE"/>
    <w:rsid w:val="4F916E36"/>
    <w:rsid w:val="52E04F16"/>
    <w:rsid w:val="555A5BD5"/>
    <w:rsid w:val="576E26F4"/>
    <w:rsid w:val="57963E8B"/>
    <w:rsid w:val="59590A7F"/>
    <w:rsid w:val="5AF0176D"/>
    <w:rsid w:val="5B594951"/>
    <w:rsid w:val="5C8915E0"/>
    <w:rsid w:val="5D684D6A"/>
    <w:rsid w:val="5FDF9D25"/>
    <w:rsid w:val="65061835"/>
    <w:rsid w:val="65631114"/>
    <w:rsid w:val="659D2AED"/>
    <w:rsid w:val="6AF827CC"/>
    <w:rsid w:val="6BDE0866"/>
    <w:rsid w:val="6BED3FC5"/>
    <w:rsid w:val="6C5C7AA7"/>
    <w:rsid w:val="6DD736B3"/>
    <w:rsid w:val="6F7540DD"/>
    <w:rsid w:val="704E469D"/>
    <w:rsid w:val="70946D02"/>
    <w:rsid w:val="715136ED"/>
    <w:rsid w:val="72134C01"/>
    <w:rsid w:val="725F3101"/>
    <w:rsid w:val="72AC19B9"/>
    <w:rsid w:val="751E3683"/>
    <w:rsid w:val="78AE7934"/>
    <w:rsid w:val="7A984115"/>
    <w:rsid w:val="7B7934A2"/>
    <w:rsid w:val="7DDF84BA"/>
    <w:rsid w:val="7EA429DF"/>
    <w:rsid w:val="7F1C21E8"/>
    <w:rsid w:val="7F726DF2"/>
    <w:rsid w:val="7F9B7D6E"/>
    <w:rsid w:val="7FF65C39"/>
    <w:rsid w:val="B57639E9"/>
    <w:rsid w:val="B7DFD28A"/>
    <w:rsid w:val="CCFF8E41"/>
    <w:rsid w:val="F7FB0F6A"/>
    <w:rsid w:val="FB0FB09A"/>
    <w:rsid w:val="FB7F7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sz w:val="28"/>
      <w:szCs w:val="24"/>
      <w:lang w:val="en-US" w:eastAsia="zh-CN" w:bidi="ar-SA"/>
    </w:rPr>
  </w:style>
  <w:style w:type="paragraph" w:styleId="2">
    <w:name w:val="heading 4"/>
    <w:basedOn w:val="1"/>
    <w:next w:val="1"/>
    <w:qFormat/>
    <w:uiPriority w:val="0"/>
    <w:pPr>
      <w:keepLines/>
      <w:spacing w:beforeLines="50" w:line="500" w:lineRule="atLeast"/>
      <w:outlineLvl w:val="3"/>
    </w:pPr>
    <w:rPr>
      <w:rFonts w:ascii="微软雅黑" w:hAnsi="微软雅黑" w:eastAsia="微软雅黑"/>
      <w:bCs/>
      <w:sz w:val="24"/>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unhideWhenUsed/>
    <w:qFormat/>
    <w:uiPriority w:val="99"/>
    <w:pPr>
      <w:spacing w:after="120"/>
    </w:pPr>
  </w:style>
  <w:style w:type="paragraph" w:customStyle="1" w:styleId="4">
    <w:name w:val="正文首行缩进1"/>
    <w:basedOn w:val="1"/>
    <w:qFormat/>
    <w:uiPriority w:val="0"/>
    <w:pPr>
      <w:spacing w:after="120"/>
      <w:ind w:firstLine="420" w:firstLineChars="100"/>
    </w:pPr>
    <w:rPr>
      <w:rFonts w:ascii="Times New Roman" w:hAnsi="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pPr>
      <w:jc w:val="left"/>
    </w:pPr>
    <w:rPr>
      <w:sz w:val="24"/>
    </w:rPr>
  </w:style>
  <w:style w:type="paragraph" w:styleId="8">
    <w:name w:val="Body Text First Indent"/>
    <w:basedOn w:val="3"/>
    <w:qFormat/>
    <w:uiPriority w:val="0"/>
    <w:pPr>
      <w:ind w:firstLine="420" w:firstLineChars="100"/>
    </w:pPr>
  </w:style>
  <w:style w:type="paragraph" w:customStyle="1" w:styleId="11">
    <w:name w:val="列出段落1"/>
    <w:basedOn w:val="1"/>
    <w:qFormat/>
    <w:uiPriority w:val="34"/>
    <w:pPr>
      <w:ind w:firstLine="420" w:firstLineChars="200"/>
    </w:pPr>
  </w:style>
  <w:style w:type="paragraph" w:styleId="12">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536</Words>
  <Characters>3060</Characters>
  <Lines>25</Lines>
  <Paragraphs>7</Paragraphs>
  <TotalTime>38</TotalTime>
  <ScaleCrop>false</ScaleCrop>
  <LinksUpToDate>false</LinksUpToDate>
  <CharactersWithSpaces>3589</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2024-06-13T08:03:00Z</dcterms:created>
  <dc:creator>yyadmin</dc:creator>
  <cp:lastModifiedBy>李枚</cp:lastModifiedBy>
  <cp:lastPrinted>2023-07-18T09:24:00Z</cp:lastPrinted>
  <dcterms:modified xsi:type="dcterms:W3CDTF">2025-04-23T02:09:49Z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F7CACDCD52B84C3D9D0CDBEFBEB3B3AA</vt:lpwstr>
  </property>
</Properties>
</file>