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ascii="Times New Roman" w:hAnsi="Times New Roman" w:eastAsia="黑体"/>
          <w:sz w:val="32"/>
          <w:szCs w:val="32"/>
        </w:rPr>
      </w:pPr>
      <w:r>
        <w:rPr>
          <w:rFonts w:hint="eastAsia" w:ascii="黑体" w:hAnsi="黑体" w:eastAsia="黑体" w:cs="黑体"/>
          <w:sz w:val="32"/>
          <w:szCs w:val="32"/>
        </w:rPr>
        <w:t>附件3</w:t>
      </w:r>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4</w:t>
      </w:r>
      <w:r>
        <w:rPr>
          <w:rFonts w:hint="eastAsia" w:ascii="方正小标宋简体" w:hAnsi="方正小标宋简体" w:eastAsia="方正小标宋简体" w:cs="方正小标宋简体"/>
          <w:color w:val="000000"/>
          <w:sz w:val="36"/>
          <w:szCs w:val="36"/>
        </w:rPr>
        <w:t>年度项</w:t>
      </w:r>
      <w:bookmarkStart w:id="0" w:name="_GoBack"/>
      <w:bookmarkEnd w:id="0"/>
      <w:r>
        <w:rPr>
          <w:rFonts w:hint="eastAsia" w:ascii="方正小标宋简体" w:hAnsi="方正小标宋简体" w:eastAsia="方正小标宋简体" w:cs="方正小标宋简体"/>
          <w:color w:val="000000"/>
          <w:sz w:val="36"/>
          <w:szCs w:val="36"/>
        </w:rPr>
        <w:t>目支出绩效自评表</w:t>
      </w:r>
    </w:p>
    <w:tbl>
      <w:tblPr>
        <w:tblStyle w:val="9"/>
        <w:tblW w:w="10127" w:type="dxa"/>
        <w:jc w:val="center"/>
        <w:tblLayout w:type="fixed"/>
        <w:tblCellMar>
          <w:top w:w="0" w:type="dxa"/>
          <w:left w:w="108" w:type="dxa"/>
          <w:bottom w:w="0" w:type="dxa"/>
          <w:right w:w="108" w:type="dxa"/>
        </w:tblCellMar>
      </w:tblPr>
      <w:tblGrid>
        <w:gridCol w:w="1046"/>
        <w:gridCol w:w="1056"/>
        <w:gridCol w:w="1037"/>
        <w:gridCol w:w="1179"/>
        <w:gridCol w:w="520"/>
        <w:gridCol w:w="896"/>
        <w:gridCol w:w="235"/>
        <w:gridCol w:w="1125"/>
        <w:gridCol w:w="705"/>
        <w:gridCol w:w="1052"/>
        <w:gridCol w:w="1276"/>
      </w:tblGrid>
      <w:tr>
        <w:tblPrEx>
          <w:tblCellMar>
            <w:top w:w="0" w:type="dxa"/>
            <w:left w:w="108" w:type="dxa"/>
            <w:bottom w:w="0" w:type="dxa"/>
            <w:right w:w="108" w:type="dxa"/>
          </w:tblCellMar>
        </w:tblPrEx>
        <w:trPr>
          <w:trHeight w:val="405" w:hRule="atLeast"/>
          <w:jc w:val="center"/>
        </w:trPr>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9081" w:type="dxa"/>
            <w:gridSpan w:val="10"/>
            <w:tcBorders>
              <w:top w:val="single" w:color="auto" w:sz="4" w:space="0"/>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市污水处理监督中心运行经费</w:t>
            </w:r>
          </w:p>
        </w:tc>
      </w:tr>
      <w:tr>
        <w:tblPrEx>
          <w:tblCellMar>
            <w:top w:w="0" w:type="dxa"/>
            <w:left w:w="108" w:type="dxa"/>
            <w:bottom w:w="0" w:type="dxa"/>
            <w:right w:w="108" w:type="dxa"/>
          </w:tblCellMar>
        </w:tblPrEx>
        <w:trPr>
          <w:trHeight w:val="335" w:hRule="atLeast"/>
          <w:jc w:val="center"/>
        </w:trPr>
        <w:tc>
          <w:tcPr>
            <w:tcW w:w="1046" w:type="dxa"/>
            <w:tcBorders>
              <w:top w:val="nil"/>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688" w:type="dxa"/>
            <w:gridSpan w:val="5"/>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岳阳市住房和城乡建设局</w:t>
            </w:r>
          </w:p>
        </w:tc>
        <w:tc>
          <w:tcPr>
            <w:tcW w:w="1360" w:type="dxa"/>
            <w:gridSpan w:val="2"/>
            <w:tcBorders>
              <w:top w:val="single" w:color="auto" w:sz="4" w:space="0"/>
              <w:left w:val="nil"/>
              <w:bottom w:val="single" w:color="auto" w:sz="4" w:space="0"/>
              <w:right w:val="single" w:color="000000"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033" w:type="dxa"/>
            <w:gridSpan w:val="3"/>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岳阳市污水处理监督中心</w:t>
            </w:r>
          </w:p>
        </w:tc>
      </w:tr>
      <w:tr>
        <w:tblPrEx>
          <w:tblCellMar>
            <w:top w:w="0" w:type="dxa"/>
            <w:left w:w="108" w:type="dxa"/>
            <w:bottom w:w="0" w:type="dxa"/>
            <w:right w:w="108" w:type="dxa"/>
          </w:tblCellMar>
        </w:tblPrEx>
        <w:trPr>
          <w:jc w:val="center"/>
        </w:trPr>
        <w:tc>
          <w:tcPr>
            <w:tcW w:w="1046" w:type="dxa"/>
            <w:vMerge w:val="restart"/>
            <w:tcBorders>
              <w:top w:val="nil"/>
              <w:left w:val="single" w:color="auto" w:sz="4" w:space="0"/>
              <w:bottom w:val="single" w:color="000000"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093"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79"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416"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360" w:type="dxa"/>
            <w:gridSpan w:val="2"/>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705" w:type="dxa"/>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1052" w:type="dxa"/>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276" w:type="dxa"/>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093"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179"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215.99</w:t>
            </w:r>
          </w:p>
        </w:tc>
        <w:tc>
          <w:tcPr>
            <w:tcW w:w="1416" w:type="dxa"/>
            <w:gridSpan w:val="2"/>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215.99</w:t>
            </w:r>
          </w:p>
        </w:tc>
        <w:tc>
          <w:tcPr>
            <w:tcW w:w="1360" w:type="dxa"/>
            <w:gridSpan w:val="2"/>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143.76</w:t>
            </w:r>
          </w:p>
        </w:tc>
        <w:tc>
          <w:tcPr>
            <w:tcW w:w="70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66.56</w:t>
            </w:r>
            <w:r>
              <w:rPr>
                <w:rFonts w:hint="eastAsia" w:ascii="仿宋_GB2312" w:hAnsi="仿宋_GB2312" w:eastAsia="仿宋_GB2312" w:cs="仿宋_GB2312"/>
                <w:color w:val="000000"/>
                <w:sz w:val="20"/>
                <w:szCs w:val="20"/>
              </w:rPr>
              <w:t>%</w:t>
            </w:r>
          </w:p>
        </w:tc>
        <w:tc>
          <w:tcPr>
            <w:tcW w:w="1276"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6.66</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093"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179"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125</w:t>
            </w:r>
          </w:p>
        </w:tc>
        <w:tc>
          <w:tcPr>
            <w:tcW w:w="1416" w:type="dxa"/>
            <w:gridSpan w:val="2"/>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125</w:t>
            </w:r>
          </w:p>
        </w:tc>
        <w:tc>
          <w:tcPr>
            <w:tcW w:w="1360" w:type="dxa"/>
            <w:gridSpan w:val="2"/>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74.96</w:t>
            </w:r>
          </w:p>
        </w:tc>
        <w:tc>
          <w:tcPr>
            <w:tcW w:w="70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276"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093" w:type="dxa"/>
            <w:gridSpan w:val="2"/>
            <w:tcBorders>
              <w:top w:val="nil"/>
              <w:left w:val="nil"/>
              <w:bottom w:val="single" w:color="auto" w:sz="4" w:space="0"/>
              <w:right w:val="single" w:color="auto" w:sz="4" w:space="0"/>
            </w:tcBorders>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179"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90.99</w:t>
            </w:r>
          </w:p>
        </w:tc>
        <w:tc>
          <w:tcPr>
            <w:tcW w:w="1416" w:type="dxa"/>
            <w:gridSpan w:val="2"/>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90.99</w:t>
            </w:r>
          </w:p>
        </w:tc>
        <w:tc>
          <w:tcPr>
            <w:tcW w:w="1360" w:type="dxa"/>
            <w:gridSpan w:val="2"/>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68.8</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52"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093" w:type="dxa"/>
            <w:gridSpan w:val="2"/>
            <w:tcBorders>
              <w:top w:val="nil"/>
              <w:left w:val="nil"/>
              <w:bottom w:val="single" w:color="auto" w:sz="4" w:space="0"/>
              <w:right w:val="single" w:color="auto" w:sz="4" w:space="0"/>
            </w:tcBorders>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179"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6"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360"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52"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restart"/>
            <w:tcBorders>
              <w:top w:val="nil"/>
              <w:left w:val="single" w:color="auto" w:sz="4" w:space="0"/>
              <w:bottom w:val="single" w:color="000000"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88" w:type="dxa"/>
            <w:gridSpan w:val="5"/>
            <w:tcBorders>
              <w:top w:val="single" w:color="auto" w:sz="4" w:space="0"/>
              <w:left w:val="nil"/>
              <w:bottom w:val="single" w:color="auto" w:sz="4" w:space="0"/>
              <w:right w:val="single" w:color="000000"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93" w:type="dxa"/>
            <w:gridSpan w:val="5"/>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4688" w:type="dxa"/>
            <w:gridSpan w:val="5"/>
            <w:tcBorders>
              <w:top w:val="single" w:color="auto" w:sz="4" w:space="0"/>
              <w:left w:val="nil"/>
              <w:bottom w:val="single" w:color="auto" w:sz="4" w:space="0"/>
              <w:right w:val="single" w:color="000000" w:sz="4" w:space="0"/>
            </w:tcBorders>
            <w:vAlign w:val="center"/>
          </w:tcPr>
          <w:p>
            <w:pPr>
              <w:widowControl/>
              <w:spacing w:line="260" w:lineRule="exact"/>
              <w:ind w:firstLine="400" w:firstLineChars="200"/>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1、对全市污水行业进行有效监管考核； 2、对我市中心城区7家污水处理厂的进、出水和污泥进行监测，使其达标排放； 3、全年有效处置羊角山垃圾渗滤液，确保正常运行及维护； 4、确保桃花源污水初处理站的正常运行及维护，有效处理片区内生活污水，日处理2000立方，避免生活污水直接流入南湖水域，严防造成二次污染； 5、加强对移动污水处理设备的监管力度，加快市中心城区污水处理厂回购进程。</w:t>
            </w:r>
          </w:p>
        </w:tc>
        <w:tc>
          <w:tcPr>
            <w:tcW w:w="4393" w:type="dxa"/>
            <w:gridSpan w:val="5"/>
            <w:tcBorders>
              <w:top w:val="single" w:color="auto" w:sz="4" w:space="0"/>
              <w:left w:val="nil"/>
              <w:bottom w:val="single" w:color="auto" w:sz="4" w:space="0"/>
              <w:right w:val="single" w:color="auto" w:sz="4" w:space="0"/>
            </w:tcBorders>
            <w:vAlign w:val="center"/>
          </w:tcPr>
          <w:p>
            <w:pPr>
              <w:widowControl/>
              <w:spacing w:line="260" w:lineRule="exact"/>
              <w:ind w:firstLine="400" w:firstLineChars="200"/>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1、对全市污水行业进行了有效监管考核； 2、对我市中心城区7家污水处理厂的进、出水和污泥进行监测，使其达标排放； 3、全年有效处置羊角山垃圾渗滤液，确保正常运行及维护； 4、确保桃花源污水初处理站的正常运行及维护，有效处理片区内生活污水，日处理2000立方，避免生活污水直接流入南湖水域，严防造成二次污染； 5、加强对移动污水处理设备的监管力度，加快市中心城区污水处理厂回购进程。</w:t>
            </w:r>
          </w:p>
        </w:tc>
      </w:tr>
      <w:tr>
        <w:tblPrEx>
          <w:tblCellMar>
            <w:top w:w="0" w:type="dxa"/>
            <w:left w:w="108" w:type="dxa"/>
            <w:bottom w:w="0" w:type="dxa"/>
            <w:right w:w="108" w:type="dxa"/>
          </w:tblCellMar>
        </w:tblPrEx>
        <w:trPr>
          <w:jc w:val="center"/>
        </w:trPr>
        <w:tc>
          <w:tcPr>
            <w:tcW w:w="1046" w:type="dxa"/>
            <w:vMerge w:val="restart"/>
            <w:tcBorders>
              <w:top w:val="nil"/>
              <w:left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56"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7"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70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276"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restart"/>
            <w:tcBorders>
              <w:top w:val="nil"/>
              <w:left w:val="nil"/>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ascii="仿宋_GB2312" w:hAnsi="仿宋_GB2312" w:eastAsia="仿宋_GB2312" w:cs="仿宋_GB2312"/>
                <w:color w:val="000000"/>
                <w:sz w:val="20"/>
                <w:szCs w:val="20"/>
              </w:rPr>
            </w:pP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7" w:type="dxa"/>
            <w:vMerge w:val="restart"/>
            <w:tcBorders>
              <w:top w:val="nil"/>
              <w:left w:val="nil"/>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对我市中心城区投入运行的污水处理厂的进、出水和污泥进行抽样检测</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污水厂数量</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7家</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80" w:hRule="atLeast"/>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vMerge w:val="continue"/>
            <w:tcBorders>
              <w:left w:val="nil"/>
              <w:right w:val="single" w:color="auto" w:sz="4" w:space="0"/>
            </w:tcBorders>
            <w:vAlign w:val="center"/>
          </w:tcPr>
          <w:p>
            <w:pPr>
              <w:spacing w:line="260" w:lineRule="exact"/>
              <w:jc w:val="center"/>
              <w:rPr>
                <w:rFonts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污水初处理站日处理量</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按水量</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处理</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按水量</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处理</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70" w:hRule="atLeast"/>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vMerge w:val="continue"/>
            <w:tcBorders>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监管移动污水处理设备</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移动污水处理设备数量</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2处</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35" w:hRule="atLeast"/>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vMerge w:val="continue"/>
            <w:tcBorders>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699" w:type="dxa"/>
            <w:gridSpan w:val="2"/>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羊角山垃圾渗滤液日处置量</w:t>
            </w:r>
          </w:p>
        </w:tc>
        <w:tc>
          <w:tcPr>
            <w:tcW w:w="1131" w:type="dxa"/>
            <w:gridSpan w:val="2"/>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按渗滤液量处理</w:t>
            </w:r>
          </w:p>
        </w:tc>
        <w:tc>
          <w:tcPr>
            <w:tcW w:w="1125"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按渗滤液量处理</w:t>
            </w:r>
          </w:p>
        </w:tc>
        <w:tc>
          <w:tcPr>
            <w:tcW w:w="705"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052"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27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vMerge w:val="restart"/>
            <w:tcBorders>
              <w:top w:val="nil"/>
              <w:left w:val="nil"/>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污水初处理站满足《城镇污水处理厂污染物排放标准》</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GB18919-</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2008</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全年按标准排放</w:t>
            </w:r>
          </w:p>
        </w:tc>
        <w:tc>
          <w:tcPr>
            <w:tcW w:w="705" w:type="dxa"/>
            <w:tcBorders>
              <w:top w:val="nil"/>
              <w:left w:val="nil"/>
              <w:bottom w:val="single" w:color="auto" w:sz="4" w:space="0"/>
              <w:right w:val="single" w:color="auto" w:sz="4" w:space="0"/>
            </w:tcBorders>
            <w:vAlign w:val="center"/>
          </w:tcPr>
          <w:p>
            <w:pPr>
              <w:widowControl/>
              <w:spacing w:line="260" w:lineRule="exact"/>
              <w:ind w:firstLine="200" w:firstLineChars="1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vMerge w:val="continue"/>
            <w:tcBorders>
              <w:left w:val="nil"/>
              <w:right w:val="single" w:color="auto" w:sz="4" w:space="0"/>
            </w:tcBorders>
            <w:vAlign w:val="center"/>
          </w:tcPr>
          <w:p>
            <w:pPr>
              <w:spacing w:line="260" w:lineRule="exact"/>
              <w:jc w:val="center"/>
              <w:rPr>
                <w:rFonts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污水处理厂污染物排放达标率</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100%</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vMerge w:val="continue"/>
            <w:tcBorders>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羊角山垃圾渗滤液处置达标率</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100%</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40" w:hRule="atLeast"/>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按时完成</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当年任务</w:t>
            </w:r>
          </w:p>
        </w:tc>
        <w:tc>
          <w:tcPr>
            <w:tcW w:w="1131" w:type="dxa"/>
            <w:gridSpan w:val="2"/>
            <w:tcBorders>
              <w:top w:val="nil"/>
              <w:left w:val="nil"/>
              <w:bottom w:val="single" w:color="auto" w:sz="4" w:space="0"/>
              <w:right w:val="single" w:color="auto" w:sz="4" w:space="0"/>
            </w:tcBorders>
            <w:vAlign w:val="center"/>
          </w:tcPr>
          <w:p>
            <w:pPr>
              <w:widowControl/>
              <w:spacing w:line="22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202</w:t>
            </w:r>
            <w:r>
              <w:rPr>
                <w:rFonts w:hint="eastAsia" w:ascii="仿宋_GB2312" w:hAnsi="仿宋_GB2312" w:eastAsia="仿宋_GB2312" w:cs="仿宋_GB2312"/>
                <w:color w:val="000000"/>
                <w:sz w:val="20"/>
                <w:szCs w:val="20"/>
                <w:lang w:val="en-US" w:eastAsia="zh-CN"/>
              </w:rPr>
              <w:t>4</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年底前</w:t>
            </w:r>
          </w:p>
        </w:tc>
        <w:tc>
          <w:tcPr>
            <w:tcW w:w="1125" w:type="dxa"/>
            <w:tcBorders>
              <w:top w:val="nil"/>
              <w:left w:val="nil"/>
              <w:bottom w:val="single" w:color="auto" w:sz="4" w:space="0"/>
              <w:right w:val="single" w:color="auto" w:sz="4" w:space="0"/>
            </w:tcBorders>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w:t>
            </w:r>
            <w:r>
              <w:rPr>
                <w:rFonts w:hint="eastAsia" w:ascii="仿宋_GB2312" w:hAnsi="仿宋_GB2312" w:eastAsia="仿宋_GB2312" w:cs="仿宋_GB2312"/>
                <w:color w:val="000000"/>
                <w:sz w:val="20"/>
                <w:szCs w:val="20"/>
                <w:lang w:val="en-US" w:eastAsia="zh-CN"/>
              </w:rPr>
              <w:t>4</w:t>
            </w:r>
            <w:r>
              <w:rPr>
                <w:rFonts w:hint="eastAsia" w:ascii="仿宋_GB2312" w:hAnsi="仿宋_GB2312" w:eastAsia="仿宋_GB2312" w:cs="仿宋_GB2312"/>
                <w:color w:val="000000"/>
                <w:sz w:val="20"/>
                <w:szCs w:val="20"/>
              </w:rPr>
              <w:t>年底前</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90" w:hRule="atLeast"/>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范围内</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215.99</w:t>
            </w:r>
            <w:r>
              <w:rPr>
                <w:rFonts w:hint="eastAsia" w:ascii="仿宋_GB2312" w:hAnsi="仿宋_GB2312" w:eastAsia="仿宋_GB2312" w:cs="仿宋_GB2312"/>
                <w:color w:val="000000"/>
                <w:sz w:val="20"/>
                <w:szCs w:val="20"/>
              </w:rPr>
              <w:t>万元</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143.76</w:t>
            </w:r>
            <w:r>
              <w:rPr>
                <w:rFonts w:hint="eastAsia" w:ascii="仿宋_GB2312" w:hAnsi="仿宋_GB2312" w:eastAsia="仿宋_GB2312" w:cs="仿宋_GB2312"/>
                <w:color w:val="000000"/>
                <w:sz w:val="20"/>
                <w:szCs w:val="20"/>
              </w:rPr>
              <w:t>万元</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restart"/>
            <w:tcBorders>
              <w:top w:val="nil"/>
              <w:left w:val="nil"/>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ascii="仿宋_GB2312" w:hAnsi="仿宋_GB2312" w:eastAsia="仿宋_GB2312" w:cs="仿宋_GB2312"/>
                <w:color w:val="000000"/>
                <w:sz w:val="20"/>
                <w:szCs w:val="20"/>
              </w:rPr>
            </w:pP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本项目为监督污水处理厂正常运行，达标排放的公益项目，为减少全市的污染物排放，非以盈利为目的</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公益项目　</w:t>
            </w:r>
          </w:p>
        </w:tc>
        <w:tc>
          <w:tcPr>
            <w:tcW w:w="112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公益项目　</w:t>
            </w:r>
          </w:p>
        </w:tc>
        <w:tc>
          <w:tcPr>
            <w:tcW w:w="705" w:type="dxa"/>
            <w:tcBorders>
              <w:top w:val="nil"/>
              <w:left w:val="nil"/>
              <w:bottom w:val="single" w:color="auto" w:sz="4" w:space="0"/>
              <w:right w:val="single" w:color="auto" w:sz="4" w:space="0"/>
            </w:tcBorders>
            <w:vAlign w:val="center"/>
          </w:tcPr>
          <w:p>
            <w:pPr>
              <w:widowControl/>
              <w:spacing w:line="260" w:lineRule="exact"/>
              <w:ind w:firstLine="200" w:firstLineChars="1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改善社会</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人居环境</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有效改善</w:t>
            </w:r>
          </w:p>
        </w:tc>
        <w:tc>
          <w:tcPr>
            <w:tcW w:w="112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有效改善</w:t>
            </w:r>
          </w:p>
        </w:tc>
        <w:tc>
          <w:tcPr>
            <w:tcW w:w="70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vMerge w:val="continue"/>
            <w:tcBorders>
              <w:left w:val="nil"/>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3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改善岳阳</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水生态环境</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112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705" w:type="dxa"/>
            <w:tcBorders>
              <w:top w:val="nil"/>
              <w:left w:val="nil"/>
              <w:bottom w:val="single" w:color="auto" w:sz="4" w:space="0"/>
              <w:right w:val="single" w:color="auto" w:sz="4" w:space="0"/>
            </w:tcBorders>
            <w:vAlign w:val="center"/>
          </w:tcPr>
          <w:p>
            <w:pPr>
              <w:widowControl/>
              <w:spacing w:line="260" w:lineRule="exact"/>
              <w:ind w:firstLine="200" w:firstLineChars="1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54" w:hRule="atLeast"/>
          <w:jc w:val="center"/>
        </w:trPr>
        <w:tc>
          <w:tcPr>
            <w:tcW w:w="1046" w:type="dxa"/>
            <w:vMerge w:val="continue"/>
            <w:tcBorders>
              <w:left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056" w:type="dxa"/>
            <w:tcBorders>
              <w:top w:val="single" w:color="auto" w:sz="4" w:space="0"/>
              <w:left w:val="nil"/>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699"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受益对象及监管单位满意度</w:t>
            </w:r>
          </w:p>
        </w:tc>
        <w:tc>
          <w:tcPr>
            <w:tcW w:w="1131" w:type="dxa"/>
            <w:gridSpan w:val="2"/>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90%以上</w:t>
            </w:r>
          </w:p>
        </w:tc>
        <w:tc>
          <w:tcPr>
            <w:tcW w:w="112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90%以上</w:t>
            </w:r>
          </w:p>
        </w:tc>
        <w:tc>
          <w:tcPr>
            <w:tcW w:w="70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052"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7094" w:type="dxa"/>
            <w:gridSpan w:val="8"/>
            <w:tcBorders>
              <w:top w:val="single" w:color="auto" w:sz="4" w:space="0"/>
              <w:left w:val="single" w:color="auto" w:sz="4" w:space="0"/>
              <w:bottom w:val="single" w:color="auto" w:sz="4" w:space="0"/>
              <w:right w:val="single" w:color="000000"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0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052" w:type="dxa"/>
            <w:tcBorders>
              <w:top w:val="nil"/>
              <w:left w:val="nil"/>
              <w:bottom w:val="single" w:color="auto" w:sz="4" w:space="0"/>
              <w:right w:val="single" w:color="auto" w:sz="4" w:space="0"/>
            </w:tcBorders>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93.66</w:t>
            </w:r>
          </w:p>
        </w:tc>
        <w:tc>
          <w:tcPr>
            <w:tcW w:w="127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ascii="Times New Roman" w:hAnsi="Times New Roman" w:eastAsia="仿宋_GB2312"/>
          <w:sz w:val="18"/>
          <w:szCs w:val="18"/>
        </w:rPr>
      </w:pPr>
    </w:p>
    <w:p>
      <w:pPr>
        <w:rPr>
          <w:rFonts w:ascii="Times New Roman" w:hAnsi="Times New Roman" w:eastAsia="仿宋_GB2312"/>
          <w:szCs w:val="21"/>
        </w:rPr>
      </w:pPr>
      <w:r>
        <w:rPr>
          <w:rFonts w:ascii="Times New Roman" w:hAnsi="Times New Roman" w:eastAsia="仿宋_GB2312"/>
          <w:sz w:val="18"/>
          <w:szCs w:val="18"/>
        </w:rPr>
        <w:t>备注：一个一级项目支出一张表。</w:t>
      </w:r>
      <w:r>
        <w:rPr>
          <w:rFonts w:hint="eastAsia" w:ascii="Times New Roman" w:hAnsi="Times New Roman" w:eastAsia="仿宋_GB2312"/>
          <w:sz w:val="18"/>
          <w:szCs w:val="18"/>
        </w:rPr>
        <w:t>如，</w:t>
      </w:r>
      <w:r>
        <w:rPr>
          <w:rFonts w:ascii="Times New Roman" w:hAnsi="Times New Roman" w:eastAsia="仿宋_GB2312"/>
          <w:sz w:val="18"/>
          <w:szCs w:val="18"/>
        </w:rPr>
        <w:t>业务工作经费</w:t>
      </w:r>
      <w:r>
        <w:rPr>
          <w:rFonts w:hint="eastAsia" w:ascii="Times New Roman" w:hAnsi="Times New Roman" w:eastAsia="仿宋_GB2312"/>
          <w:sz w:val="18"/>
          <w:szCs w:val="18"/>
        </w:rPr>
        <w:t>，</w:t>
      </w:r>
      <w:r>
        <w:rPr>
          <w:rFonts w:ascii="Times New Roman" w:hAnsi="Times New Roman" w:eastAsia="仿宋_GB2312"/>
          <w:sz w:val="18"/>
          <w:szCs w:val="18"/>
        </w:rPr>
        <w:t>运行维护经费</w:t>
      </w:r>
      <w:r>
        <w:rPr>
          <w:rFonts w:hint="eastAsia" w:ascii="Times New Roman" w:hAnsi="Times New Roman" w:eastAsia="仿宋_GB2312"/>
          <w:sz w:val="18"/>
          <w:szCs w:val="18"/>
        </w:rPr>
        <w:t>，其他事业发展类资金…各一张表。</w:t>
      </w:r>
    </w:p>
    <w:p>
      <w:r>
        <w:rPr>
          <w:rFonts w:ascii="Times New Roman" w:hAnsi="Times New Roman" w:eastAsia="仿宋_GB2312"/>
          <w:sz w:val="22"/>
          <w:szCs w:val="22"/>
        </w:rPr>
        <w:t>填表人：</w:t>
      </w:r>
      <w:r>
        <w:rPr>
          <w:rFonts w:hint="eastAsia" w:ascii="Times New Roman" w:hAnsi="Times New Roman" w:eastAsia="仿宋_GB2312"/>
          <w:sz w:val="22"/>
          <w:szCs w:val="22"/>
        </w:rPr>
        <w:t>李枚</w:t>
      </w:r>
      <w:r>
        <w:rPr>
          <w:rFonts w:ascii="Times New Roman" w:hAnsi="Times New Roman" w:eastAsia="仿宋_GB2312"/>
          <w:sz w:val="22"/>
          <w:szCs w:val="22"/>
        </w:rPr>
        <w:t xml:space="preserve"> 填报日期：</w:t>
      </w:r>
      <w:r>
        <w:rPr>
          <w:rFonts w:hint="eastAsia" w:ascii="Times New Roman" w:hAnsi="Times New Roman" w:eastAsia="仿宋_GB2312"/>
          <w:sz w:val="22"/>
          <w:szCs w:val="22"/>
          <w:lang w:val="en-US" w:eastAsia="zh-CN"/>
        </w:rPr>
        <w:t>5</w:t>
      </w:r>
      <w:r>
        <w:rPr>
          <w:rFonts w:hint="eastAsia" w:ascii="Times New Roman" w:hAnsi="Times New Roman" w:eastAsia="仿宋_GB2312"/>
          <w:sz w:val="22"/>
          <w:szCs w:val="22"/>
        </w:rPr>
        <w:t>月</w:t>
      </w:r>
      <w:r>
        <w:rPr>
          <w:rFonts w:hint="eastAsia" w:ascii="Times New Roman" w:hAnsi="Times New Roman" w:eastAsia="仿宋_GB2312"/>
          <w:sz w:val="22"/>
          <w:szCs w:val="22"/>
          <w:lang w:val="en-US" w:eastAsia="zh-CN"/>
        </w:rPr>
        <w:t>8</w:t>
      </w:r>
      <w:r>
        <w:rPr>
          <w:rFonts w:hint="eastAsia" w:ascii="Times New Roman" w:hAnsi="Times New Roman" w:eastAsia="仿宋_GB2312"/>
          <w:sz w:val="22"/>
          <w:szCs w:val="22"/>
        </w:rPr>
        <w:t xml:space="preserve">日 </w:t>
      </w:r>
      <w:r>
        <w:rPr>
          <w:rFonts w:ascii="Times New Roman" w:hAnsi="Times New Roman" w:eastAsia="仿宋_GB2312"/>
          <w:sz w:val="22"/>
          <w:szCs w:val="22"/>
        </w:rPr>
        <w:t>联系电话：</w:t>
      </w:r>
      <w:r>
        <w:rPr>
          <w:rFonts w:hint="eastAsia" w:ascii="Times New Roman" w:hAnsi="Times New Roman" w:eastAsia="仿宋_GB2312"/>
          <w:sz w:val="22"/>
          <w:szCs w:val="22"/>
        </w:rPr>
        <w:t xml:space="preserve">13873096607  </w:t>
      </w:r>
      <w:r>
        <w:rPr>
          <w:rFonts w:ascii="Times New Roman" w:hAnsi="Times New Roman" w:eastAsia="仿宋_GB2312"/>
          <w:sz w:val="22"/>
          <w:szCs w:val="22"/>
        </w:rPr>
        <w:t>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Times New Roman" w:hAnsi="Times New Roman" w:eastAsia="黑体" w:cs="Times New Roman"/>
          <w:sz w:val="32"/>
          <w:szCs w:val="32"/>
          <w:highlight w:val="none"/>
          <w:lang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56"/>
        <w:gridCol w:w="1063"/>
        <w:gridCol w:w="1049"/>
        <w:gridCol w:w="1192"/>
        <w:gridCol w:w="1216"/>
        <w:gridCol w:w="1216"/>
        <w:gridCol w:w="812"/>
        <w:gridCol w:w="870"/>
        <w:gridCol w:w="1377"/>
      </w:tblGrid>
      <w:tr>
        <w:tblPrEx>
          <w:tblCellMar>
            <w:top w:w="0" w:type="dxa"/>
            <w:left w:w="108" w:type="dxa"/>
            <w:bottom w:w="0" w:type="dxa"/>
            <w:right w:w="108" w:type="dxa"/>
          </w:tblCellMar>
        </w:tblPrEx>
        <w:trPr>
          <w:jc w:val="center"/>
        </w:trPr>
        <w:tc>
          <w:tcPr>
            <w:tcW w:w="10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5"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城市管网及污水处理补助</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污水处理监控系统</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20"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岳阳市住房和城乡建设局</w:t>
            </w:r>
          </w:p>
        </w:tc>
        <w:tc>
          <w:tcPr>
            <w:tcW w:w="1216"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5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岳阳市污水处理监督中心</w:t>
            </w:r>
          </w:p>
        </w:tc>
      </w:tr>
      <w:tr>
        <w:tblPrEx>
          <w:tblCellMar>
            <w:top w:w="0" w:type="dxa"/>
            <w:left w:w="108" w:type="dxa"/>
            <w:bottom w:w="0" w:type="dxa"/>
            <w:right w:w="108" w:type="dxa"/>
          </w:tblCellMar>
        </w:tblPrEx>
        <w:trPr>
          <w:jc w:val="center"/>
        </w:trPr>
        <w:tc>
          <w:tcPr>
            <w:tcW w:w="1056"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213.31</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213.31</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123.13</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57.72%</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5.77</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2"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20"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20"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通过整合工业自控技术、物联网技术、视频监控技术、移动互联技术等信息化技术，搭建污水厂工况数据采集系统和实时视频监控系统，构建全面覆盖、实时监管、信息齐全、稳定便捷的业务应用管理平台，实现对岳阳市城镇污水处理厂污水处理过程的远程化、实时化、可视化监管。</w:t>
            </w:r>
          </w:p>
        </w:tc>
        <w:tc>
          <w:tcPr>
            <w:tcW w:w="42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为优化对污水处理厂日常运营监管模式，实现污水处理行业监管的信息化、规范化、可视化，根据《岳阳市智慧城市整体特许经营项目政府采购合同》和《关于对岳阳市污水处理监督系统项目建设方案的审核意见》，“岳阳市污水处理监督系统项目”由岳阳市交投智慧城市开发有限公司实施建设。于2023年7月10日开工建设，2023年8月，收到市财政下达监测平台一期—污水处理监管平台系统专项资金360万元，11月20日通过初步验收进入试运行阶段，2024年5月24日完成竣工验收，全市（县、区）17家污水处理厂已全部纳入平台监管，目前监控平台系统在全市污水处理行业监管工作中正发挥着重要作用。2024年，根据项目进度及合同约定合计支付监测平台一期—污水处理监管平台系统专项资金123.13万元。</w:t>
            </w:r>
          </w:p>
        </w:tc>
      </w:tr>
      <w:tr>
        <w:tblPrEx>
          <w:tblCellMar>
            <w:top w:w="0" w:type="dxa"/>
            <w:left w:w="108" w:type="dxa"/>
            <w:bottom w:w="0" w:type="dxa"/>
            <w:right w:w="108" w:type="dxa"/>
          </w:tblCellMar>
        </w:tblPrEx>
        <w:trPr>
          <w:jc w:val="center"/>
        </w:trPr>
        <w:tc>
          <w:tcPr>
            <w:tcW w:w="1056"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4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4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对岳阳市城镇污水处理厂污水处理过程进行远程化、实时化、可视化监控</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17家</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17家</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4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对各污水处理厂进行有效监管及评价</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有效监管</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有效监管</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4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按时按成当年任务</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2024-12-31</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2024-12-31</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63" w:hRule="atLeast"/>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49"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控制在预算范围内</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213.31万元</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123.13万元</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18"/>
                <w:szCs w:val="18"/>
                <w:highlight w:val="none"/>
                <w:lang w:val="en-US" w:eastAsia="zh-CN"/>
              </w:rPr>
              <w:t>按照项目进度及合同约定支付项目资金</w:t>
            </w:r>
          </w:p>
        </w:tc>
      </w:tr>
      <w:tr>
        <w:tblPrEx>
          <w:tblCellMar>
            <w:top w:w="0" w:type="dxa"/>
            <w:left w:w="108" w:type="dxa"/>
            <w:bottom w:w="0" w:type="dxa"/>
            <w:right w:w="108" w:type="dxa"/>
          </w:tblCellMar>
        </w:tblPrEx>
        <w:trPr>
          <w:trHeight w:val="571" w:hRule="atLeast"/>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49"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18"/>
                <w:szCs w:val="18"/>
              </w:rPr>
              <w:t>对社会发展可能造成的负面影响</w:t>
            </w:r>
          </w:p>
        </w:tc>
        <w:tc>
          <w:tcPr>
            <w:tcW w:w="121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121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7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219" w:hRule="atLeast"/>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49"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对自然环境生态环境可能造成的负面影响</w:t>
            </w:r>
          </w:p>
        </w:tc>
        <w:tc>
          <w:tcPr>
            <w:tcW w:w="121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121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37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4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提升污水处理监管水平，降低监管成本</w:t>
            </w:r>
          </w:p>
        </w:tc>
        <w:tc>
          <w:tcPr>
            <w:tcW w:w="12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有所降低</w:t>
            </w:r>
          </w:p>
        </w:tc>
        <w:tc>
          <w:tcPr>
            <w:tcW w:w="12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kern w:val="0"/>
                <w:sz w:val="18"/>
                <w:szCs w:val="24"/>
                <w:lang w:val="en-US" w:eastAsia="zh-CN" w:bidi="ar-SA"/>
              </w:rPr>
            </w:pPr>
            <w:r>
              <w:rPr>
                <w:rFonts w:hint="eastAsia" w:ascii="仿宋_GB2312" w:hAnsi="仿宋_GB2312" w:eastAsia="仿宋_GB2312" w:cs="仿宋_GB2312"/>
                <w:sz w:val="18"/>
                <w:szCs w:val="18"/>
              </w:rPr>
              <w:t>有所降低</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4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提升管理效率，整合污水处理数据资源，促进岳阳市智慧城市的发展</w:t>
            </w:r>
          </w:p>
        </w:tc>
        <w:tc>
          <w:tcPr>
            <w:tcW w:w="12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有所促进</w:t>
            </w:r>
          </w:p>
        </w:tc>
        <w:tc>
          <w:tcPr>
            <w:tcW w:w="12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kern w:val="0"/>
                <w:sz w:val="18"/>
                <w:szCs w:val="24"/>
                <w:lang w:val="en-US" w:eastAsia="zh-CN" w:bidi="ar-SA"/>
              </w:rPr>
            </w:pPr>
            <w:r>
              <w:rPr>
                <w:rFonts w:hint="eastAsia" w:ascii="仿宋_GB2312" w:hAnsi="仿宋_GB2312" w:eastAsia="仿宋_GB2312" w:cs="仿宋_GB2312"/>
                <w:sz w:val="18"/>
                <w:szCs w:val="18"/>
              </w:rPr>
              <w:t>有所促进</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4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改善岳阳水生态环境</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有所改善</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kern w:val="0"/>
                <w:sz w:val="18"/>
                <w:szCs w:val="24"/>
                <w:lang w:val="en-US" w:eastAsia="zh-CN" w:bidi="ar-SA"/>
              </w:rPr>
            </w:pPr>
            <w:r>
              <w:rPr>
                <w:rFonts w:hint="eastAsia" w:ascii="仿宋_GB2312" w:hAnsi="仿宋_GB2312" w:eastAsia="仿宋_GB2312" w:cs="仿宋_GB2312"/>
                <w:sz w:val="18"/>
                <w:szCs w:val="18"/>
              </w:rPr>
              <w:t>有所改善</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3" w:type="dxa"/>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4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1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监管单位满意度</w:t>
            </w:r>
          </w:p>
        </w:tc>
        <w:tc>
          <w:tcPr>
            <w:tcW w:w="121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≥90%</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kern w:val="0"/>
                <w:sz w:val="19"/>
                <w:szCs w:val="24"/>
                <w:lang w:val="en-US" w:eastAsia="zh-CN" w:bidi="ar-SA"/>
              </w:rPr>
            </w:pPr>
            <w:r>
              <w:rPr>
                <w:rFonts w:hint="eastAsia" w:ascii="仿宋_GB2312" w:hAnsi="仿宋_GB2312" w:eastAsia="仿宋_GB2312" w:cs="仿宋_GB2312"/>
                <w:sz w:val="18"/>
                <w:szCs w:val="18"/>
              </w:rPr>
              <w:t>≥90%</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9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1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92.77</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ascii="Times New Roman" w:hAnsi="Times New Roman" w:eastAsia="仿宋_GB2312"/>
          <w:sz w:val="22"/>
          <w:szCs w:val="22"/>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 xml:space="preserve">李枚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lang w:val="en-US" w:eastAsia="zh-CN"/>
        </w:rPr>
        <w:t xml:space="preserve">5月8日 </w:t>
      </w:r>
      <w:r>
        <w:rPr>
          <w:rFonts w:hint="default" w:ascii="Times New Roman" w:hAnsi="Times New Roman" w:eastAsia="仿宋_GB2312" w:cs="Times New Roman"/>
          <w:sz w:val="22"/>
          <w:szCs w:val="22"/>
        </w:rPr>
        <w:t>联系电话：</w:t>
      </w:r>
      <w:r>
        <w:rPr>
          <w:rFonts w:hint="eastAsia" w:ascii="Times New Roman" w:hAnsi="Times New Roman" w:eastAsia="仿宋_GB2312" w:cs="Times New Roman"/>
          <w:sz w:val="22"/>
          <w:szCs w:val="22"/>
          <w:lang w:val="en-US" w:eastAsia="zh-CN"/>
        </w:rPr>
        <w:t xml:space="preserve">13873096607  </w:t>
      </w:r>
      <w:r>
        <w:rPr>
          <w:rFonts w:hint="default" w:ascii="Times New Roman" w:hAnsi="Times New Roman" w:eastAsia="仿宋_GB2312" w:cs="Times New Roman"/>
          <w:sz w:val="22"/>
          <w:szCs w:val="22"/>
        </w:rPr>
        <w:t>单位负责人签字：</w:t>
      </w:r>
    </w:p>
    <w:p>
      <w:pPr>
        <w:rPr>
          <w:rFonts w:ascii="黑体" w:hAnsi="黑体" w:eastAsia="黑体" w:cs="黑体"/>
          <w:sz w:val="32"/>
          <w:szCs w:val="32"/>
        </w:rPr>
      </w:pPr>
    </w:p>
    <w:p>
      <w:pPr>
        <w:pStyle w:val="8"/>
        <w:ind w:firstLine="0" w:firstLineChars="0"/>
        <w:rPr>
          <w:rFonts w:ascii="黑体" w:hAnsi="黑体" w:eastAsia="黑体" w:cs="黑体"/>
          <w:sz w:val="32"/>
          <w:szCs w:val="32"/>
        </w:rPr>
      </w:pPr>
    </w:p>
    <w:sectPr>
      <w:pgSz w:w="11906" w:h="16838"/>
      <w:pgMar w:top="1587" w:right="1587" w:bottom="1134" w:left="1587" w:header="851" w:footer="992" w:gutter="0"/>
      <w:cols w:space="720" w:num="1"/>
      <w:docGrid w:type="lines" w:linePitch="3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9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CFF8E41"/>
    <w:rsid w:val="002F6206"/>
    <w:rsid w:val="0089651D"/>
    <w:rsid w:val="00D37ED2"/>
    <w:rsid w:val="00D86800"/>
    <w:rsid w:val="01443A1B"/>
    <w:rsid w:val="015F254D"/>
    <w:rsid w:val="02007E3E"/>
    <w:rsid w:val="02D13AA8"/>
    <w:rsid w:val="03062FFD"/>
    <w:rsid w:val="035542E6"/>
    <w:rsid w:val="055F39A2"/>
    <w:rsid w:val="06494230"/>
    <w:rsid w:val="08345652"/>
    <w:rsid w:val="09485EFB"/>
    <w:rsid w:val="0A433449"/>
    <w:rsid w:val="0B8C389F"/>
    <w:rsid w:val="0C0F0642"/>
    <w:rsid w:val="0C233266"/>
    <w:rsid w:val="0F1D552D"/>
    <w:rsid w:val="115F78BB"/>
    <w:rsid w:val="15642AEF"/>
    <w:rsid w:val="15732C83"/>
    <w:rsid w:val="179D474C"/>
    <w:rsid w:val="17F7788B"/>
    <w:rsid w:val="1A892B95"/>
    <w:rsid w:val="1A893CD4"/>
    <w:rsid w:val="1AAB183B"/>
    <w:rsid w:val="207B74C4"/>
    <w:rsid w:val="21316710"/>
    <w:rsid w:val="21482B1C"/>
    <w:rsid w:val="21EB477C"/>
    <w:rsid w:val="2671171F"/>
    <w:rsid w:val="26945CDC"/>
    <w:rsid w:val="27744E56"/>
    <w:rsid w:val="2A6227AB"/>
    <w:rsid w:val="2B1144D8"/>
    <w:rsid w:val="2C4B14B4"/>
    <w:rsid w:val="2D46629B"/>
    <w:rsid w:val="2EB80FBF"/>
    <w:rsid w:val="32A46EDD"/>
    <w:rsid w:val="33AD0A7E"/>
    <w:rsid w:val="34AB307B"/>
    <w:rsid w:val="36502E7E"/>
    <w:rsid w:val="37B327C8"/>
    <w:rsid w:val="37FC7C58"/>
    <w:rsid w:val="3ABF0799"/>
    <w:rsid w:val="3B807F2C"/>
    <w:rsid w:val="3CAF2100"/>
    <w:rsid w:val="3DC962FC"/>
    <w:rsid w:val="3E38680E"/>
    <w:rsid w:val="3E69364E"/>
    <w:rsid w:val="3E853CDE"/>
    <w:rsid w:val="3F5F4FF7"/>
    <w:rsid w:val="425976F2"/>
    <w:rsid w:val="47C45597"/>
    <w:rsid w:val="4B1936C2"/>
    <w:rsid w:val="4C455922"/>
    <w:rsid w:val="4E7850CA"/>
    <w:rsid w:val="4F916E36"/>
    <w:rsid w:val="52E04F16"/>
    <w:rsid w:val="555A5BD5"/>
    <w:rsid w:val="576E26F4"/>
    <w:rsid w:val="57963E8B"/>
    <w:rsid w:val="594138FB"/>
    <w:rsid w:val="59590A7F"/>
    <w:rsid w:val="5AF0176D"/>
    <w:rsid w:val="5B594951"/>
    <w:rsid w:val="5FDF9D25"/>
    <w:rsid w:val="65061835"/>
    <w:rsid w:val="65631114"/>
    <w:rsid w:val="659D2AED"/>
    <w:rsid w:val="6AF827CC"/>
    <w:rsid w:val="6BDE0866"/>
    <w:rsid w:val="6BED3FC5"/>
    <w:rsid w:val="6C5C7AA7"/>
    <w:rsid w:val="6DD736B3"/>
    <w:rsid w:val="6F7540DD"/>
    <w:rsid w:val="704E469D"/>
    <w:rsid w:val="70946D02"/>
    <w:rsid w:val="71D465DE"/>
    <w:rsid w:val="72134C01"/>
    <w:rsid w:val="725F3101"/>
    <w:rsid w:val="72AC19B9"/>
    <w:rsid w:val="751E3683"/>
    <w:rsid w:val="78AE7934"/>
    <w:rsid w:val="7A984115"/>
    <w:rsid w:val="7B7934A2"/>
    <w:rsid w:val="7DDF84BA"/>
    <w:rsid w:val="7EA429DF"/>
    <w:rsid w:val="7F1C21E8"/>
    <w:rsid w:val="7F726DF2"/>
    <w:rsid w:val="7F9B7D6E"/>
    <w:rsid w:val="7FF65C39"/>
    <w:rsid w:val="B57639E9"/>
    <w:rsid w:val="B7DFD28A"/>
    <w:rsid w:val="CCFF8E41"/>
    <w:rsid w:val="F7FB0F6A"/>
    <w:rsid w:val="FB0FB09A"/>
    <w:rsid w:val="FB7F7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sz w:val="28"/>
      <w:szCs w:val="24"/>
      <w:lang w:val="en-US" w:eastAsia="zh-CN" w:bidi="ar-SA"/>
    </w:rPr>
  </w:style>
  <w:style w:type="paragraph" w:styleId="2">
    <w:name w:val="heading 4"/>
    <w:basedOn w:val="1"/>
    <w:next w:val="1"/>
    <w:qFormat/>
    <w:uiPriority w:val="0"/>
    <w:pPr>
      <w:keepLines/>
      <w:spacing w:beforeLines="50" w:line="500" w:lineRule="atLeast"/>
      <w:outlineLvl w:val="3"/>
    </w:pPr>
    <w:rPr>
      <w:rFonts w:ascii="微软雅黑" w:hAnsi="微软雅黑" w:eastAsia="微软雅黑"/>
      <w:bCs/>
      <w:sz w:val="24"/>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unhideWhenUsed/>
    <w:qFormat/>
    <w:uiPriority w:val="99"/>
    <w:pPr>
      <w:spacing w:after="120"/>
    </w:pPr>
  </w:style>
  <w:style w:type="paragraph" w:customStyle="1" w:styleId="4">
    <w:name w:val="正文首行缩进1"/>
    <w:basedOn w:val="1"/>
    <w:qFormat/>
    <w:uiPriority w:val="0"/>
    <w:pPr>
      <w:spacing w:after="120"/>
      <w:ind w:firstLine="420" w:firstLineChars="100"/>
    </w:pPr>
    <w:rPr>
      <w:rFonts w:ascii="Times New Roman" w:hAnsi="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jc w:val="left"/>
    </w:pPr>
    <w:rPr>
      <w:sz w:val="24"/>
    </w:rPr>
  </w:style>
  <w:style w:type="paragraph" w:styleId="8">
    <w:name w:val="Body Text First Indent"/>
    <w:basedOn w:val="3"/>
    <w:qFormat/>
    <w:uiPriority w:val="0"/>
    <w:pPr>
      <w:ind w:firstLine="420" w:firstLineChars="100"/>
    </w:pPr>
  </w:style>
  <w:style w:type="paragraph" w:customStyle="1" w:styleId="11">
    <w:name w:val="列出段落1"/>
    <w:basedOn w:val="1"/>
    <w:qFormat/>
    <w:uiPriority w:val="34"/>
    <w:pPr>
      <w:ind w:firstLine="420" w:firstLineChars="200"/>
    </w:pPr>
  </w:style>
  <w:style w:type="paragraph" w:styleId="12">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214</Words>
  <Characters>1223</Characters>
  <Lines>10</Lines>
  <Paragraphs>2</Paragraphs>
  <TotalTime>21</TotalTime>
  <ScaleCrop>false</ScaleCrop>
  <LinksUpToDate>false</LinksUpToDate>
  <CharactersWithSpaces>1435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2024-06-13T07:58:00Z</dcterms:created>
  <dc:creator>yyadmin</dc:creator>
  <cp:lastModifiedBy>李枚</cp:lastModifiedBy>
  <cp:lastPrinted>2023-07-18T09:24:00Z</cp:lastPrinted>
  <dcterms:modified xsi:type="dcterms:W3CDTF">2025-05-08T06:32:01Z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A8CB7A42DC694B049E68BCE67AEC47D1</vt:lpwstr>
  </property>
</Properties>
</file>