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51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DCB1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FEFA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湖南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省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财政会计基础管理十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>条</w:t>
      </w:r>
    </w:p>
    <w:p w14:paraId="3ACEB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50"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（适用财政系统）</w:t>
      </w:r>
    </w:p>
    <w:p w14:paraId="1150C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40662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1.落实负责人法定责任。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单位负责人对本单位会计工作和会计资料的真实性、完整性负责，指定非资金岗定期、不定期抽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查银行对账单，核查账实一致性。</w:t>
      </w:r>
    </w:p>
    <w:p w14:paraId="71E9A13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2.不相容岗位相分离。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会计与出纳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经办与复核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出纳与稽核、档案管理、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收支登记等岗位相互分离，不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得兼任。</w:t>
      </w:r>
    </w:p>
    <w:p w14:paraId="1EAEBDF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3.妥善保管财务印章。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专人负责、分人分印管理印章，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任何人员不得统管、代管全部支付印章。</w:t>
      </w:r>
    </w:p>
    <w:p w14:paraId="203B0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kern w:val="2"/>
          <w:sz w:val="32"/>
          <w:szCs w:val="32"/>
          <w:lang w:val="en-US" w:eastAsia="zh-CN" w:bidi="ar-SA"/>
        </w:rPr>
        <w:t>4.严管安全认证工具。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资金支付所需的用户名、密码及U-key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不得交由他人使用，禁止任何人员实际掌握资金支付业务全部环节用户名、密码或U-key。</w:t>
      </w:r>
    </w:p>
    <w:p w14:paraId="50D33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5.规范票据管理。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重要票据及凭证专人专柜管理，实行领用核销登记制度。</w:t>
      </w:r>
    </w:p>
    <w:p w14:paraId="422FF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6.定期开展内部对账。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建立账簿与实物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资料定期核对制度，确保账实、账证、账账、账表“四相符”。</w:t>
      </w:r>
    </w:p>
    <w:p w14:paraId="63AFE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7.强化单位间对账。</w:t>
      </w:r>
    </w:p>
    <w:p w14:paraId="014AC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财政部门应当至少：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①按月与人民银行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代理银行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财政专户开户银行对账；②按季与预算单位对账。</w:t>
      </w:r>
    </w:p>
    <w:p w14:paraId="08160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乡镇（街道）应当至少：①按月与代理银行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代管资金财政专户开户银行对账；②按年与存在资金往来的村级集体经济组织对账。</w:t>
      </w:r>
    </w:p>
    <w:p w14:paraId="3BDD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8.有计划开展轮岗。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一般不安排会计人员在同一岗位连续工作5年以上。</w:t>
      </w:r>
    </w:p>
    <w:p w14:paraId="596F2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严守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交接程序。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人员工作调动或者离职，必须与接管人员办清交接手续。</w:t>
      </w:r>
    </w:p>
    <w:p w14:paraId="5DC02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10.重视档案工作。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会计凭证、会计账簿、会计报表和其他会计资料，应按规定及时归档，并安排专人管理。</w:t>
      </w:r>
    </w:p>
    <w:p w14:paraId="616DA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C219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502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69F5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2A58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6E14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37BA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B907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299B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829D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797F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99C3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C70F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C0A0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C6DF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97" w:firstLineChars="1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1200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7" w:firstLineChars="15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湖南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省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财政会计基础管理十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>条</w:t>
      </w:r>
    </w:p>
    <w:p w14:paraId="34AF2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1" w:beforeLines="50"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（适用预算单位）</w:t>
      </w:r>
    </w:p>
    <w:p w14:paraId="40FF8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</w:p>
    <w:p w14:paraId="341FE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1.落实负责人法定责任。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单位负责人对本单位会计工作和会计资料的真实性、完整性负责，指定非资金岗定期、不定期抽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查银行对账单，核查账实一致性。</w:t>
      </w:r>
    </w:p>
    <w:p w14:paraId="10644FB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2.不相容岗位相分离。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会计与出纳、经办与复核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出纳与稽核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档案管理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收支登记等岗位相互分离，不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得兼任。</w:t>
      </w:r>
    </w:p>
    <w:p w14:paraId="28CADEF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3.妥善保管财务印章。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highlight w:val="none"/>
          <w:lang w:val="en-US" w:eastAsia="zh-CN"/>
        </w:rPr>
        <w:t>专人负责、分人分印管理印章，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任何人员不得统管、代管全部支付印章。</w:t>
      </w:r>
    </w:p>
    <w:p w14:paraId="260D1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kern w:val="2"/>
          <w:sz w:val="32"/>
          <w:szCs w:val="32"/>
          <w:lang w:val="en-US" w:eastAsia="zh-CN" w:bidi="ar-SA"/>
        </w:rPr>
        <w:t>4.严管安全认证工具。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资金支付所需的用户名、密码及U-key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不得交由他人使用，禁止任何人员实际掌握资金支付业务全部环节用户名、密码或U-key。</w:t>
      </w:r>
    </w:p>
    <w:p w14:paraId="28CB7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5.规范票据管理。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重要票据及凭证专人专柜管理，实行领用核销登记制度。</w:t>
      </w:r>
    </w:p>
    <w:p w14:paraId="6FEA4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6.定期开展内部对账。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建立账簿与实物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资料定期核对制度，确保账实、账证、账账、账表“四相符”。</w:t>
      </w:r>
    </w:p>
    <w:p w14:paraId="62897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7.强化单位间对账。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w w:val="100"/>
          <w:sz w:val="32"/>
          <w:szCs w:val="32"/>
          <w:lang w:val="en-US" w:eastAsia="zh-CN"/>
        </w:rPr>
        <w:t>预算单位应当至少：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①按月与银行对账；②按季与财政部门对账。</w:t>
      </w:r>
    </w:p>
    <w:p w14:paraId="13DE9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有计划开展轮岗。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一般不安排会计人员在同一岗位连续工作5年以上。</w:t>
      </w:r>
    </w:p>
    <w:p w14:paraId="4A472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严守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100"/>
          <w:sz w:val="32"/>
          <w:szCs w:val="32"/>
          <w:lang w:val="en-US" w:eastAsia="zh-CN"/>
        </w:rPr>
        <w:t>交接程序。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人员工作调动或者离职，必须与接管人员办清交接手续。</w:t>
      </w:r>
    </w:p>
    <w:p w14:paraId="69A45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9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w w:val="100"/>
          <w:sz w:val="32"/>
          <w:szCs w:val="32"/>
          <w:lang w:val="en-US" w:eastAsia="zh-CN"/>
        </w:rPr>
        <w:t>10.重视档案工作。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会计凭证、会计账簿、会计报表和其他会计资料，应按规定及时归档，并安排专人管理。</w:t>
      </w:r>
    </w:p>
    <w:p w14:paraId="19B37E8F">
      <w:pPr>
        <w:spacing w:line="600" w:lineRule="exact"/>
        <w:rPr>
          <w:rFonts w:hint="default" w:ascii="Times New Roman" w:hAnsi="Times New Roman" w:eastAsia="黑体" w:cs="Times New Roman"/>
          <w:szCs w:val="28"/>
        </w:rPr>
      </w:pPr>
    </w:p>
    <w:p w14:paraId="37DF6D6F">
      <w:bookmarkStart w:id="0" w:name="_GoBack"/>
      <w:bookmarkEnd w:id="0"/>
    </w:p>
    <w:sectPr>
      <w:footerReference r:id="rId3" w:type="default"/>
      <w:footerReference r:id="rId4" w:type="even"/>
      <w:pgSz w:w="11878" w:h="16783" w:orient="landscape"/>
      <w:pgMar w:top="1417" w:right="1587" w:bottom="1417" w:left="1587" w:header="851" w:footer="1134" w:gutter="0"/>
      <w:pgNumType w:fmt="numberInDash"/>
      <w:cols w:space="0" w:num="1"/>
      <w:docGrid w:type="linesAndChars" w:linePitch="597" w:charSpace="5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C87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2636520</wp:posOffset>
              </wp:positionH>
              <wp:positionV relativeFrom="paragraph">
                <wp:posOffset>104775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9E88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6pt;margin-top: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rOH1NcAAAAK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9E88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F4B362">
    <w:pPr>
      <w:pStyle w:val="2"/>
      <w:ind w:right="210" w:rightChars="10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3354132"/>
    </w:sdtPr>
    <w:sdtEndPr>
      <w:rPr>
        <w:sz w:val="28"/>
        <w:szCs w:val="28"/>
      </w:rPr>
    </w:sdtEndPr>
    <w:sdtContent>
      <w:p w14:paraId="3F462085">
        <w:pPr>
          <w:pStyle w:val="2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t xml:space="preserve">— 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55B08"/>
    <w:rsid w:val="60A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1450</Characters>
  <Lines>0</Lines>
  <Paragraphs>0</Paragraphs>
  <TotalTime>0</TotalTime>
  <ScaleCrop>false</ScaleCrop>
  <LinksUpToDate>false</LinksUpToDate>
  <CharactersWithSpaces>2028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2025-06-20T09:57:00Z</dcterms:created>
  <dc:creator>Administrator</dc:creator>
  <cp:lastModifiedBy>lewuo</cp:lastModifiedBy>
  <dcterms:modified xsi:type="dcterms:W3CDTF">2025-06-23T09:10:33Z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eyJoZGlkIjoiOGZkNGFhOWVkYjg0MzczNjllNmVmYWUxNmQyMjgxNjgiLCJ1c2VySWQiOiI0NDYyOTE3OTQifQ==</vt:lpwstr>
  </property>
  <property fmtid="{D5CDD505-2E9C-101B-9397-08002B2CF9AE}" pid="4" name="ICV">
    <vt:lpwstr>FFAD6D7ADB91449BB598A89957E95F55_12</vt:lpwstr>
  </property>
</Properties>
</file>