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1440" w:firstLineChars="200"/>
        <w:textAlignment w:val="auto"/>
        <w:rPr>
          <w:rFonts w:hint="eastAsia" w:ascii="方正小标宋简体" w:hAnsi="方正小标宋简体" w:eastAsia="方正小标宋简体" w:cs="方正小标宋简体"/>
          <w:sz w:val="72"/>
          <w:szCs w:val="7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1440" w:firstLineChars="200"/>
        <w:textAlignment w:val="auto"/>
        <w:rPr>
          <w:rFonts w:hint="eastAsia" w:ascii="方正小标宋简体" w:hAnsi="方正小标宋简体" w:eastAsia="方正小标宋简体" w:cs="方正小标宋简体"/>
          <w:sz w:val="72"/>
          <w:szCs w:val="7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1040" w:firstLineChars="200"/>
        <w:textAlignment w:val="auto"/>
        <w:rPr>
          <w:rFonts w:hint="eastAsia" w:ascii="方正小标宋简体" w:hAnsi="方正小标宋简体" w:eastAsia="方正小标宋简体" w:cs="方正小标宋简体"/>
          <w:sz w:val="52"/>
          <w:szCs w:val="5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1040" w:firstLineChars="200"/>
        <w:textAlignment w:val="auto"/>
        <w:rPr>
          <w:rFonts w:hint="eastAsia" w:ascii="方正小标宋简体" w:hAnsi="方正小标宋简体" w:eastAsia="方正小标宋简体" w:cs="方正小标宋简体"/>
          <w:sz w:val="52"/>
          <w:szCs w:val="5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1040" w:firstLineChars="200"/>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岳阳市供销合作联社2025年度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040" w:firstLineChars="200"/>
        <w:textAlignment w:val="auto"/>
        <w:rPr>
          <w:rFonts w:hint="eastAsia" w:ascii="方正小标宋简体" w:hAnsi="方正小标宋简体" w:eastAsia="方正小标宋简体" w:cs="方正小标宋简体"/>
          <w:sz w:val="52"/>
          <w:szCs w:val="5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3120" w:firstLineChars="600"/>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部门预算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rPr>
      </w:pPr>
      <w:r>
        <w:rPr>
          <w:rFonts w:hint="eastAsia"/>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目录</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第一部分  2025年部门预算说明</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  2025年部门预算公开表格</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1、收支总表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2、收入总表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3、支出总表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4、支出预算分类汇总表（按政府预算经济分类）</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5、支出预算分类汇总表（按部门预算经济分类）</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6、财政拨款收支总表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7、一般公共预算支出表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8、一般公共预算基本支出表-人员经费（工资福利支出）（按政府预算经济分类）</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9、一般公共预算基本支出表-人员经费（工资福利支出）（按部门预算经济分类）</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10、一般公共预算基本支出表-人员经费（对个人和家庭的补助）（按政府预算经济分类）</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11、一般公共预算基本支出表-人员经费（对个人和家庭的补助）（按部门预算经济分类）</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12、一般公共预算基本支出表-公用经费（商品和服务支出）（按政府预算经济分类）</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13、一般公共预算基本支出表-公用经费（商品和服务支出）（按部门预算经济分类）</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14、一般公共预算“三公”经费支出表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15、政府性基金预算支出表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16、政府性基金预算支出分类汇总表（按政府预算经济分类）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17、政府性基金预算支出分类汇总表（按部门预算经济分类）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18、国有资本经营预算支出表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19、财政专户管理资金预算支出表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20、专项资金预算汇总表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21、项目支出绩效目标表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22、部门整体支出绩效目标表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23、一般公共预算基本支出表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注：以上部门预算公开报表中，空表表示本部门无相关收支情况。</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rPr>
      </w:pPr>
      <w:r>
        <w:rPr>
          <w:rFonts w:hint="eastAsia"/>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200"/>
        <w:textAlignment w:val="auto"/>
        <w:rPr>
          <w:rFonts w:hint="eastAsia"/>
        </w:rPr>
      </w:pPr>
      <w:r>
        <w:rPr>
          <w:rFonts w:hint="eastAsia" w:ascii="方正小标宋简体" w:hAnsi="方正小标宋简体" w:eastAsia="方正小标宋简体" w:cs="方正小标宋简体"/>
          <w:sz w:val="36"/>
          <w:szCs w:val="36"/>
        </w:rPr>
        <w:t>第一部分  2025年部门预算说明</w:t>
      </w:r>
      <w:r>
        <w:rPr>
          <w:rFonts w:hint="eastAsia" w:ascii="方正小标宋简体" w:hAnsi="方正小标宋简体" w:eastAsia="方正小标宋简体" w:cs="方正小标宋简体"/>
          <w:sz w:val="36"/>
          <w:szCs w:val="36"/>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ascii="黑体" w:hAnsi="黑体" w:eastAsia="黑体" w:cs="黑体"/>
          <w:sz w:val="32"/>
          <w:szCs w:val="32"/>
        </w:rPr>
        <w:t xml:space="preserve"> 一、部门基本概况</w:t>
      </w:r>
      <w:r>
        <w:rPr>
          <w:rFonts w:hint="eastAsia" w:ascii="黑体" w:hAnsi="黑体" w:eastAsia="黑体" w:cs="黑体"/>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ascii="楷体" w:hAnsi="楷体" w:eastAsia="楷体" w:cs="楷体"/>
          <w:sz w:val="32"/>
          <w:szCs w:val="32"/>
        </w:rPr>
        <w:t>（一）职能职责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（1）宣传、贯彻党和政府及上级供销社有关农村经济工作的方针、政策、法规和《社章》。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（2）负责综合分析供销社经济发展状况，研究制定全市供销社的发展战略和规划，指导全市供销社的发展与改革。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（3）按照政府授权和市场经济的要求，对重要农业生产资料和农副产品、烟花爆竹经营进行组织、协调、管理。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（4）指导各级供销社的业务活动，促进全市城乡物资交流，建立和完善农业社会化服务体系。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（5）围绕农业、农村、农民的需要，组织实施以农产品加工为主的社办工业体系建设。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（6）对市直供销社企业行使经营管理职能，并按照资产保值增值的要求，对社有资产进行监督管理。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（7）组织全市供销社干部、职工业务培训；检查、指导本系统的队伍建设。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（8）承办市委、市政府、省供销社交办的其他工作。</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 xml:space="preserve">  （二）机构设置</w:t>
      </w:r>
      <w:r>
        <w:rPr>
          <w:rFonts w:hint="eastAsia" w:ascii="楷体" w:hAnsi="楷体" w:eastAsia="楷体" w:cs="楷体"/>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ascii="仿宋_GB2312" w:hAnsi="仿宋_GB2312" w:eastAsia="仿宋_GB2312" w:cs="仿宋_GB2312"/>
          <w:sz w:val="32"/>
          <w:szCs w:val="32"/>
        </w:rPr>
        <w:t>根据编委核定，本单位内设7个科室，二级机构 1 个，全部纳入202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年部门预算编制范围。内设科室分别是：办公室、人事科、财务科、合作指导科、经贸发展科、社有资产管理科、审计科；二级机构：岳阳市供销社新农村服务网络中心。 </w:t>
      </w:r>
      <w:r>
        <w:rPr>
          <w:rFonts w:hint="eastAsia"/>
        </w:rPr>
        <w:t xml:space="preserve">                          </w:t>
      </w:r>
      <w:r>
        <w:rPr>
          <w:rFonts w:hint="eastAsia"/>
        </w:rPr>
        <w:tab/>
      </w:r>
      <w:r>
        <w:rPr>
          <w:rFonts w:hint="eastAsia" w:ascii="黑体" w:hAnsi="黑体" w:eastAsia="黑体" w:cs="黑体"/>
          <w:sz w:val="32"/>
          <w:szCs w:val="32"/>
        </w:rPr>
        <w:t xml:space="preserve"> 二、部门预算构成</w:t>
      </w:r>
      <w:r>
        <w:rPr>
          <w:rFonts w:hint="eastAsia" w:ascii="黑体" w:hAnsi="黑体" w:eastAsia="黑体" w:cs="黑体"/>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 xml:space="preserve"> 本部门预算为汇总预算，纳入编制范围的预算单位包括：</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1、岳阳市供销合作联社本级</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2、岳阳市供销社新农村服务网络中心（财务未独立）</w:t>
      </w:r>
      <w:r>
        <w:rPr>
          <w:rFonts w:hint="eastAsia" w:ascii="仿宋_GB2312" w:hAnsi="仿宋_GB2312" w:eastAsia="仿宋_GB2312" w:cs="仿宋_GB2312"/>
          <w:sz w:val="32"/>
          <w:szCs w:val="32"/>
        </w:rPr>
        <w:tab/>
      </w:r>
      <w:r>
        <w:rPr>
          <w:rFonts w:hint="eastAsia" w:ascii="黑体" w:hAnsi="黑体" w:eastAsia="黑体" w:cs="黑体"/>
          <w:sz w:val="32"/>
          <w:szCs w:val="32"/>
        </w:rPr>
        <w:t xml:space="preserve">  三、部门收支总体情况</w:t>
      </w:r>
      <w:r>
        <w:rPr>
          <w:rFonts w:hint="eastAsia" w:ascii="黑体" w:hAnsi="黑体" w:eastAsia="黑体" w:cs="黑体"/>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本部门2025年没有政府性基金预算拨款、国有资本经营预算收入和纳入专户管理的非税收</w:t>
      </w:r>
      <w:bookmarkStart w:id="0" w:name="_GoBack"/>
      <w:bookmarkEnd w:id="0"/>
      <w:r>
        <w:rPr>
          <w:rFonts w:hint="eastAsia" w:ascii="仿宋_GB2312" w:hAnsi="仿宋_GB2312" w:eastAsia="仿宋_GB2312" w:cs="仿宋_GB2312"/>
          <w:sz w:val="32"/>
          <w:szCs w:val="32"/>
        </w:rPr>
        <w:t>入拨款收入，也没有使用政府性基金预算拨款、国有资本经营预算收入和纳入专户管理的非税收入拨款安排的支出，所以公开的附件15、16、17、18、19表均为空。</w:t>
      </w:r>
      <w:r>
        <w:rPr>
          <w:rFonts w:hint="eastAsia" w:ascii="仿宋_GB2312" w:hAnsi="仿宋_GB2312" w:eastAsia="仿宋_GB2312" w:cs="仿宋_GB2312"/>
          <w:sz w:val="32"/>
          <w:szCs w:val="32"/>
        </w:rPr>
        <w:tab/>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收入预算</w:t>
      </w:r>
      <w:r>
        <w:rPr>
          <w:rFonts w:hint="eastAsia" w:ascii="楷体" w:hAnsi="楷体" w:eastAsia="楷体" w:cs="楷体"/>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包括一般公共预算、政府性基金、国有资本经营预算等财政拨款收入，以及经营收入、事业收入等单位资金。2025年度本部门收入预算764.09万元，其中，一般公共预算拨款764.09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部门2025年收入较去年增加34.81万元，主要是因为2025年增加了日常工作经费项目资金30万元，且与上年相比预算编制人数增加1人。</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（二）支出预算</w:t>
      </w:r>
      <w:r>
        <w:rPr>
          <w:rFonts w:hint="eastAsia" w:ascii="楷体" w:hAnsi="楷体" w:eastAsia="楷体" w:cs="楷体"/>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本部门支出预算764.09万元，其中，201一般公共服务支出31.40万元，208社会保障和就业支出56.46万元，210卫生健康支出28.51万元，216商业服务业等支出610.02万元，221住房保障支出37.70万元，支出较去年增加34.81万元，主要是因为2025年增加了日常工作经费项目资金30万元，且与上年相比预算编制人数增加1人。</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四、一般公共预算拨款支出预算</w:t>
      </w:r>
      <w:r>
        <w:rPr>
          <w:rFonts w:hint="eastAsia" w:ascii="黑体" w:hAnsi="黑体" w:eastAsia="黑体" w:cs="黑体"/>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2025年一般公共预算拨款支出预算764.09万元，其中，201一般公共服务支出31.40万元，占4.11%；208社会保障和就业支出56.46万元，占7.39%；210卫生健康支出28.51万元，占3.73%；216商业服务业等支出610.02万元，占79.84%；221住房保障支出37.70万元，占4.93%；具体安排情况如下：</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 w:hAnsi="楷体" w:eastAsia="楷体" w:cs="楷体"/>
          <w:sz w:val="32"/>
          <w:szCs w:val="32"/>
        </w:rPr>
        <w:t>（一）基本支出：</w:t>
      </w:r>
      <w:r>
        <w:rPr>
          <w:rFonts w:hint="eastAsia" w:ascii="仿宋_GB2312" w:hAnsi="仿宋_GB2312" w:eastAsia="仿宋_GB2312" w:cs="仿宋_GB2312"/>
          <w:sz w:val="32"/>
          <w:szCs w:val="32"/>
        </w:rPr>
        <w:t>2025年基本支出年初预算数为732.69万元（数据来源见表23），是指为保障单位机构正常运转、完成日常工作任务而发生的各项支出，包括用于基本工资、津贴补贴等人员经费以及办公费、印刷费、水电费、差旅费等日常公用经费。</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 w:hAnsi="楷体" w:eastAsia="楷体" w:cs="楷体"/>
          <w:sz w:val="32"/>
          <w:szCs w:val="32"/>
        </w:rPr>
        <w:t>（二）项目支出：</w:t>
      </w:r>
      <w:r>
        <w:rPr>
          <w:rFonts w:hint="eastAsia" w:ascii="仿宋_GB2312" w:hAnsi="仿宋_GB2312" w:eastAsia="仿宋_GB2312" w:cs="仿宋_GB2312"/>
          <w:sz w:val="32"/>
          <w:szCs w:val="32"/>
        </w:rPr>
        <w:t>2025年项目支出年初预算数为31.40万元（数据来源见表20），是指部门为完成特定行政工作任务或事业发展目标而发生的支出，包括有关业务工作经费、运行维护经费、其他事业发展资金等。其中：非税执收经费专项支出1.40万元，主要用于保障非税收入税款缴纳等方面,日常工作经费专项支出30.00万元，主要用于保障日常工作</w:t>
      </w:r>
      <w:r>
        <w:rPr>
          <w:rFonts w:hint="eastAsia" w:ascii="仿宋_GB2312" w:hAnsi="仿宋_GB2312" w:eastAsia="仿宋_GB2312" w:cs="仿宋_GB2312"/>
          <w:sz w:val="32"/>
          <w:szCs w:val="32"/>
          <w:lang w:val="en-US" w:eastAsia="zh-CN"/>
        </w:rPr>
        <w:t>和机关正常运转</w:t>
      </w:r>
      <w:r>
        <w:rPr>
          <w:rFonts w:hint="eastAsia" w:ascii="仿宋_GB2312" w:hAnsi="仿宋_GB2312" w:eastAsia="仿宋_GB2312" w:cs="仿宋_GB2312"/>
          <w:sz w:val="32"/>
          <w:szCs w:val="32"/>
        </w:rPr>
        <w:t>等方面。</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五、政府性基金预算支出</w:t>
      </w:r>
      <w:r>
        <w:rPr>
          <w:rFonts w:hint="eastAsia" w:ascii="黑体" w:hAnsi="黑体" w:eastAsia="黑体" w:cs="黑体"/>
          <w:sz w:val="32"/>
          <w:szCs w:val="32"/>
        </w:rPr>
        <w:tab/>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2025年度本部门无政府性基金安排的支出，所以公开的附件15-17（政府性基金预算）为空。</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六、其他重要事项的情况说明</w:t>
      </w:r>
      <w:r>
        <w:rPr>
          <w:rFonts w:hint="eastAsia" w:ascii="黑体" w:hAnsi="黑体" w:eastAsia="黑体" w:cs="黑体"/>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（一）机关运行经费</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本部门2025年机关运行经费当年一般公共预算拨款115.44万元（数据来源见表12），比上一年增加5.26万元，增加4.78%。主要原因是与上年相比预算编制人数增加1人。</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（二）“三公”经费预算</w:t>
      </w:r>
      <w:r>
        <w:rPr>
          <w:rFonts w:hint="eastAsia" w:ascii="楷体" w:hAnsi="楷体" w:eastAsia="楷体" w:cs="楷体"/>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2025年“三公”经费预算数9万元（数据来源见表14），其中，公务接待费4万元，因公出国（境）费0.00万元，公务用车购置及运行费5.00万元（其中，公务用车购置费0.00万元，公务用车运行费5.00万元）。2025年三公经费预算较上年增加0万元，主要原因是落实“过紧日子”，厉行节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（三）一般性支出情况</w:t>
      </w:r>
      <w:r>
        <w:rPr>
          <w:rFonts w:hint="eastAsia" w:ascii="楷体" w:hAnsi="楷体" w:eastAsia="楷体" w:cs="楷体"/>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本部门2025年会议费预算3.00万元（数据来源见表13会议费、培训费）</w:t>
      </w:r>
      <w:r>
        <w:rPr>
          <w:rFonts w:hint="eastAsia" w:ascii="仿宋_GB2312" w:hAnsi="仿宋_GB2312" w:eastAsia="仿宋_GB2312" w:cs="仿宋_GB2312"/>
          <w:sz w:val="32"/>
          <w:szCs w:val="32"/>
        </w:rPr>
        <w:t>，拟召开5次会议，人数300人，内容为第二届理事会第五次全体会议暨第二届监事会第五次全体会议、统计、财务、业务工作会议、半年度讲评会等；培训费预算0.00万元，拟开展0次培训，人数0人；计划举办节庆、晚会、论坛、赛事活动0万元。2025年度本部门未计划安排培训，未计划举办节庆、晚会、论坛、赛事活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政府采购情况</w:t>
      </w:r>
      <w:r>
        <w:rPr>
          <w:rFonts w:hint="eastAsia" w:ascii="楷体" w:hAnsi="楷体" w:eastAsia="楷体" w:cs="楷体"/>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本部门2025年政府采购预算总额35.94万元，其中工程类0万元，货物类15.2万元，服务类20.74万元。</w:t>
      </w:r>
      <w:r>
        <w:rPr>
          <w:rFonts w:hint="eastAsia" w:ascii="仿宋_GB2312" w:hAnsi="仿宋_GB2312" w:eastAsia="仿宋_GB2312" w:cs="仿宋_GB2312"/>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（五）国有资产占有使用及新增资产配置情况</w:t>
      </w:r>
      <w:r>
        <w:rPr>
          <w:rFonts w:hint="eastAsia" w:ascii="楷体" w:hAnsi="楷体" w:eastAsia="楷体" w:cs="楷体"/>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截至上年底，本部门共有车辆1辆，其中领导干部用车0辆，一般公务用车0辆，其他用车1辆。单位价值50万元以上通用设备0台，单位价值100万元以上专用设备0台。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拟报废处置车辆0辆，其中：报废处置领导干部用车0辆，报废处置一般公务用车0辆，报废处置其他用车0辆，报废处置单位价值50万元以上通用设备0台，报废处置单位价值100万元以上通用设备0台。拟新增配置车辆0辆，其中领导干部用车0辆，一般公务用车0辆，其他用车0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2025年拟新增配备领导干部用车0辆，一般公务用车0辆，其他用车0辆，新增配备单位价值50万元以上通用设备0台，单位价值100万元以上专用设备0台。2025年度本部门未计划处置或新增车辆、设备等。</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（六）预算绩效目标说明</w:t>
      </w:r>
      <w:r>
        <w:rPr>
          <w:rFonts w:hint="eastAsia" w:ascii="楷体" w:hAnsi="楷体" w:eastAsia="楷体" w:cs="楷体"/>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本部门所有支出实行绩效目标管理。纳入2025年部门整体支出绩效目标的金额为764.09万元，其中，基本支出732.69万元，项目支出31.40万元，详见文尾附表中部门预算公开表格的表21-22。</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七、名词解释</w:t>
      </w:r>
      <w:r>
        <w:rPr>
          <w:rFonts w:hint="eastAsia" w:ascii="黑体" w:hAnsi="黑体" w:eastAsia="黑体" w:cs="黑体"/>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三公”经费：纳入财政预算管理的“三公“经费，是指用一般公共预算拨款安排的公务接待费、公务用车购置及运行维护费和因公出国（境）费。其中，公务接待费反映部门按规定开支的各类公务接待支出；公务用车购置及运行费反映部门公务用车车辆购置支出（含车辆购置税），以及燃料费、维修费、保险费等支出；因公出国（境）费反映部门公务出国（境）的国际旅费、国外城市间交通费、食宿费等支出。</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32"/>
          <w:szCs w:val="32"/>
        </w:rPr>
        <w:t>第二部分  2025年部门预算公开表格</w:t>
      </w:r>
      <w:r>
        <w:rPr>
          <w:rFonts w:hint="eastAsia" w:ascii="方正小标宋简体" w:hAnsi="方正小标宋简体" w:eastAsia="方正小标宋简体" w:cs="方正小标宋简体"/>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1、收支总表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2、收入总表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3、支出总表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4、支出预算分类汇总表（按政府预算经济分类）</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5、支出预算分类汇总表（按部门预算经济分类）</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6、财政拨款收支总表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7、一般公共预算支出表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8、一般公共预算基本支出表-人员经费（工资福利支出）（按政府预算经济分类）</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9、一般公共预算基本支出表-人员经费（工资福利支出）（按部门预算经济分类）</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10、一般公共预算基本支出表-人员经费（对个人和家庭的补助）（按政府预算经济分类）</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11、一般公共预算基本支出表-人员经费（对个人和家庭的补助）（按部门预算经济分类）</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12、一般公共预算基本支出表-公用经费（商品和服务支出）（按政府预算经济分类）</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13、一般公共预算基本支出表-公用经费（商品和服务支出）（按部门预算经济分类）</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14、一般公共预算“三公”经费支出表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15、政府性基金预算支出表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16、政府性基金预算支出分类汇总表（按政府预算经济分类）</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17、政府性基金预算支出分类汇总表（按部门预算经济分类）</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18、国有资本经营预算支出表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19、财政专户管理资金预算支出表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20、专项资金预算汇总表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21、项目支出绩效目标表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22、部门整体支出绩效目标表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23、一般公共预算基本支出表</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注：以上部门预算公开报表中，空表表示本部门无相关收支情况。</w:t>
      </w:r>
      <w:r>
        <w:rPr>
          <w:rFonts w:hint="eastAsia" w:ascii="仿宋_GB2312" w:hAnsi="仿宋_GB2312" w:eastAsia="仿宋_GB2312" w:cs="仿宋_GB2312"/>
          <w:sz w:val="32"/>
          <w:szCs w:val="32"/>
        </w:rPr>
        <w:tab/>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6CA74"/>
    <w:multiLevelType w:val="singleLevel"/>
    <w:tmpl w:val="9296CA74"/>
    <w:lvl w:ilvl="0" w:tentative="0">
      <w:start w:val="4"/>
      <w:numFmt w:val="chineseCounting"/>
      <w:suff w:val="nothing"/>
      <w:lvlText w:val="（%1）"/>
      <w:lvlJc w:val="left"/>
      <w:rPr>
        <w:rFonts w:hint="eastAsia"/>
      </w:rPr>
    </w:lvl>
  </w:abstractNum>
  <w:abstractNum w:abstractNumId="1">
    <w:nsid w:val="C76F2D62"/>
    <w:multiLevelType w:val="singleLevel"/>
    <w:tmpl w:val="C76F2D62"/>
    <w:lvl w:ilvl="0" w:tentative="0">
      <w:start w:val="1"/>
      <w:numFmt w:val="chineseCounting"/>
      <w:suff w:val="nothing"/>
      <w:lvlText w:val="（%1）"/>
      <w:lvlJc w:val="left"/>
      <w:pPr>
        <w:ind w:left="32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776C7"/>
    <w:rsid w:val="0B877F44"/>
    <w:rsid w:val="734B5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411</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2025-04-08T03:28:00Z</dcterms:created>
  <dc:creator>pc</dc:creator>
  <cp:lastModifiedBy>三叶草</cp:lastModifiedBy>
  <cp:lastPrinted>2025-04-08T03:49:00Z</cp:lastPrinted>
  <dcterms:modified xsi:type="dcterms:W3CDTF">2025-04-09T07:14:30Z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A2C23551DE0C44B79C8C3C26BC787778</vt:lpwstr>
  </property>
</Properties>
</file>