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F48537">
      <w:pPr>
        <w:pStyle w:val="14"/>
        <w:jc w:val="center"/>
        <w:rPr>
          <w:rFonts w:hint="eastAsia" w:eastAsia="黑体"/>
          <w:sz w:val="56"/>
          <w:szCs w:val="56"/>
          <w:lang w:eastAsia="zh-CN"/>
        </w:rPr>
      </w:pPr>
    </w:p>
    <w:p w14:paraId="5C0FBEE4">
      <w:pPr>
        <w:pStyle w:val="14"/>
        <w:jc w:val="center"/>
        <w:rPr>
          <w:sz w:val="56"/>
          <w:szCs w:val="56"/>
        </w:rPr>
      </w:pPr>
    </w:p>
    <w:p w14:paraId="6C9B7525">
      <w:pPr>
        <w:pStyle w:val="14"/>
        <w:jc w:val="center"/>
        <w:rPr>
          <w:sz w:val="84"/>
          <w:szCs w:val="84"/>
        </w:rPr>
      </w:pPr>
    </w:p>
    <w:p w14:paraId="608283BC">
      <w:pPr>
        <w:pStyle w:val="14"/>
        <w:jc w:val="center"/>
        <w:rPr>
          <w:sz w:val="84"/>
          <w:szCs w:val="84"/>
        </w:rPr>
      </w:pPr>
    </w:p>
    <w:p w14:paraId="11AD70FB">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3</w:t>
      </w:r>
      <w:r>
        <w:rPr>
          <w:rFonts w:hint="eastAsia" w:ascii="方正小标宋_GBK" w:hAnsi="方正小标宋_GBK" w:eastAsia="方正小标宋_GBK" w:cs="方正小标宋_GBK"/>
          <w:sz w:val="84"/>
          <w:szCs w:val="84"/>
        </w:rPr>
        <w:t>年度</w:t>
      </w:r>
    </w:p>
    <w:p w14:paraId="49FE8357">
      <w:pPr>
        <w:pStyle w:val="14"/>
        <w:jc w:val="center"/>
        <w:rPr>
          <w:rFonts w:hint="eastAsia" w:ascii="方正小标宋_GBK" w:hAnsi="方正小标宋_GBK" w:eastAsia="方正小标宋_GBK" w:cs="方正小标宋_GBK"/>
          <w:sz w:val="84"/>
          <w:szCs w:val="84"/>
          <w:lang w:val="en-US" w:eastAsia="zh-CN"/>
        </w:rPr>
      </w:pPr>
      <w:r>
        <w:rPr>
          <w:rFonts w:hint="eastAsia" w:ascii="方正小标宋_GBK" w:hAnsi="方正小标宋_GBK" w:eastAsia="方正小标宋_GBK" w:cs="方正小标宋_GBK"/>
          <w:sz w:val="84"/>
          <w:szCs w:val="84"/>
          <w:lang w:eastAsia="zh-CN"/>
        </w:rPr>
        <w:t>岳</w:t>
      </w:r>
      <w:r>
        <w:rPr>
          <w:rFonts w:hint="eastAsia" w:ascii="方正小标宋_GBK" w:hAnsi="方正小标宋_GBK" w:eastAsia="方正小标宋_GBK" w:cs="方正小标宋_GBK"/>
          <w:sz w:val="84"/>
          <w:szCs w:val="84"/>
          <w:lang w:val="en-US" w:eastAsia="zh-CN"/>
        </w:rPr>
        <w:t>阳市卫生健康委员会</w:t>
      </w:r>
    </w:p>
    <w:p w14:paraId="257F9B98">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w:t>
      </w:r>
    </w:p>
    <w:p w14:paraId="75E304EE">
      <w:pPr>
        <w:pStyle w:val="14"/>
        <w:jc w:val="center"/>
        <w:rPr>
          <w:rFonts w:hint="eastAsia" w:ascii="方正小标宋_GBK" w:hAnsi="方正小标宋_GBK" w:eastAsia="方正小标宋_GBK" w:cs="方正小标宋_GBK"/>
          <w:sz w:val="56"/>
          <w:szCs w:val="56"/>
        </w:rPr>
      </w:pPr>
    </w:p>
    <w:p w14:paraId="131A6EF1">
      <w:pPr>
        <w:pStyle w:val="14"/>
        <w:jc w:val="center"/>
        <w:rPr>
          <w:sz w:val="56"/>
          <w:szCs w:val="56"/>
        </w:rPr>
      </w:pPr>
    </w:p>
    <w:p w14:paraId="000A78C3">
      <w:pPr>
        <w:pStyle w:val="14"/>
        <w:jc w:val="center"/>
        <w:rPr>
          <w:sz w:val="56"/>
          <w:szCs w:val="56"/>
        </w:rPr>
      </w:pPr>
    </w:p>
    <w:p w14:paraId="4451483B">
      <w:pPr>
        <w:pStyle w:val="14"/>
        <w:jc w:val="center"/>
        <w:rPr>
          <w:sz w:val="56"/>
          <w:szCs w:val="56"/>
        </w:rPr>
      </w:pPr>
    </w:p>
    <w:p w14:paraId="2D6F2FE9">
      <w:pPr>
        <w:pStyle w:val="14"/>
        <w:jc w:val="center"/>
        <w:rPr>
          <w:sz w:val="32"/>
          <w:szCs w:val="32"/>
        </w:rPr>
      </w:pPr>
    </w:p>
    <w:p w14:paraId="389DE0B8">
      <w:pPr>
        <w:pStyle w:val="14"/>
        <w:jc w:val="center"/>
        <w:rPr>
          <w:sz w:val="32"/>
          <w:szCs w:val="32"/>
        </w:rPr>
      </w:pPr>
    </w:p>
    <w:p w14:paraId="1AA70F0D">
      <w:pPr>
        <w:pStyle w:val="14"/>
        <w:jc w:val="center"/>
        <w:rPr>
          <w:sz w:val="32"/>
          <w:szCs w:val="32"/>
        </w:rPr>
      </w:pPr>
    </w:p>
    <w:p w14:paraId="6A7C30A3">
      <w:pPr>
        <w:pStyle w:val="14"/>
        <w:jc w:val="center"/>
        <w:rPr>
          <w:sz w:val="32"/>
          <w:szCs w:val="32"/>
        </w:rPr>
      </w:pPr>
    </w:p>
    <w:p w14:paraId="408A2F04">
      <w:pPr>
        <w:pStyle w:val="14"/>
        <w:jc w:val="center"/>
        <w:rPr>
          <w:sz w:val="32"/>
          <w:szCs w:val="32"/>
        </w:rPr>
      </w:pPr>
    </w:p>
    <w:p w14:paraId="0FD0F18C">
      <w:pPr>
        <w:pStyle w:val="14"/>
        <w:spacing w:line="540" w:lineRule="exact"/>
        <w:jc w:val="center"/>
        <w:rPr>
          <w:sz w:val="56"/>
          <w:szCs w:val="56"/>
        </w:rPr>
      </w:pPr>
    </w:p>
    <w:p w14:paraId="4FC6D294">
      <w:pPr>
        <w:pStyle w:val="14"/>
        <w:spacing w:line="500" w:lineRule="exact"/>
        <w:jc w:val="both"/>
        <w:rPr>
          <w:b/>
          <w:sz w:val="36"/>
          <w:szCs w:val="28"/>
        </w:rPr>
      </w:pPr>
    </w:p>
    <w:p w14:paraId="0D2571AF">
      <w:pPr>
        <w:pStyle w:val="14"/>
        <w:spacing w:line="500" w:lineRule="exact"/>
        <w:jc w:val="center"/>
        <w:rPr>
          <w:b/>
          <w:sz w:val="36"/>
          <w:szCs w:val="28"/>
        </w:rPr>
      </w:pPr>
      <w:r>
        <w:rPr>
          <w:rFonts w:hint="eastAsia"/>
          <w:b/>
          <w:sz w:val="36"/>
          <w:szCs w:val="28"/>
        </w:rPr>
        <w:t>目录</w:t>
      </w:r>
    </w:p>
    <w:p w14:paraId="7AA5B136">
      <w:pPr>
        <w:pStyle w:val="14"/>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val="en-US" w:eastAsia="zh-CN"/>
        </w:rPr>
        <w:t>岳阳市卫生健康委员会</w:t>
      </w:r>
      <w:r>
        <w:rPr>
          <w:rFonts w:hint="eastAsia" w:ascii="黑体" w:hAnsi="黑体" w:eastAsia="黑体" w:cs="黑体"/>
          <w:b w:val="0"/>
          <w:bCs/>
          <w:sz w:val="28"/>
          <w:szCs w:val="28"/>
        </w:rPr>
        <w:t>概况</w:t>
      </w:r>
    </w:p>
    <w:p w14:paraId="21973497">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14:paraId="405DD6A8">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二、机构设置</w:t>
      </w:r>
    </w:p>
    <w:p w14:paraId="1452CDD3">
      <w:pPr>
        <w:pStyle w:val="14"/>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14:paraId="4087307A">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14:paraId="284B49B5">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14:paraId="31C2F1C9">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14:paraId="31C47E7B">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14:paraId="7235B47D">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14:paraId="4297E103">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14:paraId="37C70E2C">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14:paraId="6B02CFFD">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14:paraId="34579C6F">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14:paraId="49A0D716">
      <w:pPr>
        <w:pStyle w:val="14"/>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14:paraId="7D39716E">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14:paraId="6E281DA3">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14:paraId="1BDE9FBD">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14:paraId="755E78EB">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14:paraId="4E0D2F4C">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14:paraId="04EC5BA4">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14:paraId="743D0B60">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七、政府性基金预算收入支出决算情况</w:t>
      </w:r>
    </w:p>
    <w:p w14:paraId="7ADB2B08">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w:t>
      </w:r>
      <w:r>
        <w:rPr>
          <w:rFonts w:hint="eastAsia" w:ascii="仿宋_GB2312" w:hAnsi="仿宋_GB2312" w:eastAsia="仿宋_GB2312" w:cs="仿宋_GB2312"/>
          <w:sz w:val="28"/>
          <w:szCs w:val="28"/>
        </w:rPr>
        <w:t>国有资本经营预算财政拨款支出决算</w:t>
      </w:r>
      <w:r>
        <w:rPr>
          <w:rFonts w:hint="eastAsia" w:ascii="仿宋_GB2312" w:hAnsi="仿宋_GB2312" w:eastAsia="仿宋_GB2312" w:cs="仿宋_GB2312"/>
          <w:sz w:val="28"/>
          <w:szCs w:val="28"/>
          <w:lang w:eastAsia="zh-CN"/>
        </w:rPr>
        <w:t>情况</w:t>
      </w:r>
    </w:p>
    <w:p w14:paraId="587E51C2">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九、财政拨款三公经费支出决算情况说明</w:t>
      </w:r>
    </w:p>
    <w:p w14:paraId="2E8C9837">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十、关于机关运行经费支出说明</w:t>
      </w:r>
    </w:p>
    <w:p w14:paraId="66102821">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十一、一般性支出情况说明</w:t>
      </w:r>
    </w:p>
    <w:p w14:paraId="291DF372">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十二、</w:t>
      </w:r>
      <w:r>
        <w:rPr>
          <w:rFonts w:hint="eastAsia" w:ascii="仿宋_GB2312" w:hAnsi="仿宋_GB2312" w:eastAsia="仿宋_GB2312" w:cs="仿宋_GB2312"/>
          <w:color w:val="000000"/>
          <w:kern w:val="0"/>
          <w:sz w:val="28"/>
          <w:szCs w:val="28"/>
        </w:rPr>
        <w:t>关于政府采购支出说明</w:t>
      </w:r>
    </w:p>
    <w:p w14:paraId="7615D8C2">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十三、关于国有资产占用情况说明</w:t>
      </w:r>
    </w:p>
    <w:p w14:paraId="3B72D9E3">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SA"/>
        </w:rPr>
        <w:t>十四、</w:t>
      </w:r>
      <w:r>
        <w:rPr>
          <w:rFonts w:hint="eastAsia" w:ascii="仿宋_GB2312" w:hAnsi="仿宋_GB2312" w:eastAsia="仿宋_GB2312" w:cs="仿宋_GB2312"/>
          <w:sz w:val="28"/>
          <w:szCs w:val="28"/>
        </w:rPr>
        <w:t>关于</w:t>
      </w:r>
      <w:r>
        <w:rPr>
          <w:rFonts w:hint="default" w:ascii="Times New Roman" w:hAnsi="Times New Roman" w:eastAsia="仿宋_GB2312" w:cs="Times New Roman"/>
          <w:sz w:val="28"/>
          <w:szCs w:val="28"/>
        </w:rPr>
        <w:t>202</w:t>
      </w:r>
      <w:r>
        <w:rPr>
          <w:rFonts w:hint="default" w:ascii="Times New Roman" w:hAnsi="Times New Roman" w:eastAsia="仿宋_GB2312" w:cs="Times New Roman"/>
          <w:sz w:val="28"/>
          <w:szCs w:val="28"/>
          <w:lang w:val="en-US" w:eastAsia="zh-CN"/>
        </w:rPr>
        <w:t>3</w:t>
      </w:r>
      <w:r>
        <w:rPr>
          <w:rFonts w:hint="eastAsia" w:ascii="仿宋_GB2312" w:hAnsi="仿宋_GB2312" w:eastAsia="仿宋_GB2312" w:cs="仿宋_GB2312"/>
          <w:sz w:val="28"/>
          <w:szCs w:val="28"/>
        </w:rPr>
        <w:t>年度</w:t>
      </w:r>
      <w:r>
        <w:rPr>
          <w:rFonts w:hint="eastAsia" w:ascii="仿宋_GB2312" w:hAnsi="仿宋_GB2312" w:eastAsia="仿宋_GB2312" w:cs="仿宋_GB2312"/>
          <w:sz w:val="28"/>
          <w:szCs w:val="28"/>
          <w:lang w:eastAsia="zh-CN"/>
        </w:rPr>
        <w:t>预算</w:t>
      </w:r>
      <w:r>
        <w:rPr>
          <w:rFonts w:hint="eastAsia" w:ascii="仿宋_GB2312" w:hAnsi="仿宋_GB2312" w:eastAsia="仿宋_GB2312" w:cs="仿宋_GB2312"/>
          <w:sz w:val="28"/>
          <w:szCs w:val="28"/>
        </w:rPr>
        <w:t>绩效情况的说明</w:t>
      </w:r>
    </w:p>
    <w:p w14:paraId="2F5B12DF">
      <w:pPr>
        <w:pStyle w:val="14"/>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14:paraId="1EC01592">
      <w:pPr>
        <w:pStyle w:val="14"/>
        <w:spacing w:line="500" w:lineRule="exact"/>
        <w:rPr>
          <w:rFonts w:hint="eastAsia" w:ascii="黑体" w:hAnsi="黑体" w:eastAsia="黑体" w:cs="黑体"/>
          <w:b w:val="0"/>
          <w:bCs/>
          <w:sz w:val="28"/>
          <w:szCs w:val="28"/>
          <w:lang w:eastAsia="zh-CN"/>
        </w:rPr>
      </w:pPr>
      <w:r>
        <w:rPr>
          <w:rFonts w:hint="eastAsia" w:ascii="黑体" w:hAnsi="黑体" w:eastAsia="黑体" w:cs="黑体"/>
          <w:b w:val="0"/>
          <w:bCs/>
          <w:sz w:val="28"/>
          <w:szCs w:val="28"/>
        </w:rPr>
        <w:t>第</w:t>
      </w:r>
      <w:r>
        <w:rPr>
          <w:rFonts w:hint="eastAsia" w:hAnsi="黑体" w:cs="黑体"/>
          <w:b w:val="0"/>
          <w:bCs/>
          <w:sz w:val="28"/>
          <w:szCs w:val="28"/>
          <w:lang w:eastAsia="zh-CN"/>
        </w:rPr>
        <w:t>五</w:t>
      </w:r>
      <w:r>
        <w:rPr>
          <w:rFonts w:hint="eastAsia" w:ascii="黑体" w:hAnsi="黑体" w:eastAsia="黑体" w:cs="黑体"/>
          <w:b w:val="0"/>
          <w:bCs/>
          <w:sz w:val="28"/>
          <w:szCs w:val="28"/>
        </w:rPr>
        <w:t>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附件</w:t>
      </w:r>
    </w:p>
    <w:p w14:paraId="1B3199B0">
      <w:pPr>
        <w:pStyle w:val="14"/>
        <w:jc w:val="center"/>
        <w:rPr>
          <w:rFonts w:hint="eastAsia" w:ascii="方正小标宋_GBK" w:hAnsi="方正小标宋_GBK" w:eastAsia="方正小标宋_GBK" w:cs="方正小标宋_GBK"/>
          <w:sz w:val="84"/>
          <w:szCs w:val="84"/>
        </w:rPr>
      </w:pPr>
    </w:p>
    <w:p w14:paraId="1B51D4AC">
      <w:pPr>
        <w:pStyle w:val="14"/>
        <w:jc w:val="center"/>
        <w:rPr>
          <w:rFonts w:hint="eastAsia" w:ascii="方正小标宋_GBK" w:hAnsi="方正小标宋_GBK" w:eastAsia="方正小标宋_GBK" w:cs="方正小标宋_GBK"/>
          <w:sz w:val="84"/>
          <w:szCs w:val="84"/>
        </w:rPr>
      </w:pPr>
    </w:p>
    <w:p w14:paraId="4F9FCA3F">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14:paraId="447A1C9B">
      <w:pPr>
        <w:pStyle w:val="14"/>
        <w:jc w:val="center"/>
        <w:rPr>
          <w:rFonts w:hint="eastAsia" w:ascii="方正小标宋_GBK" w:hAnsi="方正小标宋_GBK" w:eastAsia="方正小标宋_GBK" w:cs="方正小标宋_GBK"/>
          <w:sz w:val="84"/>
          <w:szCs w:val="84"/>
        </w:rPr>
      </w:pPr>
    </w:p>
    <w:p w14:paraId="2667E353">
      <w:pPr>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val="en-US" w:eastAsia="zh-CN"/>
        </w:rPr>
        <w:t>岳阳市卫生健康委员会</w:t>
      </w:r>
      <w:r>
        <w:rPr>
          <w:rFonts w:hint="eastAsia" w:ascii="方正小标宋_GBK" w:hAnsi="方正小标宋_GBK" w:eastAsia="方正小标宋_GBK" w:cs="方正小标宋_GBK"/>
          <w:sz w:val="84"/>
          <w:szCs w:val="84"/>
        </w:rPr>
        <w:t>概况</w:t>
      </w:r>
    </w:p>
    <w:p w14:paraId="302529EC">
      <w:pPr>
        <w:pStyle w:val="7"/>
        <w:rPr>
          <w:rFonts w:hint="eastAsia" w:ascii="方正小标宋_GBK" w:hAnsi="方正小标宋_GBK" w:eastAsia="方正小标宋_GBK" w:cs="方正小标宋_GBK"/>
          <w:sz w:val="84"/>
          <w:szCs w:val="84"/>
        </w:rPr>
      </w:pPr>
    </w:p>
    <w:p w14:paraId="72521B02">
      <w:pPr>
        <w:pStyle w:val="8"/>
        <w:rPr>
          <w:rFonts w:hint="eastAsia" w:ascii="方正小标宋_GBK" w:hAnsi="方正小标宋_GBK" w:eastAsia="方正小标宋_GBK" w:cs="方正小标宋_GBK"/>
          <w:sz w:val="84"/>
          <w:szCs w:val="84"/>
        </w:rPr>
      </w:pPr>
    </w:p>
    <w:p w14:paraId="5D6D3E60">
      <w:pPr>
        <w:rPr>
          <w:rFonts w:hint="eastAsia" w:ascii="方正小标宋_GBK" w:hAnsi="方正小标宋_GBK" w:eastAsia="方正小标宋_GBK" w:cs="方正小标宋_GBK"/>
          <w:sz w:val="84"/>
          <w:szCs w:val="84"/>
        </w:rPr>
      </w:pPr>
    </w:p>
    <w:p w14:paraId="0EF70A6D">
      <w:pPr>
        <w:pStyle w:val="15"/>
        <w:numPr>
          <w:ilvl w:val="0"/>
          <w:numId w:val="0"/>
        </w:numPr>
        <w:ind w:leftChars="0"/>
        <w:jc w:val="left"/>
        <w:rPr>
          <w:rFonts w:hint="eastAsia" w:ascii="黑体" w:hAnsi="黑体" w:eastAsia="黑体" w:cs="黑体"/>
          <w:b w:val="0"/>
          <w:bCs w:val="0"/>
          <w:sz w:val="32"/>
          <w:szCs w:val="32"/>
        </w:rPr>
      </w:pPr>
    </w:p>
    <w:p w14:paraId="1DCAA2F3">
      <w:pPr>
        <w:pStyle w:val="15"/>
        <w:keepNext w:val="0"/>
        <w:keepLines w:val="0"/>
        <w:pageBreakBefore w:val="0"/>
        <w:numPr>
          <w:ilvl w:val="0"/>
          <w:numId w:val="0"/>
        </w:numPr>
        <w:kinsoku/>
        <w:wordWrap/>
        <w:overflowPunct/>
        <w:topLinePunct w:val="0"/>
        <w:autoSpaceDE/>
        <w:autoSpaceDN/>
        <w:bidi w:val="0"/>
        <w:adjustRightInd/>
        <w:snapToGrid/>
        <w:ind w:firstLine="640" w:firstLineChars="200"/>
        <w:jc w:val="left"/>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lang w:val="en-US" w:eastAsia="zh-CN"/>
        </w:rPr>
        <w:t>一、</w:t>
      </w:r>
      <w:r>
        <w:rPr>
          <w:rFonts w:hint="eastAsia" w:ascii="黑体" w:hAnsi="黑体" w:eastAsia="黑体" w:cs="黑体"/>
          <w:b w:val="0"/>
          <w:bCs w:val="0"/>
          <w:sz w:val="32"/>
          <w:szCs w:val="32"/>
        </w:rPr>
        <w:t>部门职责</w:t>
      </w:r>
    </w:p>
    <w:p w14:paraId="79DBBC66">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一）贯彻执行国民健康政策及国家和省关于卫生健康工作的方针政策和法律法规，拟订并组织实施全市卫生健康政策、规划，组织实施国家、省卫生健康地方标准和技术规范。统筹规划全市卫生健康服务资源配置，指导区域卫生健康规划的编制和实施。制定并组织实施推进卫生健康基本公共服务均等化、普惠化、便捷化和公共资源向基层延伸等政策措施。</w:t>
      </w:r>
    </w:p>
    <w:p w14:paraId="579E46B7">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二）协调推进全市深化医药卫生体制改革，研究提出全市深化医药卫生体制改革政策、措施的建议。组织深化公立医院综合改革，推进管办分离，健全现代医院管理制度。制定并组织实施推动卫生健康公共服务提供主体多元化、提供方式多样化的政策措施，提出医疗服务和药品价格政策的建议。</w:t>
      </w:r>
    </w:p>
    <w:p w14:paraId="7F0DAD3F">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三）制定并组织落实全市疾病预防控制规划、免疫规划以及严重危害人民健康公共卫生问题的干预措施。负责卫生应急工作，组织指导全市突发公共卫生事件预防控制和各类突发公共事件的医疗卫生救援。承担传染病疫情信息上报工作，发布突发公共卫生事件应急处置信息。</w:t>
      </w:r>
    </w:p>
    <w:p w14:paraId="3D93D0BA">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（四）组织拟订并协调落实应对人口老龄化政策措施，推进老年健康服务体系建设和医养结合工作。</w:t>
      </w:r>
    </w:p>
    <w:p w14:paraId="34BC21C8">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（五）贯彻执行国家药物政策和国家基本药物制度，开展药品使用监测、临床综合评价和短缺药品预警。组织开展食品安全风险监测，负责食源性疾病及与食品安全事故有关的流行病学调查。</w:t>
      </w:r>
    </w:p>
    <w:p w14:paraId="3E91A55A">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（六）负责职责范围内的职业卫生、放射卫生、环境卫生、学校卫生、公共场所卫生、饮用水卫生等公共卫生的监督管理。负责传染病防治监督，健全卫生健康综合监督体系。</w:t>
      </w:r>
    </w:p>
    <w:p w14:paraId="1B1F165F">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七）制定全市医疗机构、医疗服务行业管理办法并监督实施，建立医疗服务评价和监督管理体系。会同有关部门实施卫生健康专业技术人员资格标准。制定并组织实施医疗服务规范、标准和卫生健康专业技术人员执业规则、服务规范。</w:t>
      </w:r>
    </w:p>
    <w:p w14:paraId="4BA34A3F">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（八）负责计划生育管理和服务工作，开展人口监测预警，研究提出人口与家庭发展相关政策建议，提出完善计划生育政策建议。</w:t>
      </w:r>
    </w:p>
    <w:p w14:paraId="665EB7DB">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（九）指导全市卫生健康工作，指导基层医疗卫生、妇幼健康服务体系建设，加强全科医生队伍建设。推进卫生健康科技创新发展。</w:t>
      </w:r>
    </w:p>
    <w:p w14:paraId="6542C958">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（十）负责全市健康教育、健康促进和卫生健康信息化建设等工作。组织实施国际、港澳台的交流合作与援外工作。</w:t>
      </w:r>
    </w:p>
    <w:p w14:paraId="720A418F">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（十一）负责市保健对象的医疗保健工作，负责重要来宾、重要会议与重大活动的医疗卫生保障工作,指导全市保健工作。</w:t>
      </w:r>
    </w:p>
    <w:p w14:paraId="499E813F">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（十二）指导市计划生育协会的业务工作。</w:t>
      </w:r>
    </w:p>
    <w:p w14:paraId="44E21B6F">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（十三）完成市委、市政府交办的其他事项。</w:t>
      </w:r>
    </w:p>
    <w:p w14:paraId="4E06CFF8">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十四）职能转变。市卫健委应当牢固树立大卫生、大健康理念，推动实施健康岳阳战略，以改革创新为动力，以促健康、转模式、强基层、重保障为着力点，把以治病为中心转变到以人民健康为中心，为人民群众提供全方位全周期健康服务。一是更加注重预防为主和健康促进，加强预防控制重大疾病工作，积极应对人口老龄化，健全健康服务体系。二是更加注重工作重心下移和资源下沉，推进卫生健康公共资源向基层延伸、向农村覆盖、向边远地区和生活困难群众倾斜。三是更加注重提高服务质量和水平，推进卫生健康基本公共服务均等化、普惠化、便捷化。四是协调推进深化医药卫生体制改革，加大公立医院改革力度，推进管办分离，推动卫生健康公共服务提供主体多元化、提供方式多样化。</w:t>
      </w:r>
    </w:p>
    <w:p w14:paraId="322935DE">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（十五）有关职责分工</w:t>
      </w:r>
    </w:p>
    <w:p w14:paraId="05B257E4">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1．与市发改委的有关职责分工。市卫健委负责开展人口监测预警工作，研究提出与生育相关的人口数量、素质、结构、分布方面的政策建议，促进生育政策和相关经济社会政策配套衔接，参与制定全市人口发展规划和政策，落实国家、省和全市人口发展规划中的有关任务。市发改委负责组织监测和评估人口变动情况及趋势影响，建立人口预测预报制度，开展重大决策人口影响评估，完善重大人口政策咨询机制，研究提出全市人口发展战略，拟订人口发展规划和人口政策，研究提出人口与经济、社会、资源、环境协调可持续发展，以及统筹促进人口长期均衡发展的政策建议。</w:t>
      </w:r>
    </w:p>
    <w:p w14:paraId="78301238">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2．与市民政局的有关职责分工。市卫健委负责拟订应对人口老龄化、医养结合政策措施，综合协调、督促指导、组织推进老龄事业发展，承担老年疾病防治、老年人医疗照护、老年人心理健康与关怀服务等老年健康工作。市民政局负责统筹推进、督促指导、监督管理养老服务工作，起草养老服务地方性法规草案、拟订养老服务体系建设规划、政策、标准并组织实施，承担老年人福利和特殊困难老年人救助工作。</w:t>
      </w:r>
    </w:p>
    <w:p w14:paraId="6C377761">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3．与岳阳海关的有关职责分工。市卫健委负责传染病总体防治和突发公共卫生事件应急工作。市卫健委与岳阳海关建立健全应对口岸传染病疫情和公共卫生事件合作机制、传染病疫情和公共卫生事件通报交流机制、口岸输入性疫情通报和协作处理机制。</w:t>
      </w:r>
    </w:p>
    <w:p w14:paraId="141D8D26">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4．与市市场监管局的有关职责分工。市卫健委负责食品安全风险监测工作，会同市市场监管局等部门制定、实施食品安全风险监测计划。市卫健委对通过食品安全风险监测或者接到举报发现食品可能存在安全隐患的，应当及时将相关信息通报市市场监管局等部门，市市场监管局等部门应当立即采取措施。市市场监管局等部门在监督管理工作中发现需要进行食品安全风险评估的，应当及时向市卫健委提出建议。市市场监管局会同市卫健委建立重大药品不良反应和医疗器械不良事件相互通报机制和联合处置机制。</w:t>
      </w:r>
    </w:p>
    <w:p w14:paraId="07D945C3">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5．与市医保局的有关职责分工。市卫健委、市医保局等部门在医疗、医保、医药等方面加强制度、政策衔接，建立沟通协商机制，协同推进改革，提高医疗资源使用效率和医疗保障水平。</w:t>
      </w:r>
    </w:p>
    <w:p w14:paraId="463B1E3F">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14:paraId="4FEE7FCA">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（一）内设机构设置。</w:t>
      </w:r>
    </w:p>
    <w:p w14:paraId="298CA955">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lang w:eastAsia="zh-CN"/>
        </w:rPr>
        <w:t>岳阳市卫生健康委员会</w:t>
      </w:r>
      <w:r>
        <w:rPr>
          <w:rFonts w:hint="eastAsia" w:ascii="Times New Roman" w:hAnsi="Times New Roman" w:eastAsia="仿宋_GB2312" w:cs="仿宋_GB2312"/>
          <w:bCs/>
          <w:kern w:val="0"/>
          <w:sz w:val="32"/>
          <w:szCs w:val="32"/>
        </w:rPr>
        <w:t>内设机构包括：</w:t>
      </w:r>
    </w:p>
    <w:p w14:paraId="181124F3">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1、办公室。2、规划发展与信息化科；3、疾病预防控制与职业健康科（市血吸虫病防治办公室、市防治艾滋病工作委员会办公室）。4、医政医管科。5、基层卫生健康科。6、卫生应急办公室（突发公共卫生事件应急指挥中心）。7、科技教育科。8、法规与综合监督科（行政审批科、食品安全标准与监测科）。9、药物政策与基本药物制度科。10、中医药管理科（中医药管理局）。11、老龄健康科（市老龄工作委员会办公室）。12、妇幼健康科。13、人口监测与家庭发展科。14、 爱国卫生工作科（市爱国卫生运动委员会办公室）。15、宣传科。16、财务科（审计科）。17、人事科。18、机关党委（纪委）。19、离退休人员管理服务科（干部保健科）。</w:t>
      </w:r>
    </w:p>
    <w:p w14:paraId="63B77AC0">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（二）决算单位构成。</w:t>
      </w:r>
    </w:p>
    <w:p w14:paraId="0DBAB1DD">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lang w:eastAsia="zh-CN"/>
        </w:rPr>
        <w:t>岳阳市卫生健康委员会</w:t>
      </w:r>
      <w:r>
        <w:rPr>
          <w:rFonts w:hint="eastAsia" w:ascii="Times New Roman" w:hAnsi="Times New Roman" w:eastAsia="仿宋_GB2312" w:cs="仿宋_GB2312"/>
          <w:bCs/>
          <w:kern w:val="0"/>
          <w:sz w:val="32"/>
          <w:szCs w:val="32"/>
        </w:rPr>
        <w:t>20</w:t>
      </w:r>
      <w:r>
        <w:rPr>
          <w:rFonts w:hint="eastAsia" w:ascii="Times New Roman" w:hAnsi="Times New Roman" w:eastAsia="仿宋_GB2312" w:cs="仿宋_GB2312"/>
          <w:bCs/>
          <w:kern w:val="0"/>
          <w:sz w:val="32"/>
          <w:szCs w:val="32"/>
          <w:lang w:val="en-US" w:eastAsia="zh-CN"/>
        </w:rPr>
        <w:t>22</w:t>
      </w:r>
      <w:r>
        <w:rPr>
          <w:rFonts w:hint="eastAsia" w:ascii="Times New Roman" w:hAnsi="Times New Roman" w:eastAsia="仿宋_GB2312" w:cs="仿宋_GB2312"/>
          <w:bCs/>
          <w:kern w:val="0"/>
          <w:sz w:val="32"/>
          <w:szCs w:val="32"/>
        </w:rPr>
        <w:t>年部门决算汇总公开单位构成包括：1、岳阳市卫生健康委</w:t>
      </w:r>
      <w:r>
        <w:rPr>
          <w:rFonts w:hint="eastAsia" w:ascii="Times New Roman" w:hAnsi="Times New Roman" w:eastAsia="仿宋_GB2312" w:cs="仿宋_GB2312"/>
          <w:bCs/>
          <w:kern w:val="0"/>
          <w:sz w:val="32"/>
          <w:szCs w:val="32"/>
          <w:lang w:eastAsia="zh-CN"/>
        </w:rPr>
        <w:t>员会</w:t>
      </w:r>
      <w:r>
        <w:rPr>
          <w:rFonts w:hint="eastAsia" w:ascii="Times New Roman" w:hAnsi="Times New Roman" w:eastAsia="仿宋_GB2312" w:cs="仿宋_GB2312"/>
          <w:bCs/>
          <w:kern w:val="0"/>
          <w:sz w:val="32"/>
          <w:szCs w:val="32"/>
        </w:rPr>
        <w:t>本级；2、岳阳市</w:t>
      </w:r>
      <w:r>
        <w:rPr>
          <w:rFonts w:hint="eastAsia" w:ascii="Times New Roman" w:hAnsi="Times New Roman" w:eastAsia="仿宋_GB2312" w:cs="仿宋_GB2312"/>
          <w:bCs/>
          <w:kern w:val="0"/>
          <w:sz w:val="32"/>
          <w:szCs w:val="32"/>
          <w:lang w:eastAsia="zh-CN"/>
        </w:rPr>
        <w:t>中心</w:t>
      </w:r>
      <w:r>
        <w:rPr>
          <w:rFonts w:hint="eastAsia" w:ascii="Times New Roman" w:hAnsi="Times New Roman" w:eastAsia="仿宋_GB2312" w:cs="仿宋_GB2312"/>
          <w:bCs/>
          <w:kern w:val="0"/>
          <w:sz w:val="32"/>
          <w:szCs w:val="32"/>
        </w:rPr>
        <w:t>医院；3、岳阳市人民医院；4、岳阳市中医院；5、岳阳市妇幼保健院；6、岳阳市</w:t>
      </w:r>
      <w:r>
        <w:rPr>
          <w:rFonts w:hint="eastAsia" w:ascii="Times New Roman" w:hAnsi="Times New Roman" w:eastAsia="仿宋_GB2312" w:cs="仿宋_GB2312"/>
          <w:bCs/>
          <w:kern w:val="0"/>
          <w:sz w:val="32"/>
          <w:szCs w:val="32"/>
          <w:lang w:val="en-US" w:eastAsia="zh-CN"/>
        </w:rPr>
        <w:t>疾病预防控制</w:t>
      </w:r>
      <w:r>
        <w:rPr>
          <w:rFonts w:hint="eastAsia" w:ascii="Times New Roman" w:hAnsi="Times New Roman" w:eastAsia="仿宋_GB2312" w:cs="仿宋_GB2312"/>
          <w:bCs/>
          <w:kern w:val="0"/>
          <w:sz w:val="32"/>
          <w:szCs w:val="32"/>
        </w:rPr>
        <w:t>中心；7、岳阳市中心血站；</w:t>
      </w:r>
      <w:r>
        <w:rPr>
          <w:rFonts w:hint="eastAsia" w:ascii="Times New Roman" w:hAnsi="Times New Roman" w:eastAsia="仿宋_GB2312" w:cs="仿宋_GB2312"/>
          <w:bCs/>
          <w:kern w:val="0"/>
          <w:sz w:val="32"/>
          <w:szCs w:val="32"/>
          <w:lang w:val="en-US" w:eastAsia="zh-CN"/>
        </w:rPr>
        <w:t>8</w:t>
      </w:r>
      <w:r>
        <w:rPr>
          <w:rFonts w:hint="eastAsia" w:ascii="Times New Roman" w:hAnsi="Times New Roman" w:eastAsia="仿宋_GB2312" w:cs="仿宋_GB2312"/>
          <w:bCs/>
          <w:kern w:val="0"/>
          <w:sz w:val="32"/>
          <w:szCs w:val="32"/>
        </w:rPr>
        <w:t>、</w:t>
      </w:r>
      <w:r>
        <w:rPr>
          <w:rFonts w:hint="eastAsia" w:ascii="Times New Roman" w:hAnsi="Times New Roman" w:eastAsia="仿宋_GB2312" w:cs="仿宋_GB2312"/>
          <w:bCs/>
          <w:kern w:val="0"/>
          <w:sz w:val="32"/>
          <w:szCs w:val="32"/>
          <w:lang w:val="en-US" w:eastAsia="zh-CN"/>
        </w:rPr>
        <w:t>岳阳市卫生计生综合监督执法局。</w:t>
      </w:r>
    </w:p>
    <w:p w14:paraId="2F83A1D6">
      <w:pPr>
        <w:pStyle w:val="14"/>
        <w:jc w:val="center"/>
        <w:rPr>
          <w:rFonts w:hint="eastAsia" w:ascii="方正小标宋_GBK" w:hAnsi="方正小标宋_GBK" w:eastAsia="方正小标宋_GBK" w:cs="方正小标宋_GBK"/>
          <w:sz w:val="84"/>
          <w:szCs w:val="84"/>
        </w:rPr>
      </w:pPr>
    </w:p>
    <w:p w14:paraId="209BD175">
      <w:pPr>
        <w:pStyle w:val="14"/>
        <w:jc w:val="center"/>
        <w:rPr>
          <w:rFonts w:hint="eastAsia" w:ascii="方正小标宋_GBK" w:hAnsi="方正小标宋_GBK" w:eastAsia="方正小标宋_GBK" w:cs="方正小标宋_GBK"/>
          <w:sz w:val="84"/>
          <w:szCs w:val="84"/>
        </w:rPr>
      </w:pPr>
    </w:p>
    <w:p w14:paraId="04C1A57B">
      <w:pPr>
        <w:pStyle w:val="14"/>
        <w:jc w:val="both"/>
        <w:rPr>
          <w:rFonts w:hint="eastAsia" w:ascii="方正小标宋_GBK" w:hAnsi="方正小标宋_GBK" w:eastAsia="方正小标宋_GBK" w:cs="方正小标宋_GBK"/>
          <w:sz w:val="84"/>
          <w:szCs w:val="84"/>
        </w:rPr>
      </w:pPr>
    </w:p>
    <w:p w14:paraId="775EC74F">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14:paraId="7FA19E4B">
      <w:pPr>
        <w:pStyle w:val="14"/>
        <w:jc w:val="center"/>
        <w:rPr>
          <w:rFonts w:hint="eastAsia" w:ascii="方正小标宋_GBK" w:hAnsi="方正小标宋_GBK" w:eastAsia="方正小标宋_GBK" w:cs="方正小标宋_GBK"/>
          <w:sz w:val="84"/>
          <w:szCs w:val="84"/>
        </w:rPr>
      </w:pPr>
    </w:p>
    <w:p w14:paraId="698D9BE0">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14:paraId="04E979D3">
      <w:pPr>
        <w:pStyle w:val="14"/>
        <w:jc w:val="center"/>
        <w:rPr>
          <w:rFonts w:hint="eastAsia" w:ascii="仿宋_GB2312" w:hAnsi="仿宋_GB2312" w:eastAsia="仿宋_GB2312" w:cs="仿宋_GB2312"/>
          <w:b w:val="0"/>
          <w:bCs w:val="0"/>
          <w:sz w:val="72"/>
          <w:szCs w:val="72"/>
          <w:lang w:eastAsia="zh-CN"/>
        </w:rPr>
      </w:pPr>
      <w:r>
        <w:rPr>
          <w:rFonts w:hint="eastAsia" w:ascii="仿宋_GB2312" w:hAnsi="仿宋_GB2312" w:eastAsia="仿宋_GB2312" w:cs="仿宋_GB2312"/>
          <w:b w:val="0"/>
          <w:bCs w:val="0"/>
          <w:sz w:val="72"/>
          <w:szCs w:val="72"/>
          <w:lang w:eastAsia="zh-CN"/>
        </w:rPr>
        <w:t>（见附件）</w:t>
      </w:r>
    </w:p>
    <w:p w14:paraId="075B9CDA">
      <w:pPr>
        <w:pStyle w:val="14"/>
        <w:jc w:val="center"/>
        <w:rPr>
          <w:rFonts w:hint="eastAsia" w:ascii="仿宋_GB2312" w:hAnsi="仿宋_GB2312" w:eastAsia="仿宋_GB2312" w:cs="仿宋_GB2312"/>
          <w:b w:val="0"/>
          <w:bCs w:val="0"/>
          <w:sz w:val="72"/>
          <w:szCs w:val="72"/>
          <w:lang w:eastAsia="zh-CN"/>
        </w:rPr>
      </w:pPr>
    </w:p>
    <w:p w14:paraId="320D995D">
      <w:pPr>
        <w:pStyle w:val="14"/>
        <w:jc w:val="center"/>
        <w:rPr>
          <w:rFonts w:hint="eastAsia" w:ascii="仿宋_GB2312" w:hAnsi="仿宋_GB2312" w:eastAsia="仿宋_GB2312" w:cs="仿宋_GB2312"/>
          <w:b w:val="0"/>
          <w:bCs w:val="0"/>
          <w:sz w:val="72"/>
          <w:szCs w:val="72"/>
          <w:lang w:eastAsia="zh-CN"/>
        </w:rPr>
      </w:pPr>
    </w:p>
    <w:p w14:paraId="63565E98">
      <w:pPr>
        <w:pStyle w:val="14"/>
        <w:jc w:val="center"/>
        <w:rPr>
          <w:rFonts w:hint="eastAsia" w:ascii="仿宋_GB2312" w:hAnsi="仿宋_GB2312" w:eastAsia="仿宋_GB2312" w:cs="仿宋_GB2312"/>
          <w:b w:val="0"/>
          <w:bCs w:val="0"/>
          <w:sz w:val="72"/>
          <w:szCs w:val="72"/>
          <w:lang w:eastAsia="zh-CN"/>
        </w:rPr>
      </w:pPr>
    </w:p>
    <w:p w14:paraId="781EC93D">
      <w:pPr>
        <w:pStyle w:val="14"/>
        <w:jc w:val="center"/>
        <w:rPr>
          <w:rFonts w:hint="eastAsia" w:ascii="仿宋_GB2312" w:hAnsi="仿宋_GB2312" w:eastAsia="仿宋_GB2312" w:cs="仿宋_GB2312"/>
          <w:b w:val="0"/>
          <w:bCs w:val="0"/>
          <w:sz w:val="72"/>
          <w:szCs w:val="72"/>
          <w:lang w:eastAsia="zh-CN"/>
        </w:rPr>
      </w:pPr>
    </w:p>
    <w:p w14:paraId="70D1F408">
      <w:pPr>
        <w:pStyle w:val="14"/>
        <w:jc w:val="center"/>
        <w:rPr>
          <w:rFonts w:hint="eastAsia" w:ascii="仿宋_GB2312" w:hAnsi="仿宋_GB2312" w:eastAsia="仿宋_GB2312" w:cs="仿宋_GB2312"/>
          <w:b w:val="0"/>
          <w:bCs w:val="0"/>
          <w:sz w:val="72"/>
          <w:szCs w:val="72"/>
          <w:lang w:eastAsia="zh-CN"/>
        </w:rPr>
      </w:pPr>
    </w:p>
    <w:p w14:paraId="2573034F">
      <w:pPr>
        <w:pStyle w:val="14"/>
        <w:jc w:val="center"/>
        <w:rPr>
          <w:rFonts w:hint="eastAsia" w:ascii="仿宋_GB2312" w:hAnsi="仿宋_GB2312" w:eastAsia="仿宋_GB2312" w:cs="仿宋_GB2312"/>
          <w:b w:val="0"/>
          <w:bCs w:val="0"/>
          <w:sz w:val="72"/>
          <w:szCs w:val="72"/>
          <w:lang w:eastAsia="zh-CN"/>
        </w:rPr>
      </w:pPr>
    </w:p>
    <w:p w14:paraId="55F3D097">
      <w:pPr>
        <w:pStyle w:val="14"/>
        <w:jc w:val="center"/>
        <w:rPr>
          <w:rFonts w:hint="eastAsia" w:ascii="仿宋_GB2312" w:hAnsi="仿宋_GB2312" w:eastAsia="仿宋_GB2312" w:cs="仿宋_GB2312"/>
          <w:b w:val="0"/>
          <w:bCs w:val="0"/>
          <w:sz w:val="72"/>
          <w:szCs w:val="72"/>
          <w:lang w:eastAsia="zh-CN"/>
        </w:rPr>
      </w:pPr>
    </w:p>
    <w:p w14:paraId="1BD6FD66">
      <w:pPr>
        <w:pStyle w:val="14"/>
        <w:jc w:val="center"/>
        <w:rPr>
          <w:rFonts w:hint="eastAsia" w:ascii="方正小标宋_GBK" w:hAnsi="方正小标宋_GBK" w:eastAsia="方正小标宋_GBK" w:cs="方正小标宋_GBK"/>
          <w:sz w:val="72"/>
          <w:szCs w:val="72"/>
        </w:rPr>
      </w:pPr>
    </w:p>
    <w:p w14:paraId="5EA83A8F">
      <w:pPr>
        <w:pStyle w:val="14"/>
        <w:jc w:val="center"/>
        <w:rPr>
          <w:rFonts w:hint="eastAsia" w:ascii="方正小标宋_GBK" w:hAnsi="方正小标宋_GBK" w:eastAsia="方正小标宋_GBK" w:cs="方正小标宋_GBK"/>
          <w:sz w:val="72"/>
          <w:szCs w:val="72"/>
        </w:rPr>
      </w:pPr>
    </w:p>
    <w:p w14:paraId="115B58D6">
      <w:pPr>
        <w:pStyle w:val="14"/>
        <w:jc w:val="both"/>
        <w:rPr>
          <w:rFonts w:hint="eastAsia" w:ascii="方正小标宋_GBK" w:hAnsi="方正小标宋_GBK" w:eastAsia="方正小标宋_GBK" w:cs="方正小标宋_GBK"/>
          <w:sz w:val="72"/>
          <w:szCs w:val="72"/>
        </w:rPr>
      </w:pPr>
    </w:p>
    <w:p w14:paraId="14C3E12E">
      <w:pPr>
        <w:pStyle w:val="14"/>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14:paraId="6AE8E11F">
      <w:pPr>
        <w:pStyle w:val="14"/>
        <w:jc w:val="center"/>
        <w:rPr>
          <w:rFonts w:hint="eastAsia" w:ascii="方正小标宋_GBK" w:hAnsi="方正小标宋_GBK" w:eastAsia="方正小标宋_GBK" w:cs="方正小标宋_GBK"/>
          <w:sz w:val="70"/>
          <w:szCs w:val="70"/>
        </w:rPr>
      </w:pPr>
    </w:p>
    <w:p w14:paraId="7FC990B2">
      <w:pPr>
        <w:pStyle w:val="14"/>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3</w:t>
      </w:r>
      <w:r>
        <w:rPr>
          <w:rFonts w:hint="eastAsia" w:ascii="方正小标宋_GBK" w:hAnsi="方正小标宋_GBK" w:eastAsia="方正小标宋_GBK" w:cs="方正小标宋_GBK"/>
          <w:sz w:val="70"/>
          <w:szCs w:val="70"/>
        </w:rPr>
        <w:t>年度部门决算情况说明</w:t>
      </w:r>
    </w:p>
    <w:p w14:paraId="03E5F34A">
      <w:pPr>
        <w:pStyle w:val="14"/>
        <w:jc w:val="center"/>
        <w:rPr>
          <w:rFonts w:hint="eastAsia" w:ascii="方正小标宋_GBK" w:hAnsi="方正小标宋_GBK" w:eastAsia="方正小标宋_GBK" w:cs="方正小标宋_GBK"/>
          <w:sz w:val="70"/>
          <w:szCs w:val="70"/>
        </w:rPr>
      </w:pPr>
    </w:p>
    <w:p w14:paraId="57DBAC4B">
      <w:pPr>
        <w:pStyle w:val="14"/>
        <w:jc w:val="center"/>
        <w:rPr>
          <w:rFonts w:hint="eastAsia" w:ascii="方正小标宋_GBK" w:hAnsi="方正小标宋_GBK" w:eastAsia="方正小标宋_GBK" w:cs="方正小标宋_GBK"/>
          <w:sz w:val="70"/>
          <w:szCs w:val="70"/>
        </w:rPr>
      </w:pPr>
    </w:p>
    <w:p w14:paraId="43FF0280">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说明：</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由于</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决算编制时</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明细</w:t>
      </w:r>
      <w:r>
        <w:rPr>
          <w:rFonts w:hint="eastAsia" w:ascii="仿宋_GB2312" w:hAnsi="仿宋_GB2312" w:eastAsia="仿宋_GB2312" w:cs="仿宋_GB2312"/>
          <w:sz w:val="32"/>
          <w:szCs w:val="32"/>
          <w:lang w:eastAsia="zh-CN"/>
        </w:rPr>
        <w:t>至“金额单位：元</w:t>
      </w:r>
      <w:r>
        <w:rPr>
          <w:rFonts w:hint="eastAsia" w:ascii="仿宋_GB2312" w:hAnsi="仿宋_GB2312" w:eastAsia="仿宋_GB2312" w:cs="仿宋_GB2312"/>
          <w:sz w:val="32"/>
          <w:szCs w:val="32"/>
        </w:rPr>
        <w:t>”，而</w:t>
      </w:r>
      <w:r>
        <w:rPr>
          <w:rFonts w:hint="eastAsia" w:ascii="仿宋_GB2312" w:hAnsi="仿宋_GB2312" w:eastAsia="仿宋_GB2312" w:cs="仿宋_GB2312"/>
          <w:sz w:val="32"/>
          <w:szCs w:val="32"/>
          <w:lang w:eastAsia="zh-CN"/>
        </w:rPr>
        <w:t>本套部门决算文字说明</w:t>
      </w:r>
      <w:r>
        <w:rPr>
          <w:rFonts w:hint="eastAsia" w:ascii="仿宋_GB2312" w:hAnsi="仿宋_GB2312" w:eastAsia="仿宋_GB2312" w:cs="仿宋_GB2312"/>
          <w:sz w:val="32"/>
          <w:szCs w:val="32"/>
        </w:rPr>
        <w:t>和公开表格</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取数</w:t>
      </w:r>
      <w:r>
        <w:rPr>
          <w:rFonts w:hint="eastAsia" w:ascii="仿宋_GB2312" w:hAnsi="仿宋_GB2312" w:eastAsia="仿宋_GB2312" w:cs="仿宋_GB2312"/>
          <w:sz w:val="32"/>
          <w:szCs w:val="32"/>
          <w:lang w:eastAsia="zh-CN"/>
        </w:rPr>
        <w:t>转换为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金额单位：</w:t>
      </w:r>
      <w:r>
        <w:rPr>
          <w:rFonts w:hint="eastAsia" w:ascii="仿宋_GB2312" w:hAnsi="仿宋_GB2312" w:eastAsia="仿宋_GB2312" w:cs="仿宋_GB2312"/>
          <w:sz w:val="32"/>
          <w:szCs w:val="32"/>
        </w:rPr>
        <w:t>万元”，可能导致</w:t>
      </w:r>
      <w:r>
        <w:rPr>
          <w:rFonts w:hint="eastAsia" w:ascii="仿宋_GB2312" w:hAnsi="仿宋_GB2312" w:eastAsia="仿宋_GB2312" w:cs="仿宋_GB2312"/>
          <w:sz w:val="32"/>
          <w:szCs w:val="32"/>
          <w:lang w:eastAsia="zh-CN"/>
        </w:rPr>
        <w:t>以下文字说明中的各项数据取数以及公开</w:t>
      </w:r>
      <w:r>
        <w:rPr>
          <w:rFonts w:hint="eastAsia" w:ascii="仿宋_GB2312" w:hAnsi="仿宋_GB2312" w:eastAsia="仿宋_GB2312" w:cs="仿宋_GB2312"/>
          <w:sz w:val="32"/>
          <w:szCs w:val="32"/>
        </w:rPr>
        <w:t>表格</w:t>
      </w:r>
      <w:r>
        <w:rPr>
          <w:rFonts w:hint="eastAsia" w:ascii="仿宋_GB2312" w:hAnsi="仿宋_GB2312" w:eastAsia="仿宋_GB2312" w:cs="仿宋_GB2312"/>
          <w:sz w:val="32"/>
          <w:szCs w:val="32"/>
          <w:lang w:eastAsia="zh-CN"/>
        </w:rPr>
        <w:t>中的各项数据取数之间存在</w:t>
      </w:r>
      <w:r>
        <w:rPr>
          <w:rFonts w:hint="eastAsia" w:ascii="仿宋_GB2312" w:hAnsi="仿宋_GB2312" w:eastAsia="仿宋_GB2312" w:cs="仿宋_GB2312"/>
          <w:sz w:val="32"/>
          <w:szCs w:val="32"/>
        </w:rPr>
        <w:t>0.01的尾数差异。</w:t>
      </w:r>
      <w:r>
        <w:rPr>
          <w:rFonts w:hint="eastAsia" w:ascii="仿宋_GB2312" w:hAnsi="仿宋_GB2312" w:eastAsia="仿宋_GB2312" w:cs="仿宋_GB2312"/>
          <w:sz w:val="32"/>
          <w:szCs w:val="32"/>
          <w:lang w:val="en-US" w:eastAsia="zh-CN"/>
        </w:rPr>
        <w:t>2、以下文字说明中，部分科目由于预算数为0，无法计算完成年初预算的百分比，故未描述“</w:t>
      </w:r>
      <w:r>
        <w:rPr>
          <w:rFonts w:hint="eastAsia" w:ascii="仿宋_GB2312" w:hAnsi="仿宋_GB2312" w:eastAsia="仿宋_GB2312" w:cs="仿宋_GB2312"/>
          <w:sz w:val="32"/>
          <w:szCs w:val="32"/>
        </w:rPr>
        <w:t>完成年初预算的XX%</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p>
    <w:p w14:paraId="1B3CED4F">
      <w:pPr>
        <w:pStyle w:val="14"/>
        <w:jc w:val="center"/>
        <w:rPr>
          <w:rFonts w:hint="eastAsia" w:ascii="方正小标宋_GBK" w:hAnsi="方正小标宋_GBK" w:eastAsia="方正小标宋_GBK" w:cs="方正小标宋_GBK"/>
          <w:sz w:val="70"/>
          <w:szCs w:val="70"/>
        </w:rPr>
      </w:pPr>
    </w:p>
    <w:p w14:paraId="0DDB94E8">
      <w:pPr>
        <w:pStyle w:val="14"/>
        <w:keepNext w:val="0"/>
        <w:keepLines w:val="0"/>
        <w:pageBreakBefore w:val="0"/>
        <w:widowControl w:val="0"/>
        <w:kinsoku/>
        <w:wordWrap/>
        <w:overflowPunct/>
        <w:topLinePunct w:val="0"/>
        <w:bidi w:val="0"/>
        <w:snapToGrid/>
        <w:spacing w:line="600" w:lineRule="exact"/>
        <w:textAlignment w:val="auto"/>
        <w:rPr>
          <w:rFonts w:hint="eastAsia" w:ascii="黑体" w:hAnsi="黑体" w:eastAsia="黑体" w:cs="黑体"/>
          <w:b w:val="0"/>
          <w:bCs/>
          <w:sz w:val="32"/>
          <w:szCs w:val="32"/>
        </w:rPr>
      </w:pPr>
    </w:p>
    <w:p w14:paraId="35F2DE4C">
      <w:pPr>
        <w:pStyle w:val="14"/>
        <w:keepNext w:val="0"/>
        <w:keepLines w:val="0"/>
        <w:pageBreakBefore w:val="0"/>
        <w:widowControl w:val="0"/>
        <w:kinsoku/>
        <w:wordWrap/>
        <w:overflowPunct/>
        <w:topLinePunct w:val="0"/>
        <w:bidi w:val="0"/>
        <w:snapToGrid/>
        <w:spacing w:line="600" w:lineRule="exact"/>
        <w:textAlignment w:val="auto"/>
        <w:rPr>
          <w:rFonts w:hint="eastAsia" w:ascii="黑体" w:hAnsi="黑体" w:eastAsia="黑体" w:cs="黑体"/>
          <w:b w:val="0"/>
          <w:bCs/>
          <w:sz w:val="32"/>
          <w:szCs w:val="32"/>
        </w:rPr>
      </w:pPr>
    </w:p>
    <w:p w14:paraId="41868429">
      <w:pPr>
        <w:pStyle w:val="14"/>
        <w:keepNext w:val="0"/>
        <w:keepLines w:val="0"/>
        <w:pageBreakBefore w:val="0"/>
        <w:widowControl w:val="0"/>
        <w:kinsoku/>
        <w:wordWrap/>
        <w:overflowPunct/>
        <w:topLinePunct w:val="0"/>
        <w:bidi w:val="0"/>
        <w:snapToGrid/>
        <w:spacing w:line="600" w:lineRule="exact"/>
        <w:textAlignment w:val="auto"/>
        <w:rPr>
          <w:rFonts w:hint="eastAsia" w:ascii="黑体" w:hAnsi="黑体" w:eastAsia="黑体" w:cs="黑体"/>
          <w:b w:val="0"/>
          <w:bCs/>
          <w:sz w:val="32"/>
          <w:szCs w:val="32"/>
        </w:rPr>
      </w:pPr>
    </w:p>
    <w:p w14:paraId="2CBF21C0">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14:paraId="15A5F8D3">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年度收、支总计436065.68万元。与上年相比，增加</w:t>
      </w:r>
      <w:r>
        <w:rPr>
          <w:rFonts w:hint="eastAsia" w:ascii="仿宋_GB2312" w:hAnsi="仿宋_GB2312" w:eastAsia="仿宋_GB2312" w:cs="仿宋_GB2312"/>
          <w:sz w:val="32"/>
          <w:szCs w:val="32"/>
          <w:lang w:val="en-US" w:eastAsia="zh-CN"/>
        </w:rPr>
        <w:t>6567.63</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1.53</w:t>
      </w:r>
      <w:r>
        <w:rPr>
          <w:rFonts w:hint="eastAsia" w:ascii="仿宋_GB2312" w:hAnsi="仿宋_GB2312" w:eastAsia="仿宋_GB2312" w:cs="仿宋_GB2312"/>
          <w:sz w:val="32"/>
          <w:szCs w:val="32"/>
        </w:rPr>
        <w:t>%，主要是因为事业收入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卫生健康支出相比去年增加。</w:t>
      </w:r>
    </w:p>
    <w:p w14:paraId="30CBA769">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14:paraId="7D1AE639">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年度收入合计407274.16万元，其中：财政拨款收入52274.51万元，占</w:t>
      </w:r>
      <w:r>
        <w:rPr>
          <w:rFonts w:hint="eastAsia" w:ascii="仿宋_GB2312" w:hAnsi="仿宋_GB2312" w:eastAsia="仿宋_GB2312" w:cs="仿宋_GB2312"/>
          <w:sz w:val="32"/>
          <w:szCs w:val="32"/>
          <w:lang w:val="en-US" w:eastAsia="zh-CN"/>
        </w:rPr>
        <w:t>12.84</w:t>
      </w:r>
      <w:r>
        <w:rPr>
          <w:rFonts w:hint="eastAsia" w:ascii="仿宋_GB2312" w:hAnsi="仿宋_GB2312" w:eastAsia="仿宋_GB2312" w:cs="仿宋_GB2312"/>
          <w:sz w:val="32"/>
          <w:szCs w:val="32"/>
        </w:rPr>
        <w:t>%；上级补助收入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%；事业收入353662.67万元，占</w:t>
      </w:r>
      <w:r>
        <w:rPr>
          <w:rFonts w:hint="eastAsia" w:ascii="仿宋_GB2312" w:hAnsi="仿宋_GB2312" w:eastAsia="仿宋_GB2312" w:cs="仿宋_GB2312"/>
          <w:sz w:val="32"/>
          <w:szCs w:val="32"/>
          <w:lang w:val="en-US" w:eastAsia="zh-CN"/>
        </w:rPr>
        <w:t>86.84</w:t>
      </w:r>
      <w:r>
        <w:rPr>
          <w:rFonts w:hint="eastAsia" w:ascii="仿宋_GB2312" w:hAnsi="仿宋_GB2312" w:eastAsia="仿宋_GB2312" w:cs="仿宋_GB2312"/>
          <w:sz w:val="32"/>
          <w:szCs w:val="32"/>
        </w:rPr>
        <w:t>%；经营收入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%；附属单位上缴收入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%；其他收入1336.98万元，占</w:t>
      </w:r>
      <w:r>
        <w:rPr>
          <w:rFonts w:hint="eastAsia" w:ascii="仿宋_GB2312" w:hAnsi="仿宋_GB2312" w:eastAsia="仿宋_GB2312" w:cs="仿宋_GB2312"/>
          <w:sz w:val="32"/>
          <w:szCs w:val="32"/>
          <w:lang w:val="en-US" w:eastAsia="zh-CN"/>
        </w:rPr>
        <w:t>0.32</w:t>
      </w:r>
      <w:r>
        <w:rPr>
          <w:rFonts w:hint="eastAsia" w:ascii="仿宋_GB2312" w:hAnsi="仿宋_GB2312" w:eastAsia="仿宋_GB2312" w:cs="仿宋_GB2312"/>
          <w:sz w:val="32"/>
          <w:szCs w:val="32"/>
        </w:rPr>
        <w:t>%。</w:t>
      </w:r>
    </w:p>
    <w:p w14:paraId="3BC4DD14">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14:paraId="45D4EC5E">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年度支出合计393427.61万元，其中：基本支出362176.84万元，占</w:t>
      </w:r>
      <w:r>
        <w:rPr>
          <w:rFonts w:hint="eastAsia" w:ascii="仿宋_GB2312" w:hAnsi="仿宋_GB2312" w:eastAsia="仿宋_GB2312" w:cs="仿宋_GB2312"/>
          <w:sz w:val="32"/>
          <w:szCs w:val="32"/>
          <w:lang w:val="en-US" w:eastAsia="zh-CN"/>
        </w:rPr>
        <w:t>92.06</w:t>
      </w:r>
      <w:r>
        <w:rPr>
          <w:rFonts w:hint="eastAsia" w:ascii="仿宋_GB2312" w:hAnsi="仿宋_GB2312" w:eastAsia="仿宋_GB2312" w:cs="仿宋_GB2312"/>
          <w:sz w:val="32"/>
          <w:szCs w:val="32"/>
        </w:rPr>
        <w:t>%；项目支出31250.77万元，占</w:t>
      </w:r>
      <w:r>
        <w:rPr>
          <w:rFonts w:hint="eastAsia" w:ascii="仿宋_GB2312" w:hAnsi="仿宋_GB2312" w:eastAsia="仿宋_GB2312" w:cs="仿宋_GB2312"/>
          <w:sz w:val="32"/>
          <w:szCs w:val="32"/>
          <w:lang w:val="en-US" w:eastAsia="zh-CN"/>
        </w:rPr>
        <w:t>7.94</w:t>
      </w:r>
      <w:r>
        <w:rPr>
          <w:rFonts w:hint="eastAsia" w:ascii="仿宋_GB2312" w:hAnsi="仿宋_GB2312" w:eastAsia="仿宋_GB2312" w:cs="仿宋_GB2312"/>
          <w:sz w:val="32"/>
          <w:szCs w:val="32"/>
        </w:rPr>
        <w:t>%；上缴上级支出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%；对附属单位补助支出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14:paraId="3522FE88">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14:paraId="70D48877">
      <w:pPr>
        <w:pStyle w:val="14"/>
        <w:keepNext w:val="0"/>
        <w:keepLines w:val="0"/>
        <w:pageBreakBefore w:val="0"/>
        <w:widowControl w:val="0"/>
        <w:kinsoku/>
        <w:wordWrap/>
        <w:overflowPunct/>
        <w:topLinePunct w:val="0"/>
        <w:bidi w:val="0"/>
        <w:snapToGrid/>
        <w:spacing w:line="600" w:lineRule="exact"/>
        <w:textAlignment w:val="auto"/>
        <w:rPr>
          <w:rFonts w:hint="default" w:ascii="仿宋_GB2312" w:hAnsi="仿宋_GB2312" w:eastAsia="仿宋_GB2312" w:cs="仿宋_GB2312"/>
          <w:sz w:val="32"/>
          <w:szCs w:val="32"/>
          <w:lang w:val="en-US" w:eastAsia="zh-CN"/>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 xml:space="preserve"> 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年度财政拨款收、支总计79047.03万元，与上年相比，减少</w:t>
      </w:r>
      <w:r>
        <w:rPr>
          <w:rFonts w:hint="eastAsia" w:ascii="仿宋_GB2312" w:hAnsi="仿宋_GB2312" w:eastAsia="仿宋_GB2312" w:cs="仿宋_GB2312"/>
          <w:sz w:val="32"/>
          <w:szCs w:val="32"/>
          <w:lang w:val="en-US" w:eastAsia="zh-CN"/>
        </w:rPr>
        <w:t>13323.24</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14.42</w:t>
      </w:r>
      <w:r>
        <w:rPr>
          <w:rFonts w:hint="eastAsia" w:ascii="仿宋_GB2312" w:hAnsi="仿宋_GB2312" w:eastAsia="仿宋_GB2312" w:cs="仿宋_GB2312"/>
          <w:sz w:val="32"/>
          <w:szCs w:val="32"/>
        </w:rPr>
        <w:t>%，主要是因为一般公共预算财政拨款</w:t>
      </w:r>
      <w:r>
        <w:rPr>
          <w:rFonts w:hint="eastAsia" w:ascii="仿宋_GB2312" w:hAnsi="仿宋_GB2312" w:eastAsia="仿宋_GB2312" w:cs="仿宋_GB2312"/>
          <w:sz w:val="32"/>
          <w:szCs w:val="32"/>
          <w:lang w:eastAsia="zh-CN"/>
        </w:rPr>
        <w:t>、政府性基金预算财政拨款</w:t>
      </w:r>
      <w:r>
        <w:rPr>
          <w:rFonts w:hint="eastAsia" w:ascii="仿宋_GB2312" w:hAnsi="仿宋_GB2312" w:eastAsia="仿宋_GB2312" w:cs="仿宋_GB2312"/>
          <w:sz w:val="32"/>
          <w:szCs w:val="32"/>
          <w:lang w:val="en-US" w:eastAsia="zh-CN"/>
        </w:rPr>
        <w:t>相比去年减少。</w:t>
      </w:r>
    </w:p>
    <w:p w14:paraId="1397D1AE">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14:paraId="57BC6B15">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（一）一般公共预算财政拨款支出决算总体情况</w:t>
      </w:r>
    </w:p>
    <w:p w14:paraId="3B579890">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i/>
          <w:iCs/>
          <w:color w:val="FF0000"/>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年度财政拨款支出38759.66万元，占本年支出合计的</w:t>
      </w:r>
      <w:r>
        <w:rPr>
          <w:rFonts w:hint="eastAsia" w:ascii="仿宋_GB2312" w:hAnsi="仿宋_GB2312" w:eastAsia="仿宋_GB2312" w:cs="仿宋_GB2312"/>
          <w:sz w:val="32"/>
          <w:szCs w:val="32"/>
          <w:lang w:val="en-US" w:eastAsia="zh-CN"/>
        </w:rPr>
        <w:t>9.85</w:t>
      </w:r>
      <w:r>
        <w:rPr>
          <w:rFonts w:hint="eastAsia" w:ascii="仿宋_GB2312" w:hAnsi="仿宋_GB2312" w:eastAsia="仿宋_GB2312" w:cs="仿宋_GB2312"/>
          <w:sz w:val="32"/>
          <w:szCs w:val="32"/>
        </w:rPr>
        <w:t>%，与上年相比，财政拨款支出增加</w:t>
      </w:r>
      <w:r>
        <w:rPr>
          <w:rFonts w:hint="eastAsia" w:ascii="仿宋_GB2312" w:hAnsi="仿宋_GB2312" w:eastAsia="仿宋_GB2312" w:cs="仿宋_GB2312"/>
          <w:sz w:val="32"/>
          <w:szCs w:val="32"/>
          <w:lang w:val="en-US" w:eastAsia="zh-CN"/>
        </w:rPr>
        <w:t>6575.42</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20.43</w:t>
      </w:r>
      <w:r>
        <w:rPr>
          <w:rFonts w:hint="eastAsia" w:ascii="仿宋_GB2312" w:hAnsi="仿宋_GB2312" w:eastAsia="仿宋_GB2312" w:cs="仿宋_GB2312"/>
          <w:sz w:val="32"/>
          <w:szCs w:val="32"/>
        </w:rPr>
        <w:t>%，主要是因为</w:t>
      </w:r>
      <w:r>
        <w:rPr>
          <w:rFonts w:hint="eastAsia" w:ascii="Times New Roman" w:hAnsi="Times New Roman" w:eastAsia="仿宋_GB2312"/>
          <w:sz w:val="32"/>
          <w:szCs w:val="32"/>
        </w:rPr>
        <w:t>卫生健康支出</w:t>
      </w:r>
      <w:r>
        <w:rPr>
          <w:rFonts w:hint="eastAsia" w:ascii="Times New Roman" w:hAnsi="Times New Roman" w:eastAsia="仿宋_GB2312"/>
          <w:sz w:val="32"/>
          <w:szCs w:val="32"/>
          <w:lang w:eastAsia="zh-CN"/>
        </w:rPr>
        <w:t>相比去年增加。</w:t>
      </w:r>
    </w:p>
    <w:p w14:paraId="16581FF8">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（二）一般公共预算财政拨款支出决算结构情况</w:t>
      </w:r>
    </w:p>
    <w:p w14:paraId="5F9CF15A">
      <w:pPr>
        <w:pStyle w:val="14"/>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年度财政拨款支出38759.66万元，主要用于以下方面：一般公共服务（类）支出28.3万元，占</w:t>
      </w:r>
      <w:r>
        <w:rPr>
          <w:rFonts w:hint="eastAsia" w:ascii="仿宋_GB2312" w:hAnsi="仿宋_GB2312" w:eastAsia="仿宋_GB2312" w:cs="仿宋_GB2312"/>
          <w:sz w:val="32"/>
          <w:szCs w:val="32"/>
          <w:lang w:val="en-US" w:eastAsia="zh-CN"/>
        </w:rPr>
        <w:t>0.07</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科学技术支出</w:t>
      </w:r>
      <w:r>
        <w:rPr>
          <w:rFonts w:hint="eastAsia" w:ascii="仿宋_GB2312" w:hAnsi="仿宋_GB2312" w:eastAsia="仿宋_GB2312" w:cs="仿宋_GB2312"/>
          <w:sz w:val="32"/>
          <w:szCs w:val="32"/>
          <w:lang w:val="en-US" w:eastAsia="zh-CN"/>
        </w:rPr>
        <w:t>395.36</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1.02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;社会保障和就业支出814.32万元,占2.1%;卫生健康支出37008.25万元,占95.48%；城乡社区支出26.92万元，占0.07%；住房保障支出486.51万元，占1.26%。</w:t>
      </w:r>
    </w:p>
    <w:p w14:paraId="26DBE241">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（三）一般公共预算财政拨款支出决算具体情况</w:t>
      </w:r>
    </w:p>
    <w:p w14:paraId="4B8E4B74">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年度财政拨款支出年初预算数为XXXX万元，支出决算数为XXXX万元，完成年初预算的XX%，其中：</w:t>
      </w:r>
    </w:p>
    <w:p w14:paraId="6AB3ED5F">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1、一般公共服务（类）人大事务（款）一般行政管理事务（项）。</w:t>
      </w:r>
    </w:p>
    <w:p w14:paraId="50703B55">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92.51</w:t>
      </w:r>
      <w:r>
        <w:rPr>
          <w:rFonts w:hint="eastAsia" w:ascii="仿宋_GB2312" w:hAnsi="仿宋_GB2312" w:eastAsia="仿宋_GB2312" w:cs="仿宋_GB2312"/>
          <w:sz w:val="32"/>
          <w:szCs w:val="32"/>
        </w:rPr>
        <w:t>万元，支出决算为28.3万元，完成年初预算的</w:t>
      </w:r>
      <w:r>
        <w:rPr>
          <w:rFonts w:hint="eastAsia" w:ascii="仿宋_GB2312" w:hAnsi="仿宋_GB2312" w:eastAsia="仿宋_GB2312" w:cs="仿宋_GB2312"/>
          <w:sz w:val="32"/>
          <w:szCs w:val="32"/>
          <w:lang w:val="en-US" w:eastAsia="zh-CN"/>
        </w:rPr>
        <w:t>30.59</w:t>
      </w:r>
      <w:r>
        <w:rPr>
          <w:rFonts w:hint="eastAsia" w:ascii="仿宋_GB2312" w:hAnsi="仿宋_GB2312" w:eastAsia="仿宋_GB2312" w:cs="仿宋_GB2312"/>
          <w:sz w:val="32"/>
          <w:szCs w:val="32"/>
        </w:rPr>
        <w:t>%，决算数小于年初预算数的主要原因是：</w:t>
      </w:r>
      <w:r>
        <w:rPr>
          <w:rFonts w:hint="eastAsia" w:ascii="仿宋_GB2312" w:hAnsi="仿宋_GB2312" w:eastAsia="仿宋_GB2312" w:cs="仿宋_GB2312"/>
          <w:sz w:val="32"/>
          <w:szCs w:val="32"/>
          <w:lang w:val="en-US" w:eastAsia="zh-CN"/>
        </w:rPr>
        <w:t>节约</w:t>
      </w:r>
      <w:r>
        <w:rPr>
          <w:rFonts w:hint="eastAsia" w:ascii="仿宋_GB2312" w:hAnsi="仿宋_GB2312" w:eastAsia="仿宋_GB2312" w:cs="仿宋_GB2312"/>
          <w:sz w:val="32"/>
          <w:szCs w:val="32"/>
        </w:rPr>
        <w:t>行政管理事务</w:t>
      </w:r>
      <w:r>
        <w:rPr>
          <w:rFonts w:hint="eastAsia" w:ascii="仿宋_GB2312" w:hAnsi="仿宋_GB2312" w:eastAsia="仿宋_GB2312" w:cs="仿宋_GB2312"/>
          <w:sz w:val="32"/>
          <w:szCs w:val="32"/>
          <w:lang w:val="en-US" w:eastAsia="zh-CN"/>
        </w:rPr>
        <w:t>开支。</w:t>
      </w:r>
    </w:p>
    <w:p w14:paraId="0A5111A4">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2、科学技术支出（类）基础研究（款）自然科学基金（项）。</w:t>
      </w:r>
    </w:p>
    <w:p w14:paraId="516F25D0">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万元，支出决算为33.26万元，</w:t>
      </w:r>
      <w:r>
        <w:rPr>
          <w:rFonts w:hint="eastAsia" w:ascii="仿宋_GB2312" w:hAnsi="仿宋_GB2312" w:eastAsia="仿宋_GB2312" w:cs="仿宋_GB2312"/>
          <w:sz w:val="32"/>
          <w:szCs w:val="32"/>
          <w:lang w:eastAsia="zh-CN"/>
        </w:rPr>
        <w:t>由于预算数为</w:t>
      </w:r>
      <w:r>
        <w:rPr>
          <w:rFonts w:hint="eastAsia" w:ascii="仿宋_GB2312" w:hAnsi="仿宋_GB2312" w:eastAsia="仿宋_GB2312" w:cs="仿宋_GB2312"/>
          <w:sz w:val="32"/>
          <w:szCs w:val="32"/>
          <w:lang w:val="en-US" w:eastAsia="zh-CN"/>
        </w:rPr>
        <w:t>0，无法计算百分比，</w:t>
      </w:r>
      <w:r>
        <w:rPr>
          <w:rFonts w:hint="eastAsia" w:ascii="仿宋_GB2312" w:hAnsi="仿宋_GB2312" w:eastAsia="仿宋_GB2312" w:cs="仿宋_GB2312"/>
          <w:sz w:val="32"/>
          <w:szCs w:val="32"/>
        </w:rPr>
        <w:t>决算数大于年初预算数的主要原因是：上年结转的科研资金以及年中拨付的省级科研专项资金</w:t>
      </w:r>
      <w:r>
        <w:rPr>
          <w:rFonts w:hint="eastAsia" w:ascii="仿宋_GB2312" w:hAnsi="仿宋_GB2312" w:eastAsia="仿宋_GB2312" w:cs="仿宋_GB2312"/>
          <w:sz w:val="32"/>
          <w:szCs w:val="32"/>
          <w:lang w:eastAsia="zh-CN"/>
        </w:rPr>
        <w:t>，公立医院科学技术支出增加。</w:t>
      </w:r>
    </w:p>
    <w:p w14:paraId="2601CB01">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、科学技术支出（类）技术研究与开发（款）其他技术研究与开发支出（项）。</w:t>
      </w:r>
    </w:p>
    <w:p w14:paraId="17C7AB21">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万元，支出决算为91.55万元，</w:t>
      </w:r>
      <w:r>
        <w:rPr>
          <w:rFonts w:hint="eastAsia" w:ascii="仿宋_GB2312" w:hAnsi="仿宋_GB2312" w:eastAsia="仿宋_GB2312" w:cs="仿宋_GB2312"/>
          <w:sz w:val="32"/>
          <w:szCs w:val="32"/>
          <w:lang w:eastAsia="zh-CN"/>
        </w:rPr>
        <w:t>由于预算数为</w:t>
      </w:r>
      <w:r>
        <w:rPr>
          <w:rFonts w:hint="eastAsia" w:ascii="仿宋_GB2312" w:hAnsi="仿宋_GB2312" w:eastAsia="仿宋_GB2312" w:cs="仿宋_GB2312"/>
          <w:sz w:val="32"/>
          <w:szCs w:val="32"/>
          <w:lang w:val="en-US" w:eastAsia="zh-CN"/>
        </w:rPr>
        <w:t>0，无法计算百分比</w:t>
      </w:r>
      <w:r>
        <w:rPr>
          <w:rFonts w:hint="eastAsia" w:ascii="仿宋_GB2312" w:hAnsi="仿宋_GB2312" w:eastAsia="仿宋_GB2312" w:cs="仿宋_GB2312"/>
          <w:sz w:val="32"/>
          <w:szCs w:val="32"/>
        </w:rPr>
        <w:t>，决算数大于年初预算数的主要原因是：上年结转的科研资金以及年中拨付的省级科研专项资金</w:t>
      </w:r>
      <w:r>
        <w:rPr>
          <w:rFonts w:hint="eastAsia" w:ascii="仿宋_GB2312" w:hAnsi="仿宋_GB2312" w:eastAsia="仿宋_GB2312" w:cs="仿宋_GB2312"/>
          <w:sz w:val="32"/>
          <w:szCs w:val="32"/>
          <w:lang w:eastAsia="zh-CN"/>
        </w:rPr>
        <w:t>，公立医院科学技术支出增加。</w:t>
      </w:r>
    </w:p>
    <w:p w14:paraId="35B9F97A">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、科学技术支出（类）其他科学技术支出（款）其他科学技术支出（项）。</w:t>
      </w:r>
    </w:p>
    <w:p w14:paraId="6EBE8096">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万元，支出决算为270.55万元，</w:t>
      </w:r>
      <w:r>
        <w:rPr>
          <w:rFonts w:hint="eastAsia" w:ascii="仿宋_GB2312" w:hAnsi="仿宋_GB2312" w:eastAsia="仿宋_GB2312" w:cs="仿宋_GB2312"/>
          <w:sz w:val="32"/>
          <w:szCs w:val="32"/>
          <w:lang w:eastAsia="zh-CN"/>
        </w:rPr>
        <w:t>由于预算数为</w:t>
      </w:r>
      <w:r>
        <w:rPr>
          <w:rFonts w:hint="eastAsia" w:ascii="仿宋_GB2312" w:hAnsi="仿宋_GB2312" w:eastAsia="仿宋_GB2312" w:cs="仿宋_GB2312"/>
          <w:sz w:val="32"/>
          <w:szCs w:val="32"/>
          <w:lang w:val="en-US" w:eastAsia="zh-CN"/>
        </w:rPr>
        <w:t>0，无法计算百分比</w:t>
      </w:r>
      <w:r>
        <w:rPr>
          <w:rFonts w:hint="eastAsia" w:ascii="仿宋_GB2312" w:hAnsi="仿宋_GB2312" w:eastAsia="仿宋_GB2312" w:cs="仿宋_GB2312"/>
          <w:sz w:val="32"/>
          <w:szCs w:val="32"/>
        </w:rPr>
        <w:t>，决算数大于初预算数的主要原因是：上年结转的科研资金以及年中拨付的省级科研专项资金</w:t>
      </w:r>
      <w:r>
        <w:rPr>
          <w:rFonts w:hint="eastAsia" w:ascii="仿宋_GB2312" w:hAnsi="仿宋_GB2312" w:eastAsia="仿宋_GB2312" w:cs="仿宋_GB2312"/>
          <w:sz w:val="32"/>
          <w:szCs w:val="32"/>
          <w:lang w:eastAsia="zh-CN"/>
        </w:rPr>
        <w:t>，公立医院科学技术支出增加。</w:t>
      </w:r>
    </w:p>
    <w:p w14:paraId="498270F1">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、社会保障和就业支出（类）行政事业单位养老支出（款）行政单位离退休（项）。</w:t>
      </w:r>
    </w:p>
    <w:p w14:paraId="300165A9">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24.66</w:t>
      </w:r>
      <w:r>
        <w:rPr>
          <w:rFonts w:hint="eastAsia" w:ascii="仿宋_GB2312" w:hAnsi="仿宋_GB2312" w:eastAsia="仿宋_GB2312" w:cs="仿宋_GB2312"/>
          <w:sz w:val="32"/>
          <w:szCs w:val="32"/>
        </w:rPr>
        <w:t>万元，支出决算为24.66万元，完成年初预算的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val="en-US" w:eastAsia="zh-CN"/>
        </w:rPr>
        <w:t>等于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val="en-US" w:eastAsia="zh-CN"/>
        </w:rPr>
        <w:t>严格执行年初预算。</w:t>
      </w:r>
    </w:p>
    <w:p w14:paraId="65E1A124">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、社会保障和就业支出（类）行政事业单位养老支出（款）事业单位离退休（项）。</w:t>
      </w:r>
    </w:p>
    <w:p w14:paraId="68F766BE">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22.52</w:t>
      </w:r>
      <w:r>
        <w:rPr>
          <w:rFonts w:hint="eastAsia" w:ascii="仿宋_GB2312" w:hAnsi="仿宋_GB2312" w:eastAsia="仿宋_GB2312" w:cs="仿宋_GB2312"/>
          <w:sz w:val="32"/>
          <w:szCs w:val="32"/>
        </w:rPr>
        <w:t>万元，支出决算为18.63万元，完成年初预算的</w:t>
      </w:r>
      <w:r>
        <w:rPr>
          <w:rFonts w:hint="eastAsia" w:ascii="仿宋_GB2312" w:hAnsi="仿宋_GB2312" w:eastAsia="仿宋_GB2312" w:cs="仿宋_GB2312"/>
          <w:sz w:val="32"/>
          <w:szCs w:val="32"/>
          <w:lang w:val="en-US" w:eastAsia="zh-CN"/>
        </w:rPr>
        <w:t>82.73</w:t>
      </w:r>
      <w:r>
        <w:rPr>
          <w:rFonts w:hint="eastAsia" w:ascii="仿宋_GB2312" w:hAnsi="仿宋_GB2312" w:eastAsia="仿宋_GB2312" w:cs="仿宋_GB2312"/>
          <w:sz w:val="32"/>
          <w:szCs w:val="32"/>
        </w:rPr>
        <w:t>%，决算数小于年初预算数的主要原因是：年中离退休人员变化。</w:t>
      </w:r>
    </w:p>
    <w:p w14:paraId="510211C6">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、社会保障和就业支出（类）行政事业单位养老支出（款）机关事业单位基本养老保险缴费支出（项）。</w:t>
      </w:r>
    </w:p>
    <w:p w14:paraId="1887BA3E">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560.11</w:t>
      </w:r>
      <w:r>
        <w:rPr>
          <w:rFonts w:hint="eastAsia" w:ascii="仿宋_GB2312" w:hAnsi="仿宋_GB2312" w:eastAsia="仿宋_GB2312" w:cs="仿宋_GB2312"/>
          <w:sz w:val="32"/>
          <w:szCs w:val="32"/>
        </w:rPr>
        <w:t>万元，支出决算为560.11万元，完成年初预算的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val="en-US" w:eastAsia="zh-CN"/>
        </w:rPr>
        <w:t>等于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val="en-US" w:eastAsia="zh-CN"/>
        </w:rPr>
        <w:t>严格执行年初预算。</w:t>
      </w:r>
    </w:p>
    <w:p w14:paraId="7AC33570">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、社会保障和就业支出（类）行政事业单位养老支出（款）其他行政事业单位养老支出（项）。</w:t>
      </w:r>
    </w:p>
    <w:p w14:paraId="1380EAED">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万元，支出决算为1.22万元，</w:t>
      </w:r>
      <w:r>
        <w:rPr>
          <w:rFonts w:hint="eastAsia" w:ascii="仿宋_GB2312" w:hAnsi="仿宋_GB2312" w:eastAsia="仿宋_GB2312" w:cs="仿宋_GB2312"/>
          <w:sz w:val="32"/>
          <w:szCs w:val="32"/>
          <w:lang w:eastAsia="zh-CN"/>
        </w:rPr>
        <w:t>由于预算数为</w:t>
      </w:r>
      <w:r>
        <w:rPr>
          <w:rFonts w:hint="eastAsia" w:ascii="仿宋_GB2312" w:hAnsi="仿宋_GB2312" w:eastAsia="仿宋_GB2312" w:cs="仿宋_GB2312"/>
          <w:sz w:val="32"/>
          <w:szCs w:val="32"/>
          <w:lang w:val="en-US" w:eastAsia="zh-CN"/>
        </w:rPr>
        <w:t>0，无法计算百分比</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val="en-US" w:eastAsia="zh-CN"/>
        </w:rPr>
        <w:t>补足</w:t>
      </w:r>
      <w:r>
        <w:rPr>
          <w:rFonts w:hint="eastAsia" w:ascii="仿宋_GB2312" w:hAnsi="仿宋_GB2312" w:eastAsia="仿宋_GB2312" w:cs="仿宋_GB2312"/>
          <w:sz w:val="32"/>
          <w:szCs w:val="32"/>
        </w:rPr>
        <w:t>其他行政事业单位养老支出</w:t>
      </w:r>
      <w:r>
        <w:rPr>
          <w:rFonts w:hint="eastAsia" w:ascii="仿宋_GB2312" w:hAnsi="仿宋_GB2312" w:eastAsia="仿宋_GB2312" w:cs="仿宋_GB2312"/>
          <w:sz w:val="32"/>
          <w:szCs w:val="32"/>
          <w:lang w:val="en-US" w:eastAsia="zh-CN"/>
        </w:rPr>
        <w:t>需求。</w:t>
      </w:r>
    </w:p>
    <w:p w14:paraId="6ED0FD9B">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、社会保障和就业支出（类）抚恤（款）其他优抚支出（项）。</w:t>
      </w:r>
    </w:p>
    <w:p w14:paraId="25A627B6">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30.23</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，由于预算数为</w:t>
      </w:r>
      <w:r>
        <w:rPr>
          <w:rFonts w:hint="eastAsia" w:ascii="仿宋_GB2312" w:hAnsi="仿宋_GB2312" w:eastAsia="仿宋_GB2312" w:cs="仿宋_GB2312"/>
          <w:sz w:val="32"/>
          <w:szCs w:val="32"/>
          <w:lang w:val="en-US" w:eastAsia="zh-CN"/>
        </w:rPr>
        <w:t>0，无法计算百分比</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val="en-US" w:eastAsia="zh-CN"/>
        </w:rPr>
        <w:t>此项经费为过逝老同志一次性抚恤金，由市财政按照标准据实拨付，未纳入年初部门预算。</w:t>
      </w:r>
    </w:p>
    <w:p w14:paraId="1F0E2D57">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、社会保障和就业支出（类）残疾人事业（款）其他残疾人事业支出（项）。</w:t>
      </w:r>
    </w:p>
    <w:p w14:paraId="26E32540">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10.31</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10.31</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val="en-US" w:eastAsia="zh-CN"/>
        </w:rPr>
        <w:t>等于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val="en-US" w:eastAsia="zh-CN"/>
        </w:rPr>
        <w:t>严格执行年初预算。</w:t>
      </w:r>
    </w:p>
    <w:p w14:paraId="34699DA3">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、社会保障和就业支出（类）临时救助（款）流浪乞讨人员救助支出（项）。</w:t>
      </w:r>
    </w:p>
    <w:p w14:paraId="13A5AA26">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万元，支出决算为20.46万元，</w:t>
      </w:r>
      <w:r>
        <w:rPr>
          <w:rFonts w:hint="eastAsia" w:ascii="仿宋_GB2312" w:hAnsi="仿宋_GB2312" w:eastAsia="仿宋_GB2312" w:cs="仿宋_GB2312"/>
          <w:sz w:val="32"/>
          <w:szCs w:val="32"/>
          <w:lang w:eastAsia="zh-CN"/>
        </w:rPr>
        <w:t>由于预算数为</w:t>
      </w:r>
      <w:r>
        <w:rPr>
          <w:rFonts w:hint="eastAsia" w:ascii="仿宋_GB2312" w:hAnsi="仿宋_GB2312" w:eastAsia="仿宋_GB2312" w:cs="仿宋_GB2312"/>
          <w:sz w:val="32"/>
          <w:szCs w:val="32"/>
          <w:lang w:val="en-US" w:eastAsia="zh-CN"/>
        </w:rPr>
        <w:t>0，无法计算百分比</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val="en-US" w:eastAsia="zh-CN"/>
        </w:rPr>
        <w:t>承担社会责任，</w:t>
      </w:r>
      <w:r>
        <w:rPr>
          <w:rFonts w:hint="eastAsia" w:ascii="仿宋_GB2312" w:hAnsi="仿宋_GB2312" w:eastAsia="仿宋_GB2312" w:cs="仿宋_GB2312"/>
          <w:sz w:val="32"/>
          <w:szCs w:val="32"/>
        </w:rPr>
        <w:t>救助流浪乞讨人员</w:t>
      </w:r>
      <w:r>
        <w:rPr>
          <w:rFonts w:hint="eastAsia" w:ascii="仿宋_GB2312" w:hAnsi="仿宋_GB2312" w:eastAsia="仿宋_GB2312" w:cs="仿宋_GB2312"/>
          <w:sz w:val="32"/>
          <w:szCs w:val="32"/>
          <w:lang w:eastAsia="zh-CN"/>
        </w:rPr>
        <w:t>。</w:t>
      </w:r>
    </w:p>
    <w:p w14:paraId="26B80801">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、社会保障和就业支出（类）其他社会保障和就业支出（款）其他社会保障和就业支出（项）。</w:t>
      </w:r>
    </w:p>
    <w:p w14:paraId="5BE5B72C">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12.41</w:t>
      </w:r>
      <w:r>
        <w:rPr>
          <w:rFonts w:hint="eastAsia" w:ascii="仿宋_GB2312" w:hAnsi="仿宋_GB2312" w:eastAsia="仿宋_GB2312" w:cs="仿宋_GB2312"/>
          <w:sz w:val="32"/>
          <w:szCs w:val="32"/>
        </w:rPr>
        <w:t>万元，支出决算为148.7万元，完成年初预算的</w:t>
      </w:r>
      <w:r>
        <w:rPr>
          <w:rFonts w:hint="eastAsia" w:ascii="仿宋_GB2312" w:hAnsi="仿宋_GB2312" w:eastAsia="仿宋_GB2312" w:cs="仿宋_GB2312"/>
          <w:sz w:val="32"/>
          <w:szCs w:val="32"/>
          <w:lang w:val="en-US" w:eastAsia="zh-CN"/>
        </w:rPr>
        <w:t>1198.23</w:t>
      </w:r>
      <w:r>
        <w:rPr>
          <w:rFonts w:hint="eastAsia" w:ascii="仿宋_GB2312" w:hAnsi="仿宋_GB2312" w:eastAsia="仿宋_GB2312" w:cs="仿宋_GB2312"/>
          <w:sz w:val="32"/>
          <w:szCs w:val="32"/>
        </w:rPr>
        <w:t>%，决算数大于年初预算数的主要原因是：其他社会保障和就业</w:t>
      </w:r>
      <w:r>
        <w:rPr>
          <w:rFonts w:hint="eastAsia" w:ascii="仿宋_GB2312" w:hAnsi="仿宋_GB2312" w:eastAsia="仿宋_GB2312" w:cs="仿宋_GB2312"/>
          <w:sz w:val="32"/>
          <w:szCs w:val="32"/>
          <w:lang w:val="en-US" w:eastAsia="zh-CN"/>
        </w:rPr>
        <w:t>实际支出需求大于预算数。</w:t>
      </w:r>
    </w:p>
    <w:p w14:paraId="61F00B28">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、卫生健康支出（类）卫生健康管理事务（款）行政运行（项）。</w:t>
      </w:r>
    </w:p>
    <w:p w14:paraId="35134AF2">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1138.24</w:t>
      </w:r>
      <w:r>
        <w:rPr>
          <w:rFonts w:hint="eastAsia" w:ascii="仿宋_GB2312" w:hAnsi="仿宋_GB2312" w:eastAsia="仿宋_GB2312" w:cs="仿宋_GB2312"/>
          <w:sz w:val="32"/>
          <w:szCs w:val="32"/>
        </w:rPr>
        <w:t>万元，支出决算为1375.19万元，完成年初预算的</w:t>
      </w:r>
      <w:r>
        <w:rPr>
          <w:rFonts w:hint="eastAsia" w:ascii="仿宋_GB2312" w:hAnsi="仿宋_GB2312" w:eastAsia="仿宋_GB2312" w:cs="仿宋_GB2312"/>
          <w:sz w:val="32"/>
          <w:szCs w:val="32"/>
          <w:lang w:val="en-US" w:eastAsia="zh-CN"/>
        </w:rPr>
        <w:t>120.82</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val="en-US" w:eastAsia="zh-CN"/>
        </w:rPr>
        <w:t>行政运行成本增加。</w:t>
      </w:r>
    </w:p>
    <w:p w14:paraId="457ABF4D">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14</w:t>
      </w:r>
      <w:r>
        <w:rPr>
          <w:rFonts w:hint="eastAsia" w:ascii="仿宋_GB2312" w:hAnsi="仿宋_GB2312" w:eastAsia="仿宋_GB2312" w:cs="仿宋_GB2312"/>
          <w:sz w:val="32"/>
          <w:szCs w:val="32"/>
        </w:rPr>
        <w:t>、卫生健康支出（类）卫生健康管理事务（款）一般行政管理事务（项）。</w:t>
      </w:r>
    </w:p>
    <w:p w14:paraId="779958E6">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418</w:t>
      </w:r>
      <w:r>
        <w:rPr>
          <w:rFonts w:hint="eastAsia" w:ascii="仿宋_GB2312" w:hAnsi="仿宋_GB2312" w:eastAsia="仿宋_GB2312" w:cs="仿宋_GB2312"/>
          <w:sz w:val="32"/>
          <w:szCs w:val="32"/>
        </w:rPr>
        <w:t>万元，支出决算为160.31万元，完成年初预算的</w:t>
      </w:r>
      <w:r>
        <w:rPr>
          <w:rFonts w:hint="eastAsia" w:ascii="仿宋_GB2312" w:hAnsi="仿宋_GB2312" w:eastAsia="仿宋_GB2312" w:cs="仿宋_GB2312"/>
          <w:sz w:val="32"/>
          <w:szCs w:val="32"/>
          <w:lang w:val="en-US" w:eastAsia="zh-CN"/>
        </w:rPr>
        <w:t>38.35</w:t>
      </w:r>
      <w:r>
        <w:rPr>
          <w:rFonts w:hint="eastAsia" w:ascii="仿宋_GB2312" w:hAnsi="仿宋_GB2312" w:eastAsia="仿宋_GB2312" w:cs="仿宋_GB2312"/>
          <w:sz w:val="32"/>
          <w:szCs w:val="32"/>
        </w:rPr>
        <w:t>%，决算数小于年初预算数的主要原因是：一般行政管理事务</w:t>
      </w:r>
      <w:r>
        <w:rPr>
          <w:rFonts w:hint="eastAsia" w:ascii="仿宋_GB2312" w:hAnsi="仿宋_GB2312" w:eastAsia="仿宋_GB2312" w:cs="仿宋_GB2312"/>
          <w:sz w:val="32"/>
          <w:szCs w:val="32"/>
          <w:lang w:val="en-US" w:eastAsia="zh-CN"/>
        </w:rPr>
        <w:t>节约支出。</w:t>
      </w:r>
    </w:p>
    <w:p w14:paraId="672DDEFC">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、卫生健康支出（类）卫生健康管理事务（款）其他卫生健康管理事务支出（项）。</w:t>
      </w:r>
    </w:p>
    <w:p w14:paraId="637A9909">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万元，支出决算为226.14万元，</w:t>
      </w:r>
      <w:r>
        <w:rPr>
          <w:rFonts w:hint="eastAsia" w:ascii="仿宋_GB2312" w:hAnsi="仿宋_GB2312" w:eastAsia="仿宋_GB2312" w:cs="仿宋_GB2312"/>
          <w:sz w:val="32"/>
          <w:szCs w:val="32"/>
          <w:lang w:eastAsia="zh-CN"/>
        </w:rPr>
        <w:t>由于预算数为</w:t>
      </w:r>
      <w:r>
        <w:rPr>
          <w:rFonts w:hint="eastAsia" w:ascii="仿宋_GB2312" w:hAnsi="仿宋_GB2312" w:eastAsia="仿宋_GB2312" w:cs="仿宋_GB2312"/>
          <w:sz w:val="32"/>
          <w:szCs w:val="32"/>
          <w:lang w:val="en-US" w:eastAsia="zh-CN"/>
        </w:rPr>
        <w:t>0，无法计算百分比</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val="en-US" w:eastAsia="zh-CN"/>
        </w:rPr>
        <w:t>考试考务费的支出。</w:t>
      </w:r>
    </w:p>
    <w:p w14:paraId="5C03672C">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16</w:t>
      </w:r>
      <w:r>
        <w:rPr>
          <w:rFonts w:hint="eastAsia" w:ascii="仿宋_GB2312" w:hAnsi="仿宋_GB2312" w:eastAsia="仿宋_GB2312" w:cs="仿宋_GB2312"/>
          <w:sz w:val="32"/>
          <w:szCs w:val="32"/>
        </w:rPr>
        <w:t>、卫生健康支出（类）公立医院（款）综合医院（项）。</w:t>
      </w:r>
    </w:p>
    <w:p w14:paraId="450F56DF">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1333</w:t>
      </w:r>
      <w:r>
        <w:rPr>
          <w:rFonts w:hint="eastAsia" w:ascii="仿宋_GB2312" w:hAnsi="仿宋_GB2312" w:eastAsia="仿宋_GB2312" w:cs="仿宋_GB2312"/>
          <w:sz w:val="32"/>
          <w:szCs w:val="32"/>
        </w:rPr>
        <w:t>万元，支出决算为3825.82万元，完成年初预算的</w:t>
      </w:r>
      <w:r>
        <w:rPr>
          <w:rFonts w:hint="eastAsia" w:ascii="仿宋_GB2312" w:hAnsi="仿宋_GB2312" w:eastAsia="仿宋_GB2312" w:cs="仿宋_GB2312"/>
          <w:sz w:val="32"/>
          <w:szCs w:val="32"/>
          <w:lang w:val="en-US" w:eastAsia="zh-CN"/>
        </w:rPr>
        <w:t>287.01</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val="en-US" w:eastAsia="zh-CN"/>
        </w:rPr>
        <w:t>综合医院业务增加，支出增加。</w:t>
      </w:r>
    </w:p>
    <w:p w14:paraId="4BA06DDB">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17</w:t>
      </w:r>
      <w:r>
        <w:rPr>
          <w:rFonts w:hint="eastAsia" w:ascii="仿宋_GB2312" w:hAnsi="仿宋_GB2312" w:eastAsia="仿宋_GB2312" w:cs="仿宋_GB2312"/>
          <w:sz w:val="32"/>
          <w:szCs w:val="32"/>
        </w:rPr>
        <w:t>、卫生健康支出（类）公立医院（款）中医（民族）医院（项）。</w:t>
      </w:r>
    </w:p>
    <w:p w14:paraId="4A7A4754">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250.6</w:t>
      </w:r>
      <w:r>
        <w:rPr>
          <w:rFonts w:hint="eastAsia" w:ascii="仿宋_GB2312" w:hAnsi="仿宋_GB2312" w:eastAsia="仿宋_GB2312" w:cs="仿宋_GB2312"/>
          <w:sz w:val="32"/>
          <w:szCs w:val="32"/>
        </w:rPr>
        <w:t>万元，支出决算为350万元，完成年初预算的</w:t>
      </w:r>
      <w:r>
        <w:rPr>
          <w:rFonts w:hint="eastAsia" w:ascii="仿宋_GB2312" w:hAnsi="仿宋_GB2312" w:eastAsia="仿宋_GB2312" w:cs="仿宋_GB2312"/>
          <w:sz w:val="32"/>
          <w:szCs w:val="32"/>
          <w:lang w:val="en-US" w:eastAsia="zh-CN"/>
        </w:rPr>
        <w:t>139.66</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val="en-US" w:eastAsia="zh-CN"/>
        </w:rPr>
        <w:t>中医院业务增加，支出增加。</w:t>
      </w:r>
    </w:p>
    <w:p w14:paraId="2C3737FB">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18</w:t>
      </w:r>
      <w:r>
        <w:rPr>
          <w:rFonts w:hint="eastAsia" w:ascii="仿宋_GB2312" w:hAnsi="仿宋_GB2312" w:eastAsia="仿宋_GB2312" w:cs="仿宋_GB2312"/>
          <w:sz w:val="32"/>
          <w:szCs w:val="32"/>
        </w:rPr>
        <w:t>、卫生健康支出（类）公立医院（款）妇幼保健医院（项）。</w:t>
      </w:r>
    </w:p>
    <w:p w14:paraId="0F3C98D3">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1510.67</w:t>
      </w:r>
      <w:r>
        <w:rPr>
          <w:rFonts w:hint="eastAsia" w:ascii="仿宋_GB2312" w:hAnsi="仿宋_GB2312" w:eastAsia="仿宋_GB2312" w:cs="仿宋_GB2312"/>
          <w:sz w:val="32"/>
          <w:szCs w:val="32"/>
        </w:rPr>
        <w:t>万元，支出决算为1245.71万元，完成年初预算的</w:t>
      </w:r>
      <w:r>
        <w:rPr>
          <w:rFonts w:hint="eastAsia" w:ascii="仿宋_GB2312" w:hAnsi="仿宋_GB2312" w:eastAsia="仿宋_GB2312" w:cs="仿宋_GB2312"/>
          <w:sz w:val="32"/>
          <w:szCs w:val="32"/>
          <w:lang w:val="en-US" w:eastAsia="zh-CN"/>
        </w:rPr>
        <w:t>82.46</w:t>
      </w:r>
      <w:r>
        <w:rPr>
          <w:rFonts w:hint="eastAsia" w:ascii="仿宋_GB2312" w:hAnsi="仿宋_GB2312" w:eastAsia="仿宋_GB2312" w:cs="仿宋_GB2312"/>
          <w:sz w:val="32"/>
          <w:szCs w:val="32"/>
        </w:rPr>
        <w:t>%，决算数小于年初预算数的主要原因是：妇幼保健医院</w:t>
      </w:r>
      <w:r>
        <w:rPr>
          <w:rFonts w:hint="eastAsia" w:ascii="仿宋_GB2312" w:hAnsi="仿宋_GB2312" w:eastAsia="仿宋_GB2312" w:cs="仿宋_GB2312"/>
          <w:sz w:val="32"/>
          <w:szCs w:val="32"/>
          <w:lang w:val="en-US" w:eastAsia="zh-CN"/>
        </w:rPr>
        <w:t>业务萎缩。</w:t>
      </w:r>
    </w:p>
    <w:p w14:paraId="433F507D">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19</w:t>
      </w:r>
      <w:r>
        <w:rPr>
          <w:rFonts w:hint="eastAsia" w:ascii="仿宋_GB2312" w:hAnsi="仿宋_GB2312" w:eastAsia="仿宋_GB2312" w:cs="仿宋_GB2312"/>
          <w:sz w:val="32"/>
          <w:szCs w:val="32"/>
        </w:rPr>
        <w:t>、卫生健康支出（类）公立医院（款）其他公立医院支出（项）。</w:t>
      </w:r>
    </w:p>
    <w:p w14:paraId="34B0E898">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万元，支出决算为13173.73万元，</w:t>
      </w:r>
      <w:r>
        <w:rPr>
          <w:rFonts w:hint="eastAsia" w:ascii="仿宋_GB2312" w:hAnsi="仿宋_GB2312" w:eastAsia="仿宋_GB2312" w:cs="仿宋_GB2312"/>
          <w:sz w:val="32"/>
          <w:szCs w:val="32"/>
          <w:lang w:eastAsia="zh-CN"/>
        </w:rPr>
        <w:t>由于预算数为</w:t>
      </w:r>
      <w:r>
        <w:rPr>
          <w:rFonts w:hint="eastAsia" w:ascii="仿宋_GB2312" w:hAnsi="仿宋_GB2312" w:eastAsia="仿宋_GB2312" w:cs="仿宋_GB2312"/>
          <w:sz w:val="32"/>
          <w:szCs w:val="32"/>
          <w:lang w:val="en-US" w:eastAsia="zh-CN"/>
        </w:rPr>
        <w:t>0，无法计算百分比</w:t>
      </w:r>
      <w:r>
        <w:rPr>
          <w:rFonts w:hint="eastAsia" w:ascii="仿宋_GB2312" w:hAnsi="仿宋_GB2312" w:eastAsia="仿宋_GB2312" w:cs="仿宋_GB2312"/>
          <w:sz w:val="32"/>
          <w:szCs w:val="32"/>
        </w:rPr>
        <w:t>，决算数大于年初预算数的主要原因是：年初没有预算，是追加的公立医院专项资金。</w:t>
      </w:r>
    </w:p>
    <w:p w14:paraId="0341082B">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、卫生健康支出（类）基层医疗卫生机构（款）其他基层医疗卫生机构支出（项）。</w:t>
      </w:r>
    </w:p>
    <w:p w14:paraId="659C14CF">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万元，支出决算为366.4万元，</w:t>
      </w:r>
      <w:r>
        <w:rPr>
          <w:rFonts w:hint="eastAsia" w:ascii="仿宋_GB2312" w:hAnsi="仿宋_GB2312" w:eastAsia="仿宋_GB2312" w:cs="仿宋_GB2312"/>
          <w:sz w:val="32"/>
          <w:szCs w:val="32"/>
          <w:lang w:eastAsia="zh-CN"/>
        </w:rPr>
        <w:t>由于预算数为</w:t>
      </w:r>
      <w:r>
        <w:rPr>
          <w:rFonts w:hint="eastAsia" w:ascii="仿宋_GB2312" w:hAnsi="仿宋_GB2312" w:eastAsia="仿宋_GB2312" w:cs="仿宋_GB2312"/>
          <w:sz w:val="32"/>
          <w:szCs w:val="32"/>
          <w:lang w:val="en-US" w:eastAsia="zh-CN"/>
        </w:rPr>
        <w:t>0，无法计算百分比</w:t>
      </w:r>
      <w:r>
        <w:rPr>
          <w:rFonts w:hint="eastAsia" w:ascii="仿宋_GB2312" w:hAnsi="仿宋_GB2312" w:eastAsia="仿宋_GB2312" w:cs="仿宋_GB2312"/>
          <w:sz w:val="32"/>
          <w:szCs w:val="32"/>
        </w:rPr>
        <w:t>，决算数大于年初预算数的主要原因是：年初没有预算，是追加的基层医疗卫生机构专项资金。</w:t>
      </w:r>
    </w:p>
    <w:p w14:paraId="1A33449A">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、卫生健康支出（类）公共卫生（款）疾病预防控制机构（项）。</w:t>
      </w:r>
    </w:p>
    <w:p w14:paraId="3713D815">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1781.06</w:t>
      </w:r>
      <w:r>
        <w:rPr>
          <w:rFonts w:hint="eastAsia" w:ascii="仿宋_GB2312" w:hAnsi="仿宋_GB2312" w:eastAsia="仿宋_GB2312" w:cs="仿宋_GB2312"/>
          <w:sz w:val="32"/>
          <w:szCs w:val="32"/>
        </w:rPr>
        <w:t>万元，支出决算为2107.64万元，完成年初预算的</w:t>
      </w:r>
      <w:r>
        <w:rPr>
          <w:rFonts w:hint="eastAsia" w:ascii="仿宋_GB2312" w:hAnsi="仿宋_GB2312" w:eastAsia="仿宋_GB2312" w:cs="仿宋_GB2312"/>
          <w:sz w:val="32"/>
          <w:szCs w:val="32"/>
          <w:lang w:val="en-US" w:eastAsia="zh-CN"/>
        </w:rPr>
        <w:t>118.34</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val="en-US" w:eastAsia="zh-CN"/>
        </w:rPr>
        <w:t>中央、省当年下拨项目资金及上年项目资金结转结余的支出。</w:t>
      </w:r>
    </w:p>
    <w:p w14:paraId="0E7AC372">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、卫生健康支出（类）公共卫生（款）卫生监督机构（项）。</w:t>
      </w:r>
    </w:p>
    <w:p w14:paraId="2BEB12E3">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594.57</w:t>
      </w:r>
      <w:r>
        <w:rPr>
          <w:rFonts w:hint="eastAsia" w:ascii="仿宋_GB2312" w:hAnsi="仿宋_GB2312" w:eastAsia="仿宋_GB2312" w:cs="仿宋_GB2312"/>
          <w:sz w:val="32"/>
          <w:szCs w:val="32"/>
        </w:rPr>
        <w:t>万元，支出决算为642.41万元，完成年初预算的</w:t>
      </w:r>
      <w:r>
        <w:rPr>
          <w:rFonts w:hint="eastAsia" w:ascii="仿宋_GB2312" w:hAnsi="仿宋_GB2312" w:eastAsia="仿宋_GB2312" w:cs="仿宋_GB2312"/>
          <w:sz w:val="32"/>
          <w:szCs w:val="32"/>
          <w:lang w:val="en-US" w:eastAsia="zh-CN"/>
        </w:rPr>
        <w:t>108.05</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val="en-US" w:eastAsia="zh-CN"/>
        </w:rPr>
        <w:t>中央、省当年下拨项目资金及上年项目资金结转结余的支出。</w:t>
      </w:r>
    </w:p>
    <w:p w14:paraId="6BA3A49F">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、卫生健康支出（类）公共卫生（款）采供血机构（项）。</w:t>
      </w:r>
    </w:p>
    <w:p w14:paraId="2E35D117">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9090.9</w:t>
      </w:r>
      <w:r>
        <w:rPr>
          <w:rFonts w:hint="eastAsia" w:ascii="仿宋_GB2312" w:hAnsi="仿宋_GB2312" w:eastAsia="仿宋_GB2312" w:cs="仿宋_GB2312"/>
          <w:sz w:val="32"/>
          <w:szCs w:val="32"/>
        </w:rPr>
        <w:t>万元，支出决算为6834.54万元，完成年初预算的</w:t>
      </w:r>
      <w:r>
        <w:rPr>
          <w:rFonts w:hint="eastAsia" w:ascii="仿宋_GB2312" w:hAnsi="仿宋_GB2312" w:eastAsia="仿宋_GB2312" w:cs="仿宋_GB2312"/>
          <w:sz w:val="32"/>
          <w:szCs w:val="32"/>
          <w:lang w:val="en-US" w:eastAsia="zh-CN"/>
        </w:rPr>
        <w:t>75.18</w:t>
      </w:r>
      <w:r>
        <w:rPr>
          <w:rFonts w:hint="eastAsia" w:ascii="仿宋_GB2312" w:hAnsi="仿宋_GB2312" w:eastAsia="仿宋_GB2312" w:cs="仿宋_GB2312"/>
          <w:sz w:val="32"/>
          <w:szCs w:val="32"/>
        </w:rPr>
        <w:t>%，决算数小于年初预算数的主要原因是：</w:t>
      </w:r>
      <w:r>
        <w:rPr>
          <w:rFonts w:hint="eastAsia" w:ascii="仿宋_GB2312" w:hAnsi="仿宋_GB2312" w:eastAsia="仿宋_GB2312" w:cs="仿宋_GB2312"/>
          <w:sz w:val="32"/>
          <w:szCs w:val="32"/>
          <w:lang w:val="en-US" w:eastAsia="zh-CN"/>
        </w:rPr>
        <w:t>市中心血站例行节约，严格控制采供血成本费用。</w:t>
      </w:r>
    </w:p>
    <w:p w14:paraId="0BCBC8DB">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24</w:t>
      </w:r>
      <w:r>
        <w:rPr>
          <w:rFonts w:hint="eastAsia" w:ascii="仿宋_GB2312" w:hAnsi="仿宋_GB2312" w:eastAsia="仿宋_GB2312" w:cs="仿宋_GB2312"/>
          <w:sz w:val="32"/>
          <w:szCs w:val="32"/>
        </w:rPr>
        <w:t>、卫生健康支出（类）公共卫生（款）基本公共卫生服务（项）。</w:t>
      </w:r>
    </w:p>
    <w:p w14:paraId="2938BA24">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万元，支出决算为71.04万元，</w:t>
      </w:r>
      <w:r>
        <w:rPr>
          <w:rFonts w:hint="eastAsia" w:ascii="仿宋_GB2312" w:hAnsi="仿宋_GB2312" w:eastAsia="仿宋_GB2312" w:cs="仿宋_GB2312"/>
          <w:sz w:val="32"/>
          <w:szCs w:val="32"/>
          <w:lang w:eastAsia="zh-CN"/>
        </w:rPr>
        <w:t>由于预算数为</w:t>
      </w:r>
      <w:r>
        <w:rPr>
          <w:rFonts w:hint="eastAsia" w:ascii="仿宋_GB2312" w:hAnsi="仿宋_GB2312" w:eastAsia="仿宋_GB2312" w:cs="仿宋_GB2312"/>
          <w:sz w:val="32"/>
          <w:szCs w:val="32"/>
          <w:lang w:val="en-US" w:eastAsia="zh-CN"/>
        </w:rPr>
        <w:t>0，无法计算百分比</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val="en-US" w:eastAsia="zh-CN"/>
        </w:rPr>
        <w:t>上年度有项目结转资金，且当年度项目延伸到下年，主要为中央和省安排资金。</w:t>
      </w:r>
    </w:p>
    <w:p w14:paraId="0E659C66">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25</w:t>
      </w:r>
      <w:r>
        <w:rPr>
          <w:rFonts w:hint="eastAsia" w:ascii="仿宋_GB2312" w:hAnsi="仿宋_GB2312" w:eastAsia="仿宋_GB2312" w:cs="仿宋_GB2312"/>
          <w:sz w:val="32"/>
          <w:szCs w:val="32"/>
        </w:rPr>
        <w:t>、卫生健康支出（类）公共卫生（款）重大公共卫生服务（项）。</w:t>
      </w:r>
    </w:p>
    <w:p w14:paraId="04D935C9">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万元，支出决算为1381.16万元，</w:t>
      </w:r>
      <w:r>
        <w:rPr>
          <w:rFonts w:hint="eastAsia" w:ascii="仿宋_GB2312" w:hAnsi="仿宋_GB2312" w:eastAsia="仿宋_GB2312" w:cs="仿宋_GB2312"/>
          <w:sz w:val="32"/>
          <w:szCs w:val="32"/>
          <w:lang w:eastAsia="zh-CN"/>
        </w:rPr>
        <w:t>由于预算数为</w:t>
      </w:r>
      <w:r>
        <w:rPr>
          <w:rFonts w:hint="eastAsia" w:ascii="仿宋_GB2312" w:hAnsi="仿宋_GB2312" w:eastAsia="仿宋_GB2312" w:cs="仿宋_GB2312"/>
          <w:sz w:val="32"/>
          <w:szCs w:val="32"/>
          <w:lang w:val="en-US" w:eastAsia="zh-CN"/>
        </w:rPr>
        <w:t>0，无法计算百分比</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val="en-US" w:eastAsia="zh-CN"/>
        </w:rPr>
        <w:t>上年度有项目结转资金，且当年度项目延伸到下年，主要为中央和省安排资金。</w:t>
      </w:r>
    </w:p>
    <w:p w14:paraId="67CA1662">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26</w:t>
      </w:r>
      <w:r>
        <w:rPr>
          <w:rFonts w:hint="eastAsia" w:ascii="仿宋_GB2312" w:hAnsi="仿宋_GB2312" w:eastAsia="仿宋_GB2312" w:cs="仿宋_GB2312"/>
          <w:sz w:val="32"/>
          <w:szCs w:val="32"/>
        </w:rPr>
        <w:t>、卫生健康支出（类）公共卫生（款）突发公共卫生事件应急处理（项）。</w:t>
      </w:r>
    </w:p>
    <w:p w14:paraId="6EE9555E">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万元，支出决算为455.91万元，</w:t>
      </w:r>
      <w:r>
        <w:rPr>
          <w:rFonts w:hint="eastAsia" w:ascii="仿宋_GB2312" w:hAnsi="仿宋_GB2312" w:eastAsia="仿宋_GB2312" w:cs="仿宋_GB2312"/>
          <w:sz w:val="32"/>
          <w:szCs w:val="32"/>
          <w:lang w:eastAsia="zh-CN"/>
        </w:rPr>
        <w:t>由于预算数为</w:t>
      </w:r>
      <w:r>
        <w:rPr>
          <w:rFonts w:hint="eastAsia" w:ascii="仿宋_GB2312" w:hAnsi="仿宋_GB2312" w:eastAsia="仿宋_GB2312" w:cs="仿宋_GB2312"/>
          <w:sz w:val="32"/>
          <w:szCs w:val="32"/>
          <w:lang w:val="en-US" w:eastAsia="zh-CN"/>
        </w:rPr>
        <w:t>0，无法计算百分比</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val="en-US" w:eastAsia="zh-CN"/>
        </w:rPr>
        <w:t>上年度有项目结转资金，且当年度项目延伸到下年，主要为中央和省安排资金。</w:t>
      </w:r>
    </w:p>
    <w:p w14:paraId="78A26077">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27</w:t>
      </w:r>
      <w:r>
        <w:rPr>
          <w:rFonts w:hint="eastAsia" w:ascii="仿宋_GB2312" w:hAnsi="仿宋_GB2312" w:eastAsia="仿宋_GB2312" w:cs="仿宋_GB2312"/>
          <w:sz w:val="32"/>
          <w:szCs w:val="32"/>
        </w:rPr>
        <w:t>、卫生健康支出（类）公共卫生（款）其他公共卫生支出（项）。</w:t>
      </w:r>
    </w:p>
    <w:p w14:paraId="5C822052">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万元，支出决算为550.65万元，</w:t>
      </w:r>
      <w:r>
        <w:rPr>
          <w:rFonts w:hint="eastAsia" w:ascii="仿宋_GB2312" w:hAnsi="仿宋_GB2312" w:eastAsia="仿宋_GB2312" w:cs="仿宋_GB2312"/>
          <w:sz w:val="32"/>
          <w:szCs w:val="32"/>
          <w:lang w:eastAsia="zh-CN"/>
        </w:rPr>
        <w:t>由于预算数为</w:t>
      </w:r>
      <w:r>
        <w:rPr>
          <w:rFonts w:hint="eastAsia" w:ascii="仿宋_GB2312" w:hAnsi="仿宋_GB2312" w:eastAsia="仿宋_GB2312" w:cs="仿宋_GB2312"/>
          <w:sz w:val="32"/>
          <w:szCs w:val="32"/>
          <w:lang w:val="en-US" w:eastAsia="zh-CN"/>
        </w:rPr>
        <w:t>0，无法计算百分比</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val="en-US" w:eastAsia="zh-CN"/>
        </w:rPr>
        <w:t>上年度有项目结转资金，且当年度项目延伸到下年，主要为中央和省安排资金。</w:t>
      </w:r>
    </w:p>
    <w:p w14:paraId="3313A765">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28</w:t>
      </w:r>
      <w:r>
        <w:rPr>
          <w:rFonts w:hint="eastAsia" w:ascii="仿宋_GB2312" w:hAnsi="仿宋_GB2312" w:eastAsia="仿宋_GB2312" w:cs="仿宋_GB2312"/>
          <w:sz w:val="32"/>
          <w:szCs w:val="32"/>
        </w:rPr>
        <w:t>、卫生健康支出（类）中医药（款）中医（民族医）药专项（项）。</w:t>
      </w:r>
    </w:p>
    <w:p w14:paraId="781725F5">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万元，支出决算为347.74万元，</w:t>
      </w:r>
      <w:r>
        <w:rPr>
          <w:rFonts w:hint="eastAsia" w:ascii="仿宋_GB2312" w:hAnsi="仿宋_GB2312" w:eastAsia="仿宋_GB2312" w:cs="仿宋_GB2312"/>
          <w:sz w:val="32"/>
          <w:szCs w:val="32"/>
          <w:lang w:eastAsia="zh-CN"/>
        </w:rPr>
        <w:t>由于预算数为</w:t>
      </w:r>
      <w:r>
        <w:rPr>
          <w:rFonts w:hint="eastAsia" w:ascii="仿宋_GB2312" w:hAnsi="仿宋_GB2312" w:eastAsia="仿宋_GB2312" w:cs="仿宋_GB2312"/>
          <w:sz w:val="32"/>
          <w:szCs w:val="32"/>
          <w:lang w:val="en-US" w:eastAsia="zh-CN"/>
        </w:rPr>
        <w:t>0，无法计算百分比</w:t>
      </w:r>
      <w:r>
        <w:rPr>
          <w:rFonts w:hint="eastAsia" w:ascii="仿宋_GB2312" w:hAnsi="仿宋_GB2312" w:eastAsia="仿宋_GB2312" w:cs="仿宋_GB2312"/>
          <w:sz w:val="32"/>
          <w:szCs w:val="32"/>
        </w:rPr>
        <w:t>，决算数大于年初预算数的主要原因是：中医药</w:t>
      </w:r>
      <w:r>
        <w:rPr>
          <w:rFonts w:hint="eastAsia" w:ascii="仿宋_GB2312" w:hAnsi="仿宋_GB2312" w:eastAsia="仿宋_GB2312" w:cs="仿宋_GB2312"/>
          <w:sz w:val="32"/>
          <w:szCs w:val="32"/>
          <w:lang w:val="en-US" w:eastAsia="zh-CN"/>
        </w:rPr>
        <w:t>事业稳步发展。</w:t>
      </w:r>
    </w:p>
    <w:p w14:paraId="4C303937">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29</w:t>
      </w:r>
      <w:r>
        <w:rPr>
          <w:rFonts w:hint="eastAsia" w:ascii="仿宋_GB2312" w:hAnsi="仿宋_GB2312" w:eastAsia="仿宋_GB2312" w:cs="仿宋_GB2312"/>
          <w:sz w:val="32"/>
          <w:szCs w:val="32"/>
        </w:rPr>
        <w:t>、卫生健康支出（类）中医药（款）其他中医药支出（项）。</w:t>
      </w:r>
    </w:p>
    <w:p w14:paraId="285EAE17">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万元，支出决算为35万元，</w:t>
      </w:r>
      <w:r>
        <w:rPr>
          <w:rFonts w:hint="eastAsia" w:ascii="仿宋_GB2312" w:hAnsi="仿宋_GB2312" w:eastAsia="仿宋_GB2312" w:cs="仿宋_GB2312"/>
          <w:sz w:val="32"/>
          <w:szCs w:val="32"/>
          <w:lang w:eastAsia="zh-CN"/>
        </w:rPr>
        <w:t>由于预算数为</w:t>
      </w:r>
      <w:r>
        <w:rPr>
          <w:rFonts w:hint="eastAsia" w:ascii="仿宋_GB2312" w:hAnsi="仿宋_GB2312" w:eastAsia="仿宋_GB2312" w:cs="仿宋_GB2312"/>
          <w:sz w:val="32"/>
          <w:szCs w:val="32"/>
          <w:lang w:val="en-US" w:eastAsia="zh-CN"/>
        </w:rPr>
        <w:t>0，无法计算百分比</w:t>
      </w:r>
      <w:r>
        <w:rPr>
          <w:rFonts w:hint="eastAsia" w:ascii="仿宋_GB2312" w:hAnsi="仿宋_GB2312" w:eastAsia="仿宋_GB2312" w:cs="仿宋_GB2312"/>
          <w:sz w:val="32"/>
          <w:szCs w:val="32"/>
        </w:rPr>
        <w:t>，决算数大于年初预算数的主要原因是：中医药</w:t>
      </w:r>
      <w:r>
        <w:rPr>
          <w:rFonts w:hint="eastAsia" w:ascii="仿宋_GB2312" w:hAnsi="仿宋_GB2312" w:eastAsia="仿宋_GB2312" w:cs="仿宋_GB2312"/>
          <w:sz w:val="32"/>
          <w:szCs w:val="32"/>
          <w:lang w:val="en-US" w:eastAsia="zh-CN"/>
        </w:rPr>
        <w:t>事业稳步发展。</w:t>
      </w:r>
    </w:p>
    <w:p w14:paraId="20B4678E">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、卫生健康支出（类）计划生育事务（款）计划生育服务（项）。</w:t>
      </w:r>
    </w:p>
    <w:p w14:paraId="6C88B5E6">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万元，支出决算为0.82万元，</w:t>
      </w:r>
      <w:r>
        <w:rPr>
          <w:rFonts w:hint="eastAsia" w:ascii="仿宋_GB2312" w:hAnsi="仿宋_GB2312" w:eastAsia="仿宋_GB2312" w:cs="仿宋_GB2312"/>
          <w:sz w:val="32"/>
          <w:szCs w:val="32"/>
          <w:lang w:eastAsia="zh-CN"/>
        </w:rPr>
        <w:t>由于预算数为</w:t>
      </w:r>
      <w:r>
        <w:rPr>
          <w:rFonts w:hint="eastAsia" w:ascii="仿宋_GB2312" w:hAnsi="仿宋_GB2312" w:eastAsia="仿宋_GB2312" w:cs="仿宋_GB2312"/>
          <w:sz w:val="32"/>
          <w:szCs w:val="32"/>
          <w:lang w:val="en-US" w:eastAsia="zh-CN"/>
        </w:rPr>
        <w:t>0，无法计算百分比</w:t>
      </w:r>
      <w:r>
        <w:rPr>
          <w:rFonts w:hint="eastAsia" w:ascii="仿宋_GB2312" w:hAnsi="仿宋_GB2312" w:eastAsia="仿宋_GB2312" w:cs="仿宋_GB2312"/>
          <w:sz w:val="32"/>
          <w:szCs w:val="32"/>
        </w:rPr>
        <w:t>，决算数大于年初预算数的主要原因是：计划生育</w:t>
      </w:r>
      <w:r>
        <w:rPr>
          <w:rFonts w:hint="eastAsia" w:ascii="仿宋_GB2312" w:hAnsi="仿宋_GB2312" w:eastAsia="仿宋_GB2312" w:cs="仿宋_GB2312"/>
          <w:sz w:val="32"/>
          <w:szCs w:val="32"/>
          <w:lang w:val="en-US" w:eastAsia="zh-CN"/>
        </w:rPr>
        <w:t>工作需要。</w:t>
      </w:r>
    </w:p>
    <w:p w14:paraId="79932030">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31</w:t>
      </w:r>
      <w:r>
        <w:rPr>
          <w:rFonts w:hint="eastAsia" w:ascii="仿宋_GB2312" w:hAnsi="仿宋_GB2312" w:eastAsia="仿宋_GB2312" w:cs="仿宋_GB2312"/>
          <w:sz w:val="32"/>
          <w:szCs w:val="32"/>
        </w:rPr>
        <w:t>、卫生健康支出（类）计划生育事务（款）其他计划生育事务支出（项）。</w:t>
      </w:r>
    </w:p>
    <w:p w14:paraId="730FDD95">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万元，支出决算为103.02万元，</w:t>
      </w:r>
      <w:r>
        <w:rPr>
          <w:rFonts w:hint="eastAsia" w:ascii="仿宋_GB2312" w:hAnsi="仿宋_GB2312" w:eastAsia="仿宋_GB2312" w:cs="仿宋_GB2312"/>
          <w:sz w:val="32"/>
          <w:szCs w:val="32"/>
          <w:lang w:eastAsia="zh-CN"/>
        </w:rPr>
        <w:t>由于预算数为</w:t>
      </w:r>
      <w:r>
        <w:rPr>
          <w:rFonts w:hint="eastAsia" w:ascii="仿宋_GB2312" w:hAnsi="仿宋_GB2312" w:eastAsia="仿宋_GB2312" w:cs="仿宋_GB2312"/>
          <w:sz w:val="32"/>
          <w:szCs w:val="32"/>
          <w:lang w:val="en-US" w:eastAsia="zh-CN"/>
        </w:rPr>
        <w:t>0，无法计算百分比</w:t>
      </w:r>
      <w:r>
        <w:rPr>
          <w:rFonts w:hint="eastAsia" w:ascii="仿宋_GB2312" w:hAnsi="仿宋_GB2312" w:eastAsia="仿宋_GB2312" w:cs="仿宋_GB2312"/>
          <w:sz w:val="32"/>
          <w:szCs w:val="32"/>
        </w:rPr>
        <w:t>，决算数大于年初预算数的主要原因是：计划生育</w:t>
      </w:r>
      <w:r>
        <w:rPr>
          <w:rFonts w:hint="eastAsia" w:ascii="仿宋_GB2312" w:hAnsi="仿宋_GB2312" w:eastAsia="仿宋_GB2312" w:cs="仿宋_GB2312"/>
          <w:sz w:val="32"/>
          <w:szCs w:val="32"/>
          <w:lang w:val="en-US" w:eastAsia="zh-CN"/>
        </w:rPr>
        <w:t>工作需要。</w:t>
      </w:r>
    </w:p>
    <w:p w14:paraId="2FA5D2A7">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32</w:t>
      </w:r>
      <w:r>
        <w:rPr>
          <w:rFonts w:hint="eastAsia" w:ascii="仿宋_GB2312" w:hAnsi="仿宋_GB2312" w:eastAsia="仿宋_GB2312" w:cs="仿宋_GB2312"/>
          <w:sz w:val="32"/>
          <w:szCs w:val="32"/>
        </w:rPr>
        <w:t>、卫生健康支出（类）行政事业单位医疗（款）行政单位医疗（项）。</w:t>
      </w:r>
    </w:p>
    <w:p w14:paraId="7BE20B16">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107.78</w:t>
      </w:r>
      <w:r>
        <w:rPr>
          <w:rFonts w:hint="eastAsia" w:ascii="仿宋_GB2312" w:hAnsi="仿宋_GB2312" w:eastAsia="仿宋_GB2312" w:cs="仿宋_GB2312"/>
          <w:sz w:val="32"/>
          <w:szCs w:val="32"/>
        </w:rPr>
        <w:t>万元，支出决算为107.78万元，完成年初预算的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val="en-US" w:eastAsia="zh-CN"/>
        </w:rPr>
        <w:t>等于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val="en-US" w:eastAsia="zh-CN"/>
        </w:rPr>
        <w:t>严格执行年初预算。</w:t>
      </w:r>
    </w:p>
    <w:p w14:paraId="7D988475">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33</w:t>
      </w:r>
      <w:r>
        <w:rPr>
          <w:rFonts w:hint="eastAsia" w:ascii="仿宋_GB2312" w:hAnsi="仿宋_GB2312" w:eastAsia="仿宋_GB2312" w:cs="仿宋_GB2312"/>
          <w:sz w:val="32"/>
          <w:szCs w:val="32"/>
        </w:rPr>
        <w:t>、卫生健康支出（类）行政事业单位医疗（款）事业单位医疗（项）。</w:t>
      </w:r>
    </w:p>
    <w:p w14:paraId="2C2E4416">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121.41</w:t>
      </w:r>
      <w:r>
        <w:rPr>
          <w:rFonts w:hint="eastAsia" w:ascii="仿宋_GB2312" w:hAnsi="仿宋_GB2312" w:eastAsia="仿宋_GB2312" w:cs="仿宋_GB2312"/>
          <w:sz w:val="32"/>
          <w:szCs w:val="32"/>
        </w:rPr>
        <w:t>万元，支出决算为121.41万元，完成年初预算的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val="en-US" w:eastAsia="zh-CN"/>
        </w:rPr>
        <w:t>等于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val="en-US" w:eastAsia="zh-CN"/>
        </w:rPr>
        <w:t>严格执行年初预算。</w:t>
      </w:r>
    </w:p>
    <w:p w14:paraId="2C469113">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34</w:t>
      </w:r>
      <w:r>
        <w:rPr>
          <w:rFonts w:hint="eastAsia" w:ascii="仿宋_GB2312" w:hAnsi="仿宋_GB2312" w:eastAsia="仿宋_GB2312" w:cs="仿宋_GB2312"/>
          <w:sz w:val="32"/>
          <w:szCs w:val="32"/>
        </w:rPr>
        <w:t>、卫生健康支出（类）其他卫生健康支出（款）其他卫生健康支出（项）。</w:t>
      </w:r>
    </w:p>
    <w:p w14:paraId="5548944A">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万元，支出决算为3525.83万元，</w:t>
      </w:r>
      <w:r>
        <w:rPr>
          <w:rFonts w:hint="eastAsia" w:ascii="仿宋_GB2312" w:hAnsi="仿宋_GB2312" w:eastAsia="仿宋_GB2312" w:cs="仿宋_GB2312"/>
          <w:sz w:val="32"/>
          <w:szCs w:val="32"/>
          <w:lang w:eastAsia="zh-CN"/>
        </w:rPr>
        <w:t>由于预算数为</w:t>
      </w:r>
      <w:r>
        <w:rPr>
          <w:rFonts w:hint="eastAsia" w:ascii="仿宋_GB2312" w:hAnsi="仿宋_GB2312" w:eastAsia="仿宋_GB2312" w:cs="仿宋_GB2312"/>
          <w:sz w:val="32"/>
          <w:szCs w:val="32"/>
          <w:lang w:val="en-US" w:eastAsia="zh-CN"/>
        </w:rPr>
        <w:t>0，无法计算百分比</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eastAsia="zh-CN"/>
        </w:rPr>
        <w:t>增加医疗公用费用支出等</w:t>
      </w:r>
      <w:r>
        <w:rPr>
          <w:rFonts w:hint="eastAsia" w:ascii="仿宋_GB2312" w:hAnsi="仿宋_GB2312" w:eastAsia="仿宋_GB2312" w:cs="仿宋_GB2312"/>
          <w:sz w:val="32"/>
          <w:szCs w:val="32"/>
          <w:lang w:val="en-US" w:eastAsia="zh-CN"/>
        </w:rPr>
        <w:t>。</w:t>
      </w:r>
    </w:p>
    <w:p w14:paraId="2283E17B">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35</w:t>
      </w:r>
      <w:r>
        <w:rPr>
          <w:rFonts w:hint="eastAsia" w:ascii="仿宋_GB2312" w:hAnsi="仿宋_GB2312" w:eastAsia="仿宋_GB2312" w:cs="仿宋_GB2312"/>
          <w:sz w:val="32"/>
          <w:szCs w:val="32"/>
        </w:rPr>
        <w:t>、城乡社区支出（类）城乡社区管理事务（款）其他城乡社区管理事务支出（项）。</w:t>
      </w:r>
    </w:p>
    <w:p w14:paraId="61C74568">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万元，支出决算为1万元，</w:t>
      </w:r>
      <w:r>
        <w:rPr>
          <w:rFonts w:hint="eastAsia" w:ascii="仿宋_GB2312" w:hAnsi="仿宋_GB2312" w:eastAsia="仿宋_GB2312" w:cs="仿宋_GB2312"/>
          <w:sz w:val="32"/>
          <w:szCs w:val="32"/>
          <w:lang w:eastAsia="zh-CN"/>
        </w:rPr>
        <w:t>由于预算数为</w:t>
      </w:r>
      <w:r>
        <w:rPr>
          <w:rFonts w:hint="eastAsia" w:ascii="仿宋_GB2312" w:hAnsi="仿宋_GB2312" w:eastAsia="仿宋_GB2312" w:cs="仿宋_GB2312"/>
          <w:sz w:val="32"/>
          <w:szCs w:val="32"/>
          <w:lang w:val="en-US" w:eastAsia="zh-CN"/>
        </w:rPr>
        <w:t>0，无法计算百分比</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val="en-US" w:eastAsia="zh-CN"/>
        </w:rPr>
        <w:t>本年增加城乡社区规划与管理的支出。</w:t>
      </w:r>
    </w:p>
    <w:p w14:paraId="050DABC8">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36</w:t>
      </w:r>
      <w:r>
        <w:rPr>
          <w:rFonts w:hint="eastAsia" w:ascii="仿宋_GB2312" w:hAnsi="仿宋_GB2312" w:eastAsia="仿宋_GB2312" w:cs="仿宋_GB2312"/>
          <w:sz w:val="32"/>
          <w:szCs w:val="32"/>
        </w:rPr>
        <w:t>、城乡社区支出（类）城乡社区规划与管理（款）城乡社区规划与管理（项）。</w:t>
      </w:r>
    </w:p>
    <w:p w14:paraId="0AA94ADC">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万元，支出决算为25.92万元，</w:t>
      </w:r>
      <w:r>
        <w:rPr>
          <w:rFonts w:hint="eastAsia" w:ascii="仿宋_GB2312" w:hAnsi="仿宋_GB2312" w:eastAsia="仿宋_GB2312" w:cs="仿宋_GB2312"/>
          <w:sz w:val="32"/>
          <w:szCs w:val="32"/>
          <w:lang w:eastAsia="zh-CN"/>
        </w:rPr>
        <w:t>由于预算数为</w:t>
      </w:r>
      <w:r>
        <w:rPr>
          <w:rFonts w:hint="eastAsia" w:ascii="仿宋_GB2312" w:hAnsi="仿宋_GB2312" w:eastAsia="仿宋_GB2312" w:cs="仿宋_GB2312"/>
          <w:sz w:val="32"/>
          <w:szCs w:val="32"/>
          <w:lang w:val="en-US" w:eastAsia="zh-CN"/>
        </w:rPr>
        <w:t>0，无法计算百分比</w:t>
      </w:r>
      <w:r>
        <w:rPr>
          <w:rFonts w:hint="eastAsia" w:ascii="仿宋_GB2312" w:hAnsi="仿宋_GB2312" w:eastAsia="仿宋_GB2312" w:cs="仿宋_GB2312"/>
          <w:sz w:val="32"/>
          <w:szCs w:val="32"/>
        </w:rPr>
        <w:t>，决算数大于年初预算数的主要原因是：本年增加城乡社区规划与管理的支出。</w:t>
      </w:r>
    </w:p>
    <w:p w14:paraId="355A942F">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37</w:t>
      </w:r>
      <w:r>
        <w:rPr>
          <w:rFonts w:hint="eastAsia" w:ascii="仿宋_GB2312" w:hAnsi="仿宋_GB2312" w:eastAsia="仿宋_GB2312" w:cs="仿宋_GB2312"/>
          <w:sz w:val="32"/>
          <w:szCs w:val="32"/>
        </w:rPr>
        <w:t>、住房保障支出（类）住房改革支出（款）住房公积金（项）。</w:t>
      </w:r>
    </w:p>
    <w:p w14:paraId="07F9D4D3">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493.25</w:t>
      </w:r>
      <w:r>
        <w:rPr>
          <w:rFonts w:hint="eastAsia" w:ascii="仿宋_GB2312" w:hAnsi="仿宋_GB2312" w:eastAsia="仿宋_GB2312" w:cs="仿宋_GB2312"/>
          <w:sz w:val="32"/>
          <w:szCs w:val="32"/>
        </w:rPr>
        <w:t>万元，支出决算为486.51万元，完成年初预算的</w:t>
      </w:r>
      <w:r>
        <w:rPr>
          <w:rFonts w:hint="eastAsia" w:ascii="仿宋_GB2312" w:hAnsi="仿宋_GB2312" w:eastAsia="仿宋_GB2312" w:cs="仿宋_GB2312"/>
          <w:sz w:val="32"/>
          <w:szCs w:val="32"/>
          <w:lang w:val="en-US" w:eastAsia="zh-CN"/>
        </w:rPr>
        <w:t>98.63</w:t>
      </w:r>
      <w:r>
        <w:rPr>
          <w:rFonts w:hint="eastAsia" w:ascii="仿宋_GB2312" w:hAnsi="仿宋_GB2312" w:eastAsia="仿宋_GB2312" w:cs="仿宋_GB2312"/>
          <w:sz w:val="32"/>
          <w:szCs w:val="32"/>
        </w:rPr>
        <w:t>%，决算数小于年初预算数的主要原因是：</w:t>
      </w:r>
      <w:r>
        <w:rPr>
          <w:rFonts w:hint="eastAsia" w:ascii="仿宋_GB2312" w:hAnsi="仿宋_GB2312" w:eastAsia="仿宋_GB2312" w:cs="仿宋_GB2312"/>
          <w:sz w:val="32"/>
          <w:szCs w:val="32"/>
          <w:lang w:val="en-US" w:eastAsia="zh-CN"/>
        </w:rPr>
        <w:t>年中人员异动。</w:t>
      </w:r>
    </w:p>
    <w:p w14:paraId="0BA3D4C0">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14:paraId="05F85372">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年度财政拨款基本支出16880.22万元，其中：</w:t>
      </w:r>
    </w:p>
    <w:p w14:paraId="10C0608A">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人员经费</w:t>
      </w:r>
      <w:r>
        <w:rPr>
          <w:rFonts w:hint="eastAsia" w:ascii="仿宋_GB2312" w:hAnsi="仿宋_GB2312" w:eastAsia="仿宋_GB2312" w:cs="仿宋_GB2312"/>
          <w:sz w:val="32"/>
          <w:szCs w:val="32"/>
        </w:rPr>
        <w:t>10203.63万元，占基本支出的</w:t>
      </w:r>
      <w:r>
        <w:rPr>
          <w:rFonts w:hint="eastAsia" w:ascii="仿宋_GB2312" w:hAnsi="仿宋_GB2312" w:eastAsia="仿宋_GB2312" w:cs="仿宋_GB2312"/>
          <w:sz w:val="32"/>
          <w:szCs w:val="32"/>
          <w:lang w:val="en-US" w:eastAsia="zh-CN"/>
        </w:rPr>
        <w:t>60.45</w:t>
      </w:r>
      <w:r>
        <w:rPr>
          <w:rFonts w:hint="eastAsia" w:ascii="仿宋_GB2312" w:hAnsi="仿宋_GB2312" w:eastAsia="仿宋_GB2312" w:cs="仿宋_GB2312"/>
          <w:sz w:val="32"/>
          <w:szCs w:val="32"/>
        </w:rPr>
        <w:t>%,主要包括基本工资、津贴补贴、奖金、伙食补助费</w:t>
      </w:r>
      <w:r>
        <w:rPr>
          <w:rFonts w:hint="eastAsia" w:ascii="仿宋_GB2312" w:hAnsi="仿宋_GB2312" w:eastAsia="仿宋_GB2312" w:cs="仿宋_GB2312"/>
          <w:sz w:val="32"/>
          <w:szCs w:val="32"/>
          <w:lang w:eastAsia="zh-CN"/>
        </w:rPr>
        <w:t>、绩效工资、养老保险缴费、职业年金缴费、职工基本医疗保险缴费、其他工资福利支出、离休费、退休费、抚恤金、生活补助、医疗费补助、奖励金、其他对个人和家庭的补助等。</w:t>
      </w:r>
    </w:p>
    <w:p w14:paraId="21DC7E71">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公用经费</w:t>
      </w:r>
      <w:r>
        <w:rPr>
          <w:rFonts w:hint="eastAsia" w:ascii="仿宋_GB2312" w:hAnsi="仿宋_GB2312" w:eastAsia="仿宋_GB2312" w:cs="仿宋_GB2312"/>
          <w:sz w:val="32"/>
          <w:szCs w:val="32"/>
        </w:rPr>
        <w:t>6676.59万元，占基本支出的</w:t>
      </w:r>
      <w:r>
        <w:rPr>
          <w:rFonts w:hint="eastAsia" w:ascii="仿宋_GB2312" w:hAnsi="仿宋_GB2312" w:eastAsia="仿宋_GB2312" w:cs="仿宋_GB2312"/>
          <w:sz w:val="32"/>
          <w:szCs w:val="32"/>
          <w:lang w:val="en-US" w:eastAsia="zh-CN"/>
        </w:rPr>
        <w:t>39.55</w:t>
      </w:r>
      <w:r>
        <w:rPr>
          <w:rFonts w:hint="eastAsia" w:ascii="仿宋_GB2312" w:hAnsi="仿宋_GB2312" w:eastAsia="仿宋_GB2312" w:cs="仿宋_GB2312"/>
          <w:sz w:val="32"/>
          <w:szCs w:val="32"/>
        </w:rPr>
        <w:t>%，主要包括办公费、印刷费、咨询费、</w:t>
      </w:r>
      <w:r>
        <w:rPr>
          <w:rFonts w:hint="eastAsia" w:ascii="仿宋_GB2312" w:hAnsi="仿宋_GB2312" w:eastAsia="仿宋_GB2312" w:cs="仿宋_GB2312"/>
          <w:sz w:val="32"/>
          <w:szCs w:val="32"/>
          <w:lang w:eastAsia="zh-CN"/>
        </w:rPr>
        <w:t>水电费、邮电费、培训费、差旅费、会议费、维修费、租赁费、公务接待费、委托业务、劳务费、工会经费、公车运行维护费、其他交通费用、其他商品服务支出、办公设备购置、专用设备购置等</w:t>
      </w:r>
      <w:r>
        <w:rPr>
          <w:rFonts w:hint="eastAsia" w:ascii="仿宋_GB2312" w:hAnsi="仿宋_GB2312" w:eastAsia="仿宋_GB2312" w:cs="仿宋_GB2312"/>
          <w:sz w:val="32"/>
          <w:szCs w:val="32"/>
        </w:rPr>
        <w:t>。</w:t>
      </w:r>
    </w:p>
    <w:p w14:paraId="687C2922">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七、政府性基金预算收入支出决算情况</w:t>
      </w:r>
    </w:p>
    <w:p w14:paraId="316FBC76">
      <w:pPr>
        <w:pStyle w:val="14"/>
        <w:keepNext w:val="0"/>
        <w:keepLines w:val="0"/>
        <w:pageBreakBefore w:val="0"/>
        <w:widowControl w:val="0"/>
        <w:kinsoku/>
        <w:wordWrap/>
        <w:overflowPunct/>
        <w:topLinePunct w:val="0"/>
        <w:bidi w:val="0"/>
        <w:snapToGrid/>
        <w:spacing w:line="600" w:lineRule="exact"/>
        <w:textAlignment w:val="auto"/>
        <w:rPr>
          <w:rFonts w:hint="eastAsia" w:ascii="仿宋_GB2312" w:hAnsi="仿宋_GB2312" w:eastAsia="仿宋_GB2312" w:cs="仿宋_GB2312"/>
          <w:b/>
          <w:bCs/>
          <w:i/>
          <w:color w:val="auto"/>
          <w:kern w:val="0"/>
          <w:sz w:val="32"/>
          <w:szCs w:val="32"/>
          <w:lang w:val="en-US" w:eastAsia="zh-CN" w:bidi="ar-SA"/>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年度政府性基金预算财政拨款收入</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sz w:val="32"/>
          <w:szCs w:val="32"/>
        </w:rPr>
        <w:t>万元；年初结转和结余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万元；支出207万元，其中基本支出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万元，项目支出207万元；年末结转和结余9793万元。具体情况如下：</w:t>
      </w:r>
    </w:p>
    <w:p w14:paraId="41DFA296">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1、其他支出（类）其他政府性基金及对应专项债务收入安排的支出（款）其他地方自行试点项目收益专项债券收入安排的支出（项）。</w:t>
      </w:r>
    </w:p>
    <w:p w14:paraId="0AFC6B78">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万元，支出决算为207万元，</w:t>
      </w:r>
      <w:r>
        <w:rPr>
          <w:rFonts w:hint="eastAsia" w:ascii="仿宋_GB2312" w:hAnsi="仿宋_GB2312" w:eastAsia="仿宋_GB2312" w:cs="仿宋_GB2312"/>
          <w:sz w:val="32"/>
          <w:szCs w:val="32"/>
          <w:lang w:eastAsia="zh-CN"/>
        </w:rPr>
        <w:t>由于预算数为</w:t>
      </w:r>
      <w:r>
        <w:rPr>
          <w:rFonts w:hint="eastAsia" w:ascii="仿宋_GB2312" w:hAnsi="仿宋_GB2312" w:eastAsia="仿宋_GB2312" w:cs="仿宋_GB2312"/>
          <w:sz w:val="32"/>
          <w:szCs w:val="32"/>
          <w:lang w:val="en-US" w:eastAsia="zh-CN"/>
        </w:rPr>
        <w:t>0，无法计算百分比</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val="en-US" w:eastAsia="zh-CN"/>
        </w:rPr>
        <w:t>债券资金必须按进度使用.</w:t>
      </w:r>
    </w:p>
    <w:p w14:paraId="5AD14414">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八、国有资本经营预算财政拨款支出决算情况</w:t>
      </w:r>
    </w:p>
    <w:p w14:paraId="07512D49">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sz w:val="32"/>
          <w:szCs w:val="32"/>
        </w:rPr>
      </w:pPr>
      <w:r>
        <w:rPr>
          <w:rFonts w:hint="eastAsia" w:ascii="仿宋_GB2312" w:hAnsi="仿宋_GB2312" w:eastAsia="仿宋_GB2312" w:cs="仿宋_GB2312"/>
          <w:color w:val="000000"/>
          <w:kern w:val="0"/>
          <w:sz w:val="32"/>
          <w:szCs w:val="32"/>
          <w:lang w:val="en-US" w:eastAsia="zh-CN" w:bidi="ar-SA"/>
        </w:rPr>
        <w:t>2023年度国有资本经营预算财政拨款收入0万元；年初结转和结余0万；支出0万元；年末结转和结余0万元。</w:t>
      </w:r>
    </w:p>
    <w:p w14:paraId="1BDF8C8B">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sz w:val="32"/>
          <w:szCs w:val="32"/>
        </w:rPr>
      </w:pPr>
      <w:r>
        <w:rPr>
          <w:rFonts w:hint="eastAsia" w:hAnsi="黑体" w:cs="黑体"/>
          <w:b w:val="0"/>
          <w:bCs/>
          <w:sz w:val="32"/>
          <w:szCs w:val="32"/>
          <w:lang w:eastAsia="zh-CN"/>
        </w:rPr>
        <w:t>九、</w:t>
      </w:r>
      <w:r>
        <w:rPr>
          <w:rFonts w:hint="eastAsia" w:ascii="黑体" w:hAnsi="黑体" w:eastAsia="黑体" w:cs="黑体"/>
          <w:b w:val="0"/>
          <w:bCs/>
          <w:sz w:val="32"/>
          <w:szCs w:val="32"/>
        </w:rPr>
        <w:t>财政拨款三公经费支出决算情况说明</w:t>
      </w:r>
    </w:p>
    <w:p w14:paraId="3FA25D77">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（一）“三公”经费财政拨款支出决算总体情况说明</w:t>
      </w:r>
    </w:p>
    <w:p w14:paraId="2B6CC213">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“三公”经费财政拨款支出预算为75.72万元，支出决算为71.71万元，完成预算的</w:t>
      </w:r>
      <w:r>
        <w:rPr>
          <w:rFonts w:hint="eastAsia" w:ascii="仿宋_GB2312" w:hAnsi="仿宋_GB2312" w:eastAsia="仿宋_GB2312" w:cs="仿宋_GB2312"/>
          <w:sz w:val="32"/>
          <w:szCs w:val="32"/>
          <w:lang w:val="en-US" w:eastAsia="zh-CN"/>
        </w:rPr>
        <w:t>94.7</w:t>
      </w:r>
      <w:r>
        <w:rPr>
          <w:rFonts w:hint="eastAsia" w:ascii="仿宋_GB2312" w:hAnsi="仿宋_GB2312" w:eastAsia="仿宋_GB2312" w:cs="仿宋_GB2312"/>
          <w:sz w:val="32"/>
          <w:szCs w:val="32"/>
        </w:rPr>
        <w:t>%，决算数小于预算数的主要原因是</w:t>
      </w:r>
      <w:r>
        <w:rPr>
          <w:rFonts w:hint="eastAsia" w:ascii="仿宋_GB2312" w:hAnsi="仿宋_GB2312" w:eastAsia="仿宋_GB2312" w:cs="仿宋_GB2312"/>
          <w:sz w:val="32"/>
          <w:szCs w:val="32"/>
          <w:lang w:val="en-US" w:eastAsia="zh-CN"/>
        </w:rPr>
        <w:t>严格控制三公经费使用进度</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与上年相比增加</w:t>
      </w:r>
      <w:r>
        <w:rPr>
          <w:rFonts w:hint="eastAsia" w:ascii="仿宋_GB2312" w:hAnsi="仿宋_GB2312" w:eastAsia="仿宋_GB2312" w:cs="仿宋_GB2312"/>
          <w:sz w:val="32"/>
          <w:szCs w:val="32"/>
          <w:lang w:val="en-US" w:eastAsia="zh-CN"/>
        </w:rPr>
        <w:t>12.64</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21.4</w:t>
      </w:r>
      <w:r>
        <w:rPr>
          <w:rFonts w:hint="eastAsia" w:ascii="仿宋_GB2312" w:hAnsi="仿宋_GB2312" w:eastAsia="仿宋_GB2312" w:cs="仿宋_GB2312"/>
          <w:sz w:val="32"/>
          <w:szCs w:val="32"/>
        </w:rPr>
        <w:t>%,增长的主要原因是</w:t>
      </w:r>
      <w:r>
        <w:rPr>
          <w:rFonts w:hint="eastAsia" w:ascii="仿宋_GB2312" w:hAnsi="仿宋_GB2312" w:eastAsia="仿宋_GB2312" w:cs="仿宋_GB2312"/>
          <w:sz w:val="32"/>
          <w:szCs w:val="32"/>
          <w:lang w:val="en-US" w:eastAsia="zh-CN"/>
        </w:rPr>
        <w:t>疫情防控政策调整，“三公”经费开支需求增加</w:t>
      </w:r>
      <w:r>
        <w:rPr>
          <w:rFonts w:hint="eastAsia" w:ascii="仿宋_GB2312" w:hAnsi="仿宋_GB2312" w:eastAsia="仿宋_GB2312" w:cs="仿宋_GB2312"/>
          <w:sz w:val="32"/>
          <w:szCs w:val="32"/>
        </w:rPr>
        <w:t>。其中：</w:t>
      </w:r>
    </w:p>
    <w:p w14:paraId="74B7B834">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因公出国（境）费支出预算为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由于预算数为</w:t>
      </w:r>
      <w:r>
        <w:rPr>
          <w:rFonts w:hint="eastAsia" w:ascii="仿宋_GB2312" w:hAnsi="仿宋_GB2312" w:eastAsia="仿宋_GB2312" w:cs="仿宋_GB2312"/>
          <w:sz w:val="32"/>
          <w:szCs w:val="32"/>
          <w:lang w:val="en-US" w:eastAsia="zh-CN"/>
        </w:rPr>
        <w:t>0，无法计算百分比</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val="en-US" w:eastAsia="zh-CN"/>
        </w:rPr>
        <w:t>本年未安排因公出国（境）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与上年相比无变化，主要原因是未安排外事出访活动。</w:t>
      </w:r>
    </w:p>
    <w:p w14:paraId="62ADAC93">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公务接待费支出预算为4.66万元，支出决算为4.66万元，完成预算的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rPr>
        <w:t>预算数的主要原因是</w:t>
      </w:r>
      <w:r>
        <w:rPr>
          <w:rFonts w:hint="eastAsia" w:ascii="仿宋_GB2312" w:hAnsi="仿宋_GB2312" w:eastAsia="仿宋_GB2312" w:cs="仿宋_GB2312"/>
          <w:sz w:val="32"/>
          <w:szCs w:val="32"/>
          <w:lang w:val="en-US" w:eastAsia="zh-CN"/>
        </w:rPr>
        <w:t>严格执行年初预算</w:t>
      </w:r>
      <w:r>
        <w:rPr>
          <w:rFonts w:hint="eastAsia" w:ascii="仿宋_GB2312" w:hAnsi="仿宋_GB2312" w:eastAsia="仿宋_GB2312" w:cs="仿宋_GB2312"/>
          <w:sz w:val="32"/>
          <w:szCs w:val="32"/>
        </w:rPr>
        <w:t>，与上年相比减少</w:t>
      </w:r>
      <w:r>
        <w:rPr>
          <w:rFonts w:hint="eastAsia" w:ascii="仿宋_GB2312" w:hAnsi="仿宋_GB2312" w:eastAsia="仿宋_GB2312" w:cs="仿宋_GB2312"/>
          <w:sz w:val="32"/>
          <w:szCs w:val="32"/>
          <w:lang w:val="en-US" w:eastAsia="zh-CN"/>
        </w:rPr>
        <w:t>0.66</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12.41</w:t>
      </w:r>
      <w:r>
        <w:rPr>
          <w:rFonts w:hint="eastAsia" w:ascii="仿宋_GB2312" w:hAnsi="仿宋_GB2312" w:eastAsia="仿宋_GB2312" w:cs="仿宋_GB2312"/>
          <w:sz w:val="32"/>
          <w:szCs w:val="32"/>
        </w:rPr>
        <w:t>%,减少的主要原因是</w:t>
      </w:r>
      <w:r>
        <w:rPr>
          <w:rFonts w:hint="eastAsia" w:ascii="仿宋_GB2312" w:hAnsi="仿宋_GB2312" w:eastAsia="仿宋_GB2312" w:cs="仿宋_GB2312"/>
          <w:sz w:val="32"/>
          <w:szCs w:val="32"/>
          <w:lang w:val="en-US" w:eastAsia="zh-CN"/>
        </w:rPr>
        <w:t>控制</w:t>
      </w:r>
      <w:r>
        <w:rPr>
          <w:rFonts w:hint="eastAsia" w:ascii="仿宋_GB2312" w:hAnsi="仿宋_GB2312" w:eastAsia="仿宋_GB2312" w:cs="仿宋_GB2312"/>
          <w:sz w:val="32"/>
          <w:szCs w:val="32"/>
        </w:rPr>
        <w:t>公务接待费。</w:t>
      </w:r>
    </w:p>
    <w:p w14:paraId="3FEAAAFB">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公务用车购置费支出预算为17.98万元，支出决算为17.98万元，完成预算的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val="en-US" w:eastAsia="zh-CN"/>
        </w:rPr>
        <w:t>等于</w:t>
      </w:r>
      <w:r>
        <w:rPr>
          <w:rFonts w:hint="eastAsia" w:ascii="仿宋_GB2312" w:hAnsi="仿宋_GB2312" w:eastAsia="仿宋_GB2312" w:cs="仿宋_GB2312"/>
          <w:sz w:val="32"/>
          <w:szCs w:val="32"/>
        </w:rPr>
        <w:t>预算数的主要原因是</w:t>
      </w:r>
      <w:r>
        <w:rPr>
          <w:rFonts w:hint="eastAsia" w:ascii="仿宋_GB2312" w:hAnsi="仿宋_GB2312" w:eastAsia="仿宋_GB2312" w:cs="仿宋_GB2312"/>
          <w:sz w:val="32"/>
          <w:szCs w:val="32"/>
          <w:lang w:val="en-US" w:eastAsia="zh-CN"/>
        </w:rPr>
        <w:t>严格执行年初预算</w:t>
      </w:r>
      <w:r>
        <w:rPr>
          <w:rFonts w:hint="eastAsia" w:ascii="仿宋_GB2312" w:hAnsi="仿宋_GB2312" w:eastAsia="仿宋_GB2312" w:cs="仿宋_GB2312"/>
          <w:sz w:val="32"/>
          <w:szCs w:val="32"/>
        </w:rPr>
        <w:t>，与上年相比增加</w:t>
      </w:r>
      <w:r>
        <w:rPr>
          <w:rFonts w:hint="eastAsia" w:ascii="仿宋_GB2312" w:hAnsi="仿宋_GB2312" w:eastAsia="仿宋_GB2312" w:cs="仿宋_GB2312"/>
          <w:sz w:val="32"/>
          <w:szCs w:val="32"/>
          <w:lang w:val="en-US" w:eastAsia="zh-CN"/>
        </w:rPr>
        <w:t>17.98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由于</w:t>
      </w:r>
      <w:r>
        <w:rPr>
          <w:rFonts w:hint="eastAsia" w:ascii="仿宋_GB2312" w:hAnsi="仿宋_GB2312" w:eastAsia="仿宋_GB2312" w:cs="仿宋_GB2312"/>
          <w:sz w:val="32"/>
          <w:szCs w:val="32"/>
          <w:lang w:val="en-US" w:eastAsia="zh-CN"/>
        </w:rPr>
        <w:t>上年决算</w:t>
      </w:r>
      <w:r>
        <w:rPr>
          <w:rFonts w:hint="eastAsia" w:ascii="仿宋_GB2312" w:hAnsi="仿宋_GB2312" w:eastAsia="仿宋_GB2312" w:cs="仿宋_GB2312"/>
          <w:sz w:val="32"/>
          <w:szCs w:val="32"/>
          <w:lang w:eastAsia="zh-CN"/>
        </w:rPr>
        <w:t>数为</w:t>
      </w:r>
      <w:r>
        <w:rPr>
          <w:rFonts w:hint="eastAsia" w:ascii="仿宋_GB2312" w:hAnsi="仿宋_GB2312" w:eastAsia="仿宋_GB2312" w:cs="仿宋_GB2312"/>
          <w:sz w:val="32"/>
          <w:szCs w:val="32"/>
          <w:lang w:val="en-US" w:eastAsia="zh-CN"/>
        </w:rPr>
        <w:t>0，无法计算百分比</w:t>
      </w:r>
      <w:r>
        <w:rPr>
          <w:rFonts w:hint="eastAsia" w:ascii="仿宋_GB2312" w:hAnsi="仿宋_GB2312" w:eastAsia="仿宋_GB2312" w:cs="仿宋_GB2312"/>
          <w:sz w:val="32"/>
          <w:szCs w:val="32"/>
        </w:rPr>
        <w:t>,增长的主要</w:t>
      </w:r>
      <w:r>
        <w:rPr>
          <w:rFonts w:hint="eastAsia" w:ascii="仿宋_GB2312" w:hAnsi="仿宋_GB2312" w:eastAsia="仿宋_GB2312" w:cs="仿宋_GB2312"/>
          <w:sz w:val="32"/>
          <w:szCs w:val="32"/>
          <w:lang w:val="en-US" w:eastAsia="zh-CN"/>
        </w:rPr>
        <w:t>原因</w:t>
      </w:r>
      <w:r>
        <w:rPr>
          <w:rFonts w:hint="eastAsia" w:ascii="仿宋_GB2312" w:hAnsi="仿宋_GB2312" w:eastAsia="仿宋_GB2312" w:cs="仿宋_GB2312"/>
          <w:sz w:val="32"/>
          <w:szCs w:val="32"/>
        </w:rPr>
        <w:t>是</w:t>
      </w:r>
      <w:r>
        <w:rPr>
          <w:rFonts w:hint="eastAsia" w:ascii="仿宋_GB2312" w:hAnsi="仿宋_GB2312" w:eastAsia="仿宋_GB2312" w:cs="仿宋_GB2312"/>
          <w:sz w:val="32"/>
          <w:szCs w:val="32"/>
          <w:lang w:val="en-US" w:eastAsia="zh-CN"/>
        </w:rPr>
        <w:t>市中心血站根据机关事务局审批购置采血车1辆。</w:t>
      </w:r>
    </w:p>
    <w:p w14:paraId="1CE81DF7">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公务用车运行维护费支出预算为53.08万元，支出决算为49.07万元，完成预算的</w:t>
      </w:r>
      <w:r>
        <w:rPr>
          <w:rFonts w:hint="eastAsia" w:ascii="仿宋_GB2312" w:hAnsi="仿宋_GB2312" w:eastAsia="仿宋_GB2312" w:cs="仿宋_GB2312"/>
          <w:sz w:val="32"/>
          <w:szCs w:val="32"/>
          <w:lang w:val="en-US" w:eastAsia="zh-CN"/>
        </w:rPr>
        <w:t>92.45</w:t>
      </w:r>
      <w:r>
        <w:rPr>
          <w:rFonts w:hint="eastAsia" w:ascii="仿宋_GB2312" w:hAnsi="仿宋_GB2312" w:eastAsia="仿宋_GB2312" w:cs="仿宋_GB2312"/>
          <w:sz w:val="32"/>
          <w:szCs w:val="32"/>
        </w:rPr>
        <w:t>%，决算数小于预算数的主要原因是</w:t>
      </w:r>
      <w:r>
        <w:rPr>
          <w:rFonts w:hint="eastAsia" w:ascii="仿宋_GB2312" w:hAnsi="仿宋_GB2312" w:eastAsia="仿宋_GB2312" w:cs="仿宋_GB2312"/>
          <w:sz w:val="32"/>
          <w:szCs w:val="32"/>
          <w:lang w:val="en-US" w:eastAsia="zh-CN"/>
        </w:rPr>
        <w:t>节约</w:t>
      </w:r>
      <w:r>
        <w:rPr>
          <w:rFonts w:hint="eastAsia" w:ascii="仿宋_GB2312" w:hAnsi="仿宋_GB2312" w:eastAsia="仿宋_GB2312" w:cs="仿宋_GB2312"/>
          <w:sz w:val="32"/>
          <w:szCs w:val="32"/>
        </w:rPr>
        <w:t>公务用车运行维护费，与上年相比减少</w:t>
      </w:r>
      <w:r>
        <w:rPr>
          <w:rFonts w:hint="eastAsia" w:ascii="仿宋_GB2312" w:hAnsi="仿宋_GB2312" w:eastAsia="仿宋_GB2312" w:cs="仿宋_GB2312"/>
          <w:sz w:val="32"/>
          <w:szCs w:val="32"/>
          <w:lang w:val="en-US" w:eastAsia="zh-CN"/>
        </w:rPr>
        <w:t>4.68</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8.71</w:t>
      </w:r>
      <w:r>
        <w:rPr>
          <w:rFonts w:hint="eastAsia" w:ascii="仿宋_GB2312" w:hAnsi="仿宋_GB2312" w:eastAsia="仿宋_GB2312" w:cs="仿宋_GB2312"/>
          <w:sz w:val="32"/>
          <w:szCs w:val="32"/>
        </w:rPr>
        <w:t>%,减少的主要原因是</w:t>
      </w:r>
      <w:r>
        <w:rPr>
          <w:rFonts w:hint="eastAsia" w:ascii="仿宋_GB2312" w:hAnsi="仿宋_GB2312" w:eastAsia="仿宋_GB2312" w:cs="仿宋_GB2312"/>
          <w:sz w:val="32"/>
          <w:szCs w:val="32"/>
          <w:lang w:val="en-US" w:eastAsia="zh-CN"/>
        </w:rPr>
        <w:t>建设节约型机关，控制</w:t>
      </w:r>
      <w:r>
        <w:rPr>
          <w:rFonts w:hint="eastAsia" w:ascii="仿宋_GB2312" w:hAnsi="仿宋_GB2312" w:eastAsia="仿宋_GB2312" w:cs="仿宋_GB2312"/>
          <w:sz w:val="32"/>
          <w:szCs w:val="32"/>
        </w:rPr>
        <w:t>公务用车运行维护费。</w:t>
      </w:r>
    </w:p>
    <w:p w14:paraId="2A7979D1">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（二）“三公”经费财政拨款支出决算具体情况说明</w:t>
      </w:r>
    </w:p>
    <w:p w14:paraId="34300DBF">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rPr>
        <w:t>2</w:t>
      </w:r>
      <w:r>
        <w:rPr>
          <w:rFonts w:hint="eastAsia" w:ascii="仿宋_GB2312" w:hAnsi="仿宋_GB2312" w:eastAsia="仿宋_GB2312" w:cs="仿宋_GB2312"/>
          <w:sz w:val="32"/>
          <w:szCs w:val="32"/>
        </w:rPr>
        <w:t>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年度“三公”经费财政拨款支出决算中，公务接待费支出决算4.66万元，占</w:t>
      </w:r>
      <w:r>
        <w:rPr>
          <w:rFonts w:hint="eastAsia" w:ascii="仿宋_GB2312" w:hAnsi="仿宋_GB2312" w:eastAsia="仿宋_GB2312" w:cs="仿宋_GB2312"/>
          <w:sz w:val="32"/>
          <w:szCs w:val="32"/>
          <w:lang w:val="en-US" w:eastAsia="zh-CN"/>
        </w:rPr>
        <w:t>6.5</w:t>
      </w:r>
      <w:r>
        <w:rPr>
          <w:rFonts w:hint="eastAsia" w:ascii="仿宋_GB2312" w:hAnsi="仿宋_GB2312" w:eastAsia="仿宋_GB2312" w:cs="仿宋_GB2312"/>
          <w:sz w:val="32"/>
          <w:szCs w:val="32"/>
        </w:rPr>
        <w:t>%,因公出国（境）费支出决算</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%,公务用车购置费及运行维护费支出决算67.05万元，占</w:t>
      </w:r>
      <w:r>
        <w:rPr>
          <w:rFonts w:hint="eastAsia" w:ascii="仿宋_GB2312" w:hAnsi="仿宋_GB2312" w:eastAsia="仿宋_GB2312" w:cs="仿宋_GB2312"/>
          <w:sz w:val="32"/>
          <w:szCs w:val="32"/>
          <w:lang w:val="en-US" w:eastAsia="zh-CN"/>
        </w:rPr>
        <w:t>93.5</w:t>
      </w:r>
      <w:r>
        <w:rPr>
          <w:rFonts w:hint="eastAsia" w:ascii="仿宋_GB2312" w:hAnsi="仿宋_GB2312" w:eastAsia="仿宋_GB2312" w:cs="仿宋_GB2312"/>
          <w:sz w:val="32"/>
          <w:szCs w:val="32"/>
        </w:rPr>
        <w:t>%。其中：</w:t>
      </w:r>
    </w:p>
    <w:p w14:paraId="17A73A3B">
      <w:pPr>
        <w:pStyle w:val="14"/>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因公出国（境）费支出决算为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万元，全年安排因公出国（境）团组</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个，累计</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人次,</w:t>
      </w:r>
      <w:r>
        <w:rPr>
          <w:rFonts w:hint="eastAsia" w:ascii="仿宋_GB2312" w:hAnsi="仿宋_GB2312" w:eastAsia="仿宋_GB2312" w:cs="仿宋_GB2312"/>
          <w:sz w:val="32"/>
          <w:szCs w:val="32"/>
          <w:lang w:eastAsia="zh-CN"/>
        </w:rPr>
        <w:t>我单位202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年度无因公出国（境）费支出。</w:t>
      </w:r>
    </w:p>
    <w:p w14:paraId="5DC173BC">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2、公务接待费支出决算为4.66万元，全年共接待来访团组</w:t>
      </w:r>
      <w:r>
        <w:rPr>
          <w:rFonts w:hint="eastAsia" w:ascii="仿宋_GB2312" w:hAnsi="仿宋_GB2312" w:eastAsia="仿宋_GB2312" w:cs="仿宋_GB2312"/>
          <w:sz w:val="32"/>
          <w:szCs w:val="32"/>
          <w:lang w:val="en-US" w:eastAsia="zh-CN"/>
        </w:rPr>
        <w:t>65</w:t>
      </w:r>
      <w:r>
        <w:rPr>
          <w:rFonts w:hint="eastAsia" w:ascii="仿宋_GB2312" w:hAnsi="仿宋_GB2312" w:eastAsia="仿宋_GB2312" w:cs="仿宋_GB2312"/>
          <w:sz w:val="32"/>
          <w:szCs w:val="32"/>
        </w:rPr>
        <w:t>个、来宾</w:t>
      </w:r>
      <w:r>
        <w:rPr>
          <w:rFonts w:hint="eastAsia" w:ascii="仿宋_GB2312" w:hAnsi="仿宋_GB2312" w:eastAsia="仿宋_GB2312" w:cs="仿宋_GB2312"/>
          <w:sz w:val="32"/>
          <w:szCs w:val="32"/>
          <w:lang w:val="en-US" w:eastAsia="zh-CN"/>
        </w:rPr>
        <w:t>401</w:t>
      </w:r>
      <w:r>
        <w:rPr>
          <w:rFonts w:hint="eastAsia" w:ascii="仿宋_GB2312" w:hAnsi="仿宋_GB2312" w:eastAsia="仿宋_GB2312" w:cs="仿宋_GB2312"/>
          <w:sz w:val="32"/>
          <w:szCs w:val="32"/>
        </w:rPr>
        <w:t>人次，主要是</w:t>
      </w:r>
      <w:r>
        <w:rPr>
          <w:rFonts w:hint="eastAsia" w:ascii="仿宋_GB2312" w:hAnsi="仿宋_GB2312" w:eastAsia="仿宋_GB2312" w:cs="仿宋_GB2312"/>
          <w:sz w:val="32"/>
          <w:szCs w:val="32"/>
          <w:lang w:val="en-US" w:eastAsia="zh-CN"/>
        </w:rPr>
        <w:t>省内卫健系统业务工作</w:t>
      </w:r>
      <w:r>
        <w:rPr>
          <w:rFonts w:hint="eastAsia" w:ascii="仿宋_GB2312" w:hAnsi="仿宋_GB2312" w:eastAsia="仿宋_GB2312" w:cs="仿宋_GB2312"/>
          <w:sz w:val="32"/>
          <w:szCs w:val="32"/>
        </w:rPr>
        <w:t>发生的接待支出。</w:t>
      </w:r>
    </w:p>
    <w:p w14:paraId="5034C179">
      <w:pPr>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bCs/>
          <w:i/>
          <w:color w:val="auto"/>
          <w:kern w:val="0"/>
          <w:sz w:val="32"/>
          <w:szCs w:val="32"/>
          <w:lang w:val="en-US" w:eastAsia="zh-CN" w:bidi="ar-SA"/>
        </w:rPr>
      </w:pPr>
      <w:r>
        <w:rPr>
          <w:rFonts w:hint="eastAsia" w:ascii="仿宋_GB2312" w:hAnsi="仿宋_GB2312" w:eastAsia="仿宋_GB2312" w:cs="仿宋_GB2312"/>
          <w:sz w:val="32"/>
          <w:szCs w:val="32"/>
        </w:rPr>
        <w:t>3、公务用车购置费及运行维护费支出决算为67.05万元，其中：公务用车购置费17.98万元，</w:t>
      </w:r>
      <w:r>
        <w:rPr>
          <w:rFonts w:hint="eastAsia" w:ascii="仿宋_GB2312" w:hAnsi="仿宋_GB2312" w:eastAsia="仿宋_GB2312" w:cs="仿宋_GB2312"/>
          <w:sz w:val="32"/>
          <w:szCs w:val="32"/>
          <w:lang w:val="en-US" w:eastAsia="zh-CN"/>
        </w:rPr>
        <w:t>岳阳市中心血站</w:t>
      </w:r>
      <w:r>
        <w:rPr>
          <w:rFonts w:hint="eastAsia" w:ascii="仿宋_GB2312" w:hAnsi="仿宋_GB2312" w:eastAsia="仿宋_GB2312" w:cs="仿宋_GB2312"/>
          <w:sz w:val="32"/>
          <w:szCs w:val="32"/>
        </w:rPr>
        <w:t>更新公务用车</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辆</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sz w:val="32"/>
          <w:szCs w:val="32"/>
        </w:rPr>
        <w:t>公务用车运行维护费49.07万元，主要是</w:t>
      </w:r>
      <w:r>
        <w:rPr>
          <w:rFonts w:hint="eastAsia" w:ascii="仿宋_GB2312" w:hAnsi="仿宋_GB2312" w:eastAsia="仿宋_GB2312" w:cs="仿宋_GB2312"/>
          <w:sz w:val="32"/>
          <w:szCs w:val="32"/>
          <w:lang w:val="en-US" w:eastAsia="zh-CN"/>
        </w:rPr>
        <w:t>公务用车维护</w:t>
      </w:r>
      <w:r>
        <w:rPr>
          <w:rFonts w:hint="eastAsia" w:ascii="仿宋_GB2312" w:hAnsi="仿宋_GB2312" w:eastAsia="仿宋_GB2312" w:cs="仿宋_GB2312"/>
          <w:sz w:val="32"/>
          <w:szCs w:val="32"/>
        </w:rPr>
        <w:t>支出，截止202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年12月31日，我单位开支财政拨款的公务用车保有量为</w:t>
      </w:r>
      <w:r>
        <w:rPr>
          <w:rFonts w:hint="eastAsia" w:ascii="仿宋_GB2312" w:hAnsi="仿宋_GB2312" w:eastAsia="仿宋_GB2312" w:cs="仿宋_GB2312"/>
          <w:sz w:val="32"/>
          <w:szCs w:val="32"/>
          <w:lang w:val="en-US" w:eastAsia="zh-CN"/>
        </w:rPr>
        <w:t>26</w:t>
      </w:r>
      <w:r>
        <w:rPr>
          <w:rFonts w:hint="eastAsia" w:ascii="仿宋_GB2312" w:hAnsi="仿宋_GB2312" w:eastAsia="仿宋_GB2312" w:cs="仿宋_GB2312"/>
          <w:sz w:val="32"/>
          <w:szCs w:val="32"/>
        </w:rPr>
        <w:t>辆。</w:t>
      </w:r>
    </w:p>
    <w:p w14:paraId="73DDBC6F">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color w:val="auto"/>
          <w:sz w:val="32"/>
          <w:szCs w:val="32"/>
        </w:rPr>
      </w:pPr>
      <w:r>
        <w:rPr>
          <w:rFonts w:hint="eastAsia" w:ascii="Times New Roman" w:hAnsi="Times New Roman" w:eastAsia="仿宋_GB2312"/>
          <w:b/>
          <w:color w:val="auto"/>
          <w:sz w:val="32"/>
          <w:szCs w:val="32"/>
          <w:lang w:eastAsia="zh-CN"/>
        </w:rPr>
        <w:t>十</w:t>
      </w:r>
      <w:r>
        <w:rPr>
          <w:rFonts w:hint="eastAsia" w:ascii="Times New Roman" w:hAnsi="Times New Roman" w:eastAsia="仿宋_GB2312"/>
          <w:b/>
          <w:color w:val="auto"/>
          <w:sz w:val="32"/>
          <w:szCs w:val="32"/>
        </w:rPr>
        <w:t>、关于机关运行经费支出说明</w:t>
      </w:r>
    </w:p>
    <w:p w14:paraId="50BA6E36">
      <w:pPr>
        <w:keepNext w:val="0"/>
        <w:keepLines w:val="0"/>
        <w:pageBreakBefore w:val="0"/>
        <w:kinsoku/>
        <w:wordWrap/>
        <w:overflowPunct/>
        <w:topLinePunct w:val="0"/>
        <w:autoSpaceDE/>
        <w:autoSpaceDN/>
        <w:bidi w:val="0"/>
        <w:snapToGrid w:val="0"/>
        <w:spacing w:line="580" w:lineRule="exact"/>
        <w:ind w:firstLine="640" w:firstLineChars="200"/>
        <w:textAlignment w:val="auto"/>
        <w:rPr>
          <w:rFonts w:ascii="Times New Roman" w:hAnsi="Times New Roman" w:eastAsia="仿宋_GB2312"/>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年度机关运行经费支出1375.19万元，比年初预算数（或者上年决算数）增加</w:t>
      </w:r>
      <w:r>
        <w:rPr>
          <w:rFonts w:hint="eastAsia" w:ascii="仿宋_GB2312" w:hAnsi="仿宋_GB2312" w:eastAsia="仿宋_GB2312" w:cs="仿宋_GB2312"/>
          <w:sz w:val="32"/>
          <w:szCs w:val="32"/>
          <w:lang w:val="en-US" w:eastAsia="zh-CN"/>
        </w:rPr>
        <w:t>230.95</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20.82</w:t>
      </w:r>
      <w:r>
        <w:rPr>
          <w:rFonts w:hint="eastAsia" w:ascii="仿宋_GB2312" w:hAnsi="仿宋_GB2312" w:eastAsia="仿宋_GB2312" w:cs="仿宋_GB2312"/>
          <w:sz w:val="32"/>
          <w:szCs w:val="32"/>
        </w:rPr>
        <w:t>%。主要原因是：</w:t>
      </w:r>
      <w:r>
        <w:rPr>
          <w:rFonts w:hint="eastAsia" w:ascii="仿宋_GB2312" w:hAnsi="仿宋" w:eastAsia="仿宋_GB2312" w:cs="Times New Roman"/>
          <w:sz w:val="32"/>
          <w:szCs w:val="32"/>
          <w:lang w:val="en-US" w:eastAsia="zh-CN"/>
        </w:rPr>
        <w:t>2023年公车补贴、工会经费补助支出数较上年有增长。</w:t>
      </w:r>
    </w:p>
    <w:p w14:paraId="6654304B">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一</w:t>
      </w:r>
      <w:r>
        <w:rPr>
          <w:rFonts w:hint="eastAsia" w:ascii="黑体" w:hAnsi="黑体" w:eastAsia="黑体" w:cs="黑体"/>
          <w:b w:val="0"/>
          <w:bCs/>
          <w:sz w:val="32"/>
          <w:szCs w:val="32"/>
        </w:rPr>
        <w:t>、一般性支出情况说明</w:t>
      </w:r>
    </w:p>
    <w:p w14:paraId="11B5A9B5">
      <w:pPr>
        <w:pStyle w:val="14"/>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年度，会议费年初预算5.5万元，支出决算为1.61万元，完成年初预算的29.27%。用于召</w:t>
      </w:r>
      <w:r>
        <w:rPr>
          <w:rFonts w:hint="eastAsia" w:ascii="仿宋_GB2312" w:hAnsi="仿宋_GB2312" w:eastAsia="仿宋_GB2312" w:cs="仿宋_GB2312"/>
          <w:color w:val="auto"/>
          <w:kern w:val="2"/>
          <w:sz w:val="32"/>
          <w:szCs w:val="32"/>
          <w:lang w:val="en-US" w:eastAsia="zh-CN" w:bidi="ar-SA"/>
        </w:rPr>
        <w:t>开市卫生健康相关工作</w:t>
      </w:r>
      <w:r>
        <w:rPr>
          <w:rFonts w:hint="eastAsia" w:ascii="仿宋_GB2312" w:hAnsi="仿宋_GB2312" w:eastAsia="仿宋_GB2312" w:cs="仿宋_GB2312"/>
          <w:sz w:val="32"/>
          <w:szCs w:val="32"/>
          <w:lang w:val="en-US" w:eastAsia="zh-CN"/>
        </w:rPr>
        <w:t>会议，</w:t>
      </w:r>
      <w:r>
        <w:rPr>
          <w:rFonts w:hint="eastAsia" w:ascii="仿宋_GB2312" w:hAnsi="仿宋_GB2312" w:eastAsia="仿宋_GB2312" w:cs="仿宋_GB2312"/>
          <w:sz w:val="32"/>
          <w:szCs w:val="32"/>
        </w:rPr>
        <w:t>人数</w:t>
      </w:r>
      <w:r>
        <w:rPr>
          <w:rFonts w:hint="eastAsia" w:ascii="仿宋_GB2312" w:hAnsi="仿宋_GB2312" w:eastAsia="仿宋_GB2312" w:cs="仿宋_GB2312"/>
          <w:sz w:val="32"/>
          <w:szCs w:val="32"/>
          <w:lang w:val="en-US" w:eastAsia="zh-CN"/>
        </w:rPr>
        <w:t>2011</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val="en-US" w:eastAsia="zh-CN"/>
        </w:rPr>
        <w:t>，内容为全市卫生健康工作会议、各业务科室开展年度工作布置会议、半年工作汇报会，免疫规划工作会议等。</w:t>
      </w:r>
    </w:p>
    <w:p w14:paraId="466F5256">
      <w:pPr>
        <w:widowControl w:val="0"/>
        <w:autoSpaceDE w:val="0"/>
        <w:autoSpaceDN w:val="0"/>
        <w:adjustRightInd w:val="0"/>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培训费年初预算5.8万元，支出决算为5.31万元，完成年初预算的91.55%。用于开展市卫生健康相关技能培训，人数3062人，内容为开展全市应急防控演练培训、全市卫生计生综合监督执法培训、各医疗机构开展规培医生、住院医师培训、临床输血培训、志愿者宣传招募培训，岳阳市妇女保健工作例会暨“两癌”、孕前优生、乡镇卫生院及社区骨干人员培训开支、基层医疗人员培训等。</w:t>
      </w:r>
    </w:p>
    <w:p w14:paraId="4C8C4286">
      <w:pPr>
        <w:widowControl w:val="0"/>
        <w:autoSpaceDE w:val="0"/>
        <w:autoSpaceDN w:val="0"/>
        <w:adjustRightInd w:val="0"/>
        <w:ind w:firstLine="640" w:firstLineChars="200"/>
        <w:rPr>
          <w:rFonts w:hint="default" w:ascii="仿宋_GB2312" w:hAnsi="仿宋_GB2312" w:eastAsia="仿宋_GB2312" w:cs="仿宋_GB2312"/>
          <w:b/>
          <w:bCs/>
          <w:i/>
          <w:color w:val="FF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举办节庆、晚会、论坛、赛事活动年初预算0万元，支出决算为0万元，本单位无举办节庆、晚会、论坛、赛事等活动的预算和支出决算数。</w:t>
      </w:r>
    </w:p>
    <w:p w14:paraId="7CF6D769">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二</w:t>
      </w:r>
      <w:r>
        <w:rPr>
          <w:rFonts w:hint="eastAsia" w:ascii="黑体" w:hAnsi="黑体" w:eastAsia="黑体" w:cs="黑体"/>
          <w:b w:val="0"/>
          <w:bCs/>
          <w:sz w:val="32"/>
          <w:szCs w:val="32"/>
        </w:rPr>
        <w:t>、关于政府采购支出说明</w:t>
      </w:r>
    </w:p>
    <w:p w14:paraId="5884A6B3">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年度政府采购支出总额69455.87万元，其中：政府采购货物支出41007.58万元、政府采购工程支出21359.42万元、政府采购服务支出7088.87万元。授予中小企业合同金额14849.72万元，占政府采购支出总额的</w:t>
      </w:r>
      <w:r>
        <w:rPr>
          <w:rFonts w:hint="eastAsia" w:ascii="仿宋_GB2312" w:hAnsi="仿宋_GB2312" w:eastAsia="仿宋_GB2312" w:cs="仿宋_GB2312"/>
          <w:sz w:val="32"/>
          <w:szCs w:val="32"/>
          <w:lang w:val="en-US" w:eastAsia="zh-CN"/>
        </w:rPr>
        <w:t>21.38</w:t>
      </w:r>
      <w:r>
        <w:rPr>
          <w:rFonts w:hint="eastAsia" w:ascii="仿宋_GB2312" w:hAnsi="仿宋_GB2312" w:eastAsia="仿宋_GB2312" w:cs="仿宋_GB2312"/>
          <w:sz w:val="32"/>
          <w:szCs w:val="32"/>
        </w:rPr>
        <w:t>%，其中：授予小微企业合同金额10093.36万元，</w:t>
      </w:r>
      <w:r>
        <w:rPr>
          <w:rFonts w:hint="eastAsia" w:ascii="仿宋_GB2312" w:hAnsi="仿宋_GB2312" w:eastAsia="仿宋_GB2312" w:cs="仿宋_GB2312"/>
          <w:color w:val="auto"/>
          <w:sz w:val="32"/>
          <w:szCs w:val="32"/>
        </w:rPr>
        <w:t>占</w:t>
      </w:r>
      <w:r>
        <w:rPr>
          <w:rFonts w:hint="eastAsia" w:ascii="仿宋_GB2312" w:hAnsi="仿宋_GB2312" w:eastAsia="仿宋_GB2312" w:cs="仿宋_GB2312"/>
          <w:color w:val="auto"/>
          <w:sz w:val="32"/>
          <w:szCs w:val="32"/>
          <w:lang w:eastAsia="zh-CN"/>
        </w:rPr>
        <w:t>授予中小企业合同金额</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67.97</w:t>
      </w:r>
      <w:r>
        <w:rPr>
          <w:rFonts w:hint="eastAsia" w:ascii="仿宋_GB2312" w:hAnsi="仿宋_GB2312" w:eastAsia="仿宋_GB2312" w:cs="仿宋_GB2312"/>
          <w:color w:val="auto"/>
          <w:sz w:val="32"/>
          <w:szCs w:val="32"/>
        </w:rPr>
        <w:t>%。货物采购授予中小</w:t>
      </w:r>
      <w:r>
        <w:rPr>
          <w:rFonts w:hint="eastAsia" w:ascii="Times New Roman" w:hAnsi="Times New Roman" w:eastAsia="仿宋_GB2312"/>
          <w:color w:val="auto"/>
          <w:sz w:val="32"/>
          <w:szCs w:val="32"/>
        </w:rPr>
        <w:t>企业合同金</w:t>
      </w:r>
      <w:r>
        <w:rPr>
          <w:rFonts w:hint="eastAsia" w:ascii="仿宋_GB2312" w:hAnsi="仿宋_GB2312" w:eastAsia="仿宋_GB2312" w:cs="仿宋_GB2312"/>
          <w:color w:val="auto"/>
          <w:sz w:val="32"/>
          <w:szCs w:val="32"/>
        </w:rPr>
        <w:t>额占货物支出金额的</w:t>
      </w:r>
      <w:r>
        <w:rPr>
          <w:rFonts w:hint="eastAsia" w:ascii="仿宋_GB2312" w:hAnsi="仿宋_GB2312" w:eastAsia="仿宋_GB2312" w:cs="仿宋_GB2312"/>
          <w:color w:val="auto"/>
          <w:sz w:val="32"/>
          <w:szCs w:val="32"/>
          <w:lang w:val="en-US" w:eastAsia="zh-CN"/>
        </w:rPr>
        <w:t>36.21</w:t>
      </w:r>
      <w:r>
        <w:rPr>
          <w:rFonts w:hint="eastAsia" w:ascii="仿宋_GB2312" w:hAnsi="仿宋_GB2312" w:eastAsia="仿宋_GB2312" w:cs="仿宋_GB2312"/>
          <w:color w:val="auto"/>
          <w:sz w:val="32"/>
          <w:szCs w:val="32"/>
        </w:rPr>
        <w:t>%，工程采购授予中小企业合同金额占工程支出金额的</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%，服务采购授予中小企业合同金额占服务支出金额的</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w:t>
      </w:r>
    </w:p>
    <w:p w14:paraId="0BB0E9B8">
      <w:pPr>
        <w:pStyle w:val="14"/>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三</w:t>
      </w:r>
      <w:r>
        <w:rPr>
          <w:rFonts w:hint="eastAsia" w:ascii="黑体" w:hAnsi="黑体" w:eastAsia="黑体" w:cs="黑体"/>
          <w:b w:val="0"/>
          <w:bCs/>
          <w:color w:val="auto"/>
          <w:sz w:val="32"/>
          <w:szCs w:val="32"/>
        </w:rPr>
        <w:t>、关于国有资产占用情况说明</w:t>
      </w:r>
    </w:p>
    <w:p w14:paraId="460D9AF0">
      <w:pPr>
        <w:pStyle w:val="14"/>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仿宋_GB2312" w:hAnsi="仿宋_GB2312" w:eastAsia="仿宋_GB2312" w:cs="仿宋_GB2312"/>
          <w:i w:val="0"/>
          <w:iCs/>
          <w:color w:val="FF0000"/>
          <w:sz w:val="32"/>
          <w:szCs w:val="32"/>
          <w:lang w:val="en-US" w:eastAsia="zh-CN"/>
        </w:rPr>
      </w:pPr>
      <w:r>
        <w:rPr>
          <w:rFonts w:hint="eastAsia" w:ascii="仿宋_GB2312" w:hAnsi="仿宋_GB2312" w:eastAsia="仿宋_GB2312" w:cs="仿宋_GB2312"/>
          <w:color w:val="auto"/>
          <w:sz w:val="32"/>
          <w:szCs w:val="32"/>
        </w:rPr>
        <w:t>截至202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年12月31日，</w:t>
      </w:r>
      <w:r>
        <w:rPr>
          <w:rFonts w:hint="eastAsia" w:ascii="仿宋_GB2312" w:hAnsi="仿宋_GB2312" w:eastAsia="仿宋_GB2312" w:cs="仿宋_GB2312"/>
          <w:color w:val="auto"/>
          <w:sz w:val="32"/>
          <w:szCs w:val="32"/>
          <w:lang w:eastAsia="zh-CN"/>
        </w:rPr>
        <w:t>部门（单位）</w:t>
      </w:r>
      <w:r>
        <w:rPr>
          <w:rFonts w:hint="eastAsia" w:ascii="仿宋_GB2312" w:hAnsi="仿宋_GB2312" w:eastAsia="仿宋_GB2312" w:cs="仿宋_GB2312"/>
          <w:color w:val="auto"/>
          <w:sz w:val="32"/>
          <w:szCs w:val="32"/>
        </w:rPr>
        <w:t>共有车辆</w:t>
      </w:r>
      <w:r>
        <w:rPr>
          <w:rFonts w:hint="eastAsia" w:ascii="仿宋_GB2312" w:hAnsi="仿宋_GB2312" w:eastAsia="仿宋_GB2312" w:cs="仿宋_GB2312"/>
          <w:color w:val="auto"/>
          <w:sz w:val="32"/>
          <w:szCs w:val="32"/>
          <w:lang w:val="en-US" w:eastAsia="zh-CN"/>
        </w:rPr>
        <w:t>74</w:t>
      </w:r>
      <w:r>
        <w:rPr>
          <w:rFonts w:hint="eastAsia" w:ascii="仿宋_GB2312" w:hAnsi="仿宋_GB2312" w:eastAsia="仿宋_GB2312" w:cs="仿宋_GB2312"/>
          <w:color w:val="auto"/>
          <w:sz w:val="32"/>
          <w:szCs w:val="32"/>
        </w:rPr>
        <w:t>辆，其中</w:t>
      </w:r>
      <w:r>
        <w:rPr>
          <w:rFonts w:hint="eastAsia" w:ascii="仿宋_GB2312" w:hAnsi="仿宋_GB2312" w:eastAsia="仿宋_GB2312" w:cs="仿宋_GB2312"/>
          <w:color w:val="auto"/>
          <w:sz w:val="32"/>
          <w:szCs w:val="32"/>
          <w:lang w:eastAsia="zh-CN"/>
        </w:rPr>
        <w:t>，副部（省）级及以上领导用车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主要</w:t>
      </w:r>
      <w:r>
        <w:rPr>
          <w:rFonts w:hint="eastAsia" w:ascii="仿宋_GB2312" w:hAnsi="仿宋_GB2312" w:eastAsia="仿宋_GB2312" w:cs="仿宋_GB2312"/>
          <w:color w:val="auto"/>
          <w:sz w:val="32"/>
          <w:szCs w:val="32"/>
          <w:lang w:eastAsia="zh-CN"/>
        </w:rPr>
        <w:t>负责人</w:t>
      </w:r>
      <w:r>
        <w:rPr>
          <w:rFonts w:hint="eastAsia" w:ascii="仿宋_GB2312" w:hAnsi="仿宋_GB2312" w:eastAsia="仿宋_GB2312" w:cs="仿宋_GB2312"/>
          <w:color w:val="auto"/>
          <w:sz w:val="32"/>
          <w:szCs w:val="32"/>
        </w:rPr>
        <w:t>用车</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机要通信用车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辆、应急保障用车</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辆、执法执勤用车</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辆、特种专业技术用车</w:t>
      </w:r>
      <w:r>
        <w:rPr>
          <w:rFonts w:hint="eastAsia" w:ascii="仿宋_GB2312" w:hAnsi="仿宋_GB2312" w:eastAsia="仿宋_GB2312" w:cs="仿宋_GB2312"/>
          <w:color w:val="auto"/>
          <w:sz w:val="32"/>
          <w:szCs w:val="32"/>
          <w:lang w:val="en-US" w:eastAsia="zh-CN"/>
        </w:rPr>
        <w:t>37</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离退休干部服务用车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辆、其他用车</w:t>
      </w:r>
      <w:r>
        <w:rPr>
          <w:rFonts w:hint="eastAsia" w:ascii="仿宋_GB2312" w:hAnsi="仿宋_GB2312" w:eastAsia="仿宋_GB2312" w:cs="仿宋_GB2312"/>
          <w:color w:val="auto"/>
          <w:sz w:val="32"/>
          <w:szCs w:val="32"/>
          <w:lang w:val="en-US" w:eastAsia="zh-CN"/>
        </w:rPr>
        <w:t>23</w:t>
      </w:r>
      <w:r>
        <w:rPr>
          <w:rFonts w:hint="eastAsia" w:ascii="仿宋_GB2312" w:hAnsi="仿宋_GB2312" w:eastAsia="仿宋_GB2312" w:cs="仿宋_GB2312"/>
          <w:color w:val="auto"/>
          <w:sz w:val="32"/>
          <w:szCs w:val="32"/>
        </w:rPr>
        <w:t>辆，其他用车主要是</w:t>
      </w:r>
      <w:r>
        <w:rPr>
          <w:rFonts w:hint="eastAsia" w:ascii="仿宋_GB2312" w:hAnsi="仿宋_GB2312" w:eastAsia="仿宋_GB2312" w:cs="仿宋_GB2312"/>
          <w:color w:val="auto"/>
          <w:sz w:val="32"/>
          <w:szCs w:val="32"/>
          <w:lang w:val="en-US" w:eastAsia="zh-CN"/>
        </w:rPr>
        <w:t>救护车、采供血业务用车</w:t>
      </w:r>
      <w:r>
        <w:rPr>
          <w:rFonts w:hint="eastAsia" w:ascii="仿宋_GB2312" w:hAnsi="仿宋_GB2312" w:eastAsia="仿宋_GB2312" w:cs="仿宋_GB2312"/>
          <w:color w:val="auto"/>
          <w:sz w:val="32"/>
          <w:szCs w:val="32"/>
        </w:rPr>
        <w:t>；单位价值100万元以上设备</w:t>
      </w:r>
      <w:r>
        <w:rPr>
          <w:rFonts w:hint="eastAsia" w:ascii="仿宋_GB2312" w:hAnsi="仿宋_GB2312" w:eastAsia="仿宋_GB2312" w:cs="仿宋_GB2312"/>
          <w:color w:val="auto"/>
          <w:sz w:val="32"/>
          <w:szCs w:val="32"/>
          <w:lang w:eastAsia="zh-CN"/>
        </w:rPr>
        <w:t>（不含车辆）</w:t>
      </w:r>
      <w:r>
        <w:rPr>
          <w:rFonts w:hint="eastAsia" w:ascii="仿宋_GB2312" w:hAnsi="仿宋_GB2312" w:eastAsia="仿宋_GB2312" w:cs="仿宋_GB2312"/>
          <w:color w:val="auto"/>
          <w:sz w:val="32"/>
          <w:szCs w:val="32"/>
          <w:lang w:val="en-US" w:eastAsia="zh-CN"/>
        </w:rPr>
        <w:t>321</w:t>
      </w:r>
      <w:r>
        <w:rPr>
          <w:rFonts w:hint="eastAsia" w:ascii="仿宋_GB2312" w:hAnsi="仿宋_GB2312" w:eastAsia="仿宋_GB2312" w:cs="仿宋_GB2312"/>
          <w:color w:val="auto"/>
          <w:sz w:val="32"/>
          <w:szCs w:val="32"/>
        </w:rPr>
        <w:t>台（套）。</w:t>
      </w:r>
    </w:p>
    <w:p w14:paraId="1A549EF2">
      <w:pPr>
        <w:pStyle w:val="14"/>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四</w:t>
      </w:r>
      <w:r>
        <w:rPr>
          <w:rFonts w:hint="eastAsia" w:ascii="黑体" w:hAnsi="黑体" w:eastAsia="黑体" w:cs="黑体"/>
          <w:b w:val="0"/>
          <w:bCs/>
          <w:color w:val="auto"/>
          <w:sz w:val="32"/>
          <w:szCs w:val="32"/>
        </w:rPr>
        <w:t>、关于</w:t>
      </w: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3</w:t>
      </w:r>
      <w:r>
        <w:rPr>
          <w:rFonts w:hint="eastAsia" w:ascii="黑体" w:hAnsi="黑体" w:eastAsia="黑体" w:cs="黑体"/>
          <w:b w:val="0"/>
          <w:bCs/>
          <w:color w:val="auto"/>
          <w:sz w:val="32"/>
          <w:szCs w:val="32"/>
        </w:rPr>
        <w:t>年度</w:t>
      </w:r>
      <w:r>
        <w:rPr>
          <w:rFonts w:hint="eastAsia" w:hAnsi="黑体" w:cs="黑体"/>
          <w:b w:val="0"/>
          <w:bCs/>
          <w:color w:val="auto"/>
          <w:sz w:val="32"/>
          <w:szCs w:val="32"/>
          <w:lang w:eastAsia="zh-CN"/>
        </w:rPr>
        <w:t>预算</w:t>
      </w:r>
      <w:r>
        <w:rPr>
          <w:rFonts w:hint="eastAsia" w:ascii="黑体" w:hAnsi="黑体" w:eastAsia="黑体" w:cs="黑体"/>
          <w:b w:val="0"/>
          <w:bCs/>
          <w:color w:val="auto"/>
          <w:sz w:val="32"/>
          <w:szCs w:val="32"/>
        </w:rPr>
        <w:t>绩效情况的说明</w:t>
      </w:r>
    </w:p>
    <w:p w14:paraId="39C904A4">
      <w:pPr>
        <w:pStyle w:val="14"/>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（一）绩效管理工作开展情况</w:t>
      </w:r>
    </w:p>
    <w:p w14:paraId="13B8F187">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根据预算绩效管理要求，我们组织对2023年度整体支出和项目资金实施了全覆盖性的绩效评价，撰写了绩效自评报告。</w:t>
      </w:r>
    </w:p>
    <w:p w14:paraId="43AB0D88">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组织开展整体支出绩效评价，涉及一般公共预算支出38759.66万元，政府性基金预算支出207万元，国有资本经营预算支出0万元。从评价情况来看，整体支出绩效评价中，2023年整体支出393427.61万元，其中：基本支出362176.84万元，项目支出31250.77万元，本单位整体支出绩效自评综合评分99分，评价结果等次为优秀。</w:t>
      </w:r>
    </w:p>
    <w:p w14:paraId="63727A40">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val="0"/>
          <w:bCs w:val="0"/>
          <w:color w:val="000000"/>
          <w:kern w:val="0"/>
          <w:sz w:val="32"/>
          <w:szCs w:val="32"/>
          <w:lang w:val="en-US" w:eastAsia="zh-CN" w:bidi="ar-SA"/>
        </w:rPr>
        <w:t>组织对一般公共预算项目支出全面开展绩效自评，项目19个，共涉及资金4882.47元，占一般公共预算项目支出总额的15.62%。组织对政府性基金预算项目支出开展绩效自评，项目1个，共涉及资金207万元，占政府性基金预算项目支出总额的100%。组织对国有资本经营预算项目支出开展绩效自评，项目0个，共涉及资金0万元，</w:t>
      </w:r>
      <w:r>
        <w:rPr>
          <w:rFonts w:hint="eastAsia" w:ascii="仿宋_GB2312" w:hAnsi="仿宋_GB2312" w:eastAsia="仿宋_GB2312" w:cs="仿宋_GB2312"/>
          <w:sz w:val="32"/>
          <w:szCs w:val="32"/>
          <w:lang w:eastAsia="zh-CN"/>
        </w:rPr>
        <w:t>由于</w:t>
      </w:r>
      <w:r>
        <w:rPr>
          <w:rFonts w:hint="eastAsia" w:ascii="仿宋_GB2312" w:hAnsi="仿宋_GB2312" w:eastAsia="仿宋_GB2312" w:cs="仿宋_GB2312"/>
          <w:b w:val="0"/>
          <w:bCs w:val="0"/>
          <w:color w:val="000000"/>
          <w:kern w:val="0"/>
          <w:sz w:val="32"/>
          <w:szCs w:val="32"/>
          <w:lang w:val="en-US" w:eastAsia="zh-CN" w:bidi="ar-SA"/>
        </w:rPr>
        <w:t>国有资本经营预算支出</w:t>
      </w:r>
      <w:r>
        <w:rPr>
          <w:rFonts w:hint="eastAsia" w:ascii="仿宋_GB2312" w:hAnsi="仿宋_GB2312" w:eastAsia="仿宋_GB2312" w:cs="仿宋_GB2312"/>
          <w:sz w:val="32"/>
          <w:szCs w:val="32"/>
          <w:lang w:eastAsia="zh-CN"/>
        </w:rPr>
        <w:t>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b w:val="0"/>
          <w:bCs w:val="0"/>
          <w:color w:val="000000"/>
          <w:kern w:val="0"/>
          <w:sz w:val="32"/>
          <w:szCs w:val="32"/>
          <w:lang w:val="en-US" w:eastAsia="zh-CN" w:bidi="ar-SA"/>
        </w:rPr>
        <w:t>万元</w:t>
      </w:r>
      <w:r>
        <w:rPr>
          <w:rFonts w:hint="eastAsia" w:ascii="仿宋_GB2312" w:hAnsi="仿宋_GB2312" w:eastAsia="仿宋_GB2312" w:cs="仿宋_GB2312"/>
          <w:sz w:val="32"/>
          <w:szCs w:val="32"/>
          <w:lang w:val="en-US" w:eastAsia="zh-CN"/>
        </w:rPr>
        <w:t>，无法计算百分比</w:t>
      </w:r>
      <w:r>
        <w:rPr>
          <w:rFonts w:hint="eastAsia" w:ascii="仿宋_GB2312" w:hAnsi="仿宋_GB2312" w:eastAsia="仿宋_GB2312" w:cs="仿宋_GB2312"/>
          <w:b w:val="0"/>
          <w:bCs w:val="0"/>
          <w:color w:val="000000"/>
          <w:kern w:val="0"/>
          <w:sz w:val="32"/>
          <w:szCs w:val="32"/>
          <w:lang w:val="en-US" w:eastAsia="zh-CN" w:bidi="ar-SA"/>
        </w:rPr>
        <w:t>。从评价情况来看，项目绩效自评得分99分，评价结果等次为优。</w:t>
      </w:r>
    </w:p>
    <w:p w14:paraId="32E196E4">
      <w:pPr>
        <w:pStyle w:val="14"/>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（二）</w:t>
      </w:r>
      <w:r>
        <w:rPr>
          <w:rFonts w:hint="eastAsia" w:ascii="楷体" w:hAnsi="楷体" w:eastAsia="楷体" w:cs="楷体"/>
          <w:b/>
          <w:bCs/>
          <w:sz w:val="32"/>
          <w:szCs w:val="32"/>
        </w:rPr>
        <w:t>部门</w:t>
      </w:r>
      <w:r>
        <w:rPr>
          <w:rFonts w:hint="eastAsia" w:ascii="楷体" w:hAnsi="楷体" w:eastAsia="楷体" w:cs="楷体"/>
          <w:b/>
          <w:bCs/>
          <w:sz w:val="32"/>
          <w:szCs w:val="32"/>
          <w:lang w:eastAsia="zh-CN"/>
        </w:rPr>
        <w:t>（单位）</w:t>
      </w:r>
      <w:r>
        <w:rPr>
          <w:rFonts w:hint="eastAsia" w:ascii="楷体" w:hAnsi="楷体" w:eastAsia="楷体" w:cs="楷体"/>
          <w:b/>
          <w:bCs/>
          <w:sz w:val="32"/>
          <w:szCs w:val="32"/>
        </w:rPr>
        <w:t>整体支出绩效情况</w:t>
      </w:r>
    </w:p>
    <w:p w14:paraId="11FAB84D">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根据年初设定的绩效目标，绩效自评得分为98分。全年预算数为115679.62万元，执行数为107147.49万元，完成预算的92.62%。绩效目标完成情况：一是持续深化卫生健康服务供给侧结构性改</w:t>
      </w:r>
      <w:bookmarkStart w:id="0" w:name="_GoBack"/>
      <w:bookmarkEnd w:id="0"/>
      <w:r>
        <w:rPr>
          <w:rFonts w:hint="eastAsia" w:ascii="仿宋_GB2312" w:hAnsi="仿宋_GB2312" w:eastAsia="仿宋_GB2312" w:cs="仿宋_GB2312"/>
          <w:b w:val="0"/>
          <w:bCs w:val="0"/>
          <w:color w:val="000000"/>
          <w:kern w:val="0"/>
          <w:sz w:val="32"/>
          <w:szCs w:val="32"/>
          <w:lang w:val="en-US" w:eastAsia="zh-CN" w:bidi="ar-SA"/>
        </w:rPr>
        <w:t>革。推进分级诊疗；二是加强公立医院管理；三是扎实做好公共卫生和重大疾病防控工作。为群众提供14类基本公共卫生服务，完善疾病预防控制体系和保障机制；四是增强优质医疗服务资源供给能力。打造一批在全省有影响力的专科（技术）品牌；五是推动构建网格化、整合型医疗服务模式。</w:t>
      </w:r>
    </w:p>
    <w:p w14:paraId="676E66FA">
      <w:pPr>
        <w:pStyle w:val="14"/>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（三）</w:t>
      </w:r>
      <w:r>
        <w:rPr>
          <w:rFonts w:hint="eastAsia" w:ascii="楷体" w:hAnsi="楷体" w:eastAsia="楷体" w:cs="楷体"/>
          <w:b/>
          <w:bCs/>
          <w:sz w:val="32"/>
          <w:szCs w:val="32"/>
        </w:rPr>
        <w:t>存在的问题及原因分析</w:t>
      </w:r>
    </w:p>
    <w:p w14:paraId="37C6C0C2">
      <w:pPr>
        <w:pStyle w:val="14"/>
        <w:keepNext w:val="0"/>
        <w:keepLines w:val="0"/>
        <w:pageBreakBefore w:val="0"/>
        <w:widowControl w:val="0"/>
        <w:numPr>
          <w:ilvl w:val="0"/>
          <w:numId w:val="0"/>
        </w:numPr>
        <w:kinsoku/>
        <w:wordWrap/>
        <w:overflowPunct/>
        <w:topLinePunct w:val="0"/>
        <w:bidi w:val="0"/>
        <w:snapToGrid/>
        <w:spacing w:line="600" w:lineRule="exact"/>
        <w:ind w:firstLine="640" w:firstLineChars="20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发现的主要问题及原因：一是部分项目预算约束性不够；二是部分项目预算执行进度偏慢。下一步改进措施：一是细化预算编制，优化预算项目设置；二是强化预算约束，实行项目进度动态管理。</w:t>
      </w:r>
    </w:p>
    <w:p w14:paraId="5DA7DE4D">
      <w:pPr>
        <w:autoSpaceDE w:val="0"/>
        <w:autoSpaceDN w:val="0"/>
        <w:adjustRightInd w:val="0"/>
        <w:ind w:firstLine="640" w:firstLineChars="20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预算绩效管理开展情况、绩效目标和绩效评价报告等，已在市政府部门财政预决算公开平台上向社会公开，详见附件。</w:t>
      </w:r>
    </w:p>
    <w:p w14:paraId="6848E94D">
      <w:pPr>
        <w:numPr>
          <w:ilvl w:val="0"/>
          <w:numId w:val="0"/>
        </w:numPr>
        <w:autoSpaceDE w:val="0"/>
        <w:autoSpaceDN w:val="0"/>
        <w:adjustRightInd w:val="0"/>
        <w:jc w:val="left"/>
        <w:rPr>
          <w:rFonts w:hint="eastAsia" w:ascii="楷体" w:hAnsi="楷体" w:eastAsia="楷体" w:cs="楷体"/>
          <w:b/>
          <w:bCs/>
          <w:i w:val="0"/>
          <w:iCs w:val="0"/>
          <w:color w:val="FF0000"/>
          <w:kern w:val="0"/>
          <w:sz w:val="36"/>
          <w:szCs w:val="36"/>
          <w:lang w:val="en-US" w:eastAsia="zh-CN"/>
        </w:rPr>
      </w:pPr>
    </w:p>
    <w:p w14:paraId="46381268">
      <w:pPr>
        <w:numPr>
          <w:ilvl w:val="0"/>
          <w:numId w:val="0"/>
        </w:numPr>
        <w:autoSpaceDE w:val="0"/>
        <w:autoSpaceDN w:val="0"/>
        <w:adjustRightInd w:val="0"/>
        <w:jc w:val="left"/>
        <w:rPr>
          <w:sz w:val="72"/>
          <w:szCs w:val="72"/>
        </w:rPr>
      </w:pPr>
    </w:p>
    <w:p w14:paraId="6BB25D3E">
      <w:pPr>
        <w:pStyle w:val="14"/>
        <w:jc w:val="center"/>
        <w:rPr>
          <w:rFonts w:hint="eastAsia" w:ascii="方正小标宋_GBK" w:hAnsi="方正小标宋_GBK" w:eastAsia="方正小标宋_GBK" w:cs="方正小标宋_GBK"/>
          <w:sz w:val="70"/>
          <w:szCs w:val="70"/>
          <w:lang w:eastAsia="zh-CN"/>
        </w:rPr>
      </w:pPr>
    </w:p>
    <w:p w14:paraId="2A3CDE82">
      <w:pPr>
        <w:pStyle w:val="14"/>
        <w:jc w:val="center"/>
        <w:rPr>
          <w:rFonts w:hint="eastAsia" w:ascii="方正小标宋_GBK" w:hAnsi="方正小标宋_GBK" w:eastAsia="方正小标宋_GBK" w:cs="方正小标宋_GBK"/>
          <w:sz w:val="70"/>
          <w:szCs w:val="70"/>
          <w:lang w:eastAsia="zh-CN"/>
        </w:rPr>
      </w:pPr>
    </w:p>
    <w:p w14:paraId="0006B2FD">
      <w:pPr>
        <w:pStyle w:val="14"/>
        <w:jc w:val="center"/>
        <w:rPr>
          <w:rFonts w:hint="eastAsia" w:ascii="方正小标宋_GBK" w:hAnsi="方正小标宋_GBK" w:eastAsia="方正小标宋_GBK" w:cs="方正小标宋_GBK"/>
          <w:sz w:val="72"/>
          <w:szCs w:val="72"/>
        </w:rPr>
      </w:pPr>
    </w:p>
    <w:p w14:paraId="33251B43">
      <w:pPr>
        <w:pStyle w:val="14"/>
        <w:jc w:val="center"/>
        <w:rPr>
          <w:rFonts w:hint="eastAsia" w:ascii="方正小标宋_GBK" w:hAnsi="方正小标宋_GBK" w:eastAsia="方正小标宋_GBK" w:cs="方正小标宋_GBK"/>
          <w:sz w:val="72"/>
          <w:szCs w:val="72"/>
        </w:rPr>
      </w:pPr>
    </w:p>
    <w:p w14:paraId="639B7455">
      <w:pPr>
        <w:pStyle w:val="14"/>
        <w:jc w:val="center"/>
        <w:rPr>
          <w:rFonts w:hint="eastAsia" w:ascii="方正小标宋_GBK" w:hAnsi="方正小标宋_GBK" w:eastAsia="方正小标宋_GBK" w:cs="方正小标宋_GBK"/>
          <w:sz w:val="72"/>
          <w:szCs w:val="72"/>
        </w:rPr>
      </w:pPr>
    </w:p>
    <w:p w14:paraId="7AB59526">
      <w:pPr>
        <w:pStyle w:val="14"/>
        <w:jc w:val="center"/>
        <w:rPr>
          <w:rFonts w:hint="eastAsia" w:ascii="方正小标宋_GBK" w:hAnsi="方正小标宋_GBK" w:eastAsia="方正小标宋_GBK" w:cs="方正小标宋_GBK"/>
          <w:sz w:val="72"/>
          <w:szCs w:val="72"/>
        </w:rPr>
      </w:pPr>
    </w:p>
    <w:p w14:paraId="1DBC5689">
      <w:pPr>
        <w:pStyle w:val="14"/>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14:paraId="6A29BD9F">
      <w:pPr>
        <w:jc w:val="center"/>
        <w:rPr>
          <w:rFonts w:hint="eastAsia" w:ascii="方正小标宋_GBK" w:hAnsi="方正小标宋_GBK" w:eastAsia="方正小标宋_GBK" w:cs="方正小标宋_GBK"/>
          <w:color w:val="000000"/>
          <w:kern w:val="0"/>
          <w:sz w:val="70"/>
          <w:szCs w:val="70"/>
        </w:rPr>
      </w:pPr>
    </w:p>
    <w:p w14:paraId="11CE4DED">
      <w:pPr>
        <w:pStyle w:val="14"/>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color w:val="000000"/>
          <w:kern w:val="0"/>
          <w:sz w:val="70"/>
          <w:szCs w:val="70"/>
        </w:rPr>
        <w:t>名词解释</w:t>
      </w:r>
    </w:p>
    <w:p w14:paraId="1408955B">
      <w:pPr>
        <w:pStyle w:val="7"/>
      </w:pPr>
    </w:p>
    <w:p w14:paraId="78B38469">
      <w:pPr>
        <w:pStyle w:val="8"/>
      </w:pPr>
    </w:p>
    <w:p w14:paraId="4C1AC1B0"/>
    <w:p w14:paraId="6190CEF2">
      <w:pPr>
        <w:pStyle w:val="7"/>
      </w:pPr>
    </w:p>
    <w:p w14:paraId="1088D4A6">
      <w:pPr>
        <w:pStyle w:val="8"/>
      </w:pPr>
    </w:p>
    <w:p w14:paraId="456363AD"/>
    <w:p w14:paraId="6D32A4FF">
      <w:pPr>
        <w:pStyle w:val="7"/>
      </w:pPr>
    </w:p>
    <w:p w14:paraId="6D86229D">
      <w:pPr>
        <w:pStyle w:val="8"/>
      </w:pPr>
    </w:p>
    <w:p w14:paraId="54970112"/>
    <w:p w14:paraId="5011D15B">
      <w:pPr>
        <w:pStyle w:val="7"/>
      </w:pPr>
    </w:p>
    <w:p w14:paraId="688B8C33">
      <w:pPr>
        <w:pStyle w:val="8"/>
      </w:pPr>
    </w:p>
    <w:p w14:paraId="3E6DF2EF"/>
    <w:p w14:paraId="584C64CD">
      <w:pPr>
        <w:pStyle w:val="7"/>
      </w:pPr>
    </w:p>
    <w:p w14:paraId="279194D7">
      <w:pPr>
        <w:pStyle w:val="8"/>
      </w:pPr>
    </w:p>
    <w:p w14:paraId="365B06F1"/>
    <w:p w14:paraId="458C6CA0">
      <w:pPr>
        <w:pStyle w:val="7"/>
      </w:pPr>
    </w:p>
    <w:p w14:paraId="693D295F">
      <w:pPr>
        <w:pStyle w:val="8"/>
      </w:pPr>
    </w:p>
    <w:p w14:paraId="4AF3586E"/>
    <w:p w14:paraId="4D6E8E85">
      <w:pPr>
        <w:pStyle w:val="7"/>
      </w:pPr>
    </w:p>
    <w:p w14:paraId="18B7425C">
      <w:pPr>
        <w:pStyle w:val="8"/>
      </w:pPr>
    </w:p>
    <w:p w14:paraId="0CA2561E"/>
    <w:p w14:paraId="08715B72">
      <w:pPr>
        <w:pStyle w:val="7"/>
      </w:pPr>
    </w:p>
    <w:p w14:paraId="47B54B03">
      <w:pPr>
        <w:pStyle w:val="8"/>
      </w:pPr>
    </w:p>
    <w:p w14:paraId="4C55074A"/>
    <w:p w14:paraId="7A999DF1">
      <w:pPr>
        <w:pStyle w:val="7"/>
      </w:pPr>
    </w:p>
    <w:p w14:paraId="0C7222FC">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163B251A">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二、机关运行经费</w:t>
      </w:r>
      <w:r>
        <w:rPr>
          <w:rFonts w:hint="eastAsia" w:ascii="仿宋_GB2312" w:hAnsi="仿宋_GB2312" w:eastAsia="仿宋_GB2312" w:cs="仿宋_GB2312"/>
          <w:color w:val="000000"/>
          <w:kern w:val="0"/>
          <w:sz w:val="32"/>
          <w:szCs w:val="32"/>
          <w:lang w:eastAsia="zh-CN"/>
        </w:rPr>
        <w:t>，指为保障行政单位（包括参照公务员法管理的事业单位）运行用于购买货物和服务的各项资金</w:t>
      </w:r>
      <w:r>
        <w:rPr>
          <w:rFonts w:hint="eastAsia" w:ascii="仿宋_GB2312" w:hAnsi="仿宋_GB2312" w:eastAsia="仿宋_GB2312" w:cs="仿宋_GB2312"/>
          <w:color w:val="000000"/>
          <w:kern w:val="0"/>
          <w:sz w:val="32"/>
          <w:szCs w:val="32"/>
        </w:rPr>
        <w:t>，包括办公</w:t>
      </w:r>
      <w:r>
        <w:rPr>
          <w:rFonts w:hint="eastAsia" w:ascii="仿宋_GB2312" w:hAnsi="仿宋_GB2312" w:eastAsia="仿宋_GB2312" w:cs="仿宋_GB2312"/>
          <w:color w:val="000000"/>
          <w:kern w:val="0"/>
          <w:sz w:val="32"/>
          <w:szCs w:val="32"/>
          <w:lang w:eastAsia="zh-CN"/>
        </w:rPr>
        <w:t>费、</w:t>
      </w:r>
      <w:r>
        <w:rPr>
          <w:rFonts w:hint="eastAsia" w:ascii="仿宋_GB2312" w:hAnsi="仿宋_GB2312" w:eastAsia="仿宋_GB2312" w:cs="仿宋_GB2312"/>
          <w:color w:val="000000"/>
          <w:kern w:val="0"/>
          <w:sz w:val="32"/>
          <w:szCs w:val="32"/>
        </w:rPr>
        <w:t>印刷费、邮电费、差旅费、会议费、日常维修费、专用材料及一般设备购置费、办公用房水电费、办公用房取暖费、办公用房物业管理费、公务用车运行维护费以及其他费用。</w:t>
      </w:r>
    </w:p>
    <w:p w14:paraId="2828FE1D">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bCs/>
          <w:i/>
          <w:color w:val="FF0000"/>
          <w:kern w:val="0"/>
          <w:sz w:val="32"/>
          <w:szCs w:val="32"/>
          <w:lang w:val="en-US" w:eastAsia="zh-CN" w:bidi="ar-SA"/>
        </w:rPr>
      </w:pPr>
    </w:p>
    <w:p w14:paraId="417AA3B3">
      <w:pPr>
        <w:pStyle w:val="14"/>
        <w:jc w:val="center"/>
        <w:rPr>
          <w:rFonts w:hint="eastAsia" w:ascii="仿宋_GB2312" w:hAnsi="仿宋_GB2312" w:eastAsia="仿宋_GB2312" w:cs="仿宋_GB2312"/>
          <w:sz w:val="32"/>
          <w:szCs w:val="32"/>
        </w:rPr>
      </w:pPr>
    </w:p>
    <w:p w14:paraId="712ED35A">
      <w:pPr>
        <w:pStyle w:val="8"/>
      </w:pPr>
    </w:p>
    <w:p w14:paraId="78F83BFF"/>
    <w:p w14:paraId="430F679E">
      <w:pPr>
        <w:pStyle w:val="7"/>
      </w:pPr>
    </w:p>
    <w:p w14:paraId="159FE332">
      <w:pPr>
        <w:pStyle w:val="8"/>
      </w:pPr>
    </w:p>
    <w:p w14:paraId="0723E193"/>
    <w:p w14:paraId="1026BCDD">
      <w:pPr>
        <w:pStyle w:val="7"/>
      </w:pPr>
    </w:p>
    <w:p w14:paraId="30FC0390">
      <w:pPr>
        <w:pStyle w:val="8"/>
      </w:pPr>
    </w:p>
    <w:p w14:paraId="452D8E63"/>
    <w:p w14:paraId="236441FC">
      <w:pPr>
        <w:pStyle w:val="7"/>
      </w:pPr>
    </w:p>
    <w:p w14:paraId="27510EB9">
      <w:pPr>
        <w:pStyle w:val="8"/>
      </w:pPr>
    </w:p>
    <w:p w14:paraId="414DF5FA"/>
    <w:p w14:paraId="7FFEBAFA">
      <w:pPr>
        <w:pStyle w:val="7"/>
      </w:pPr>
    </w:p>
    <w:p w14:paraId="77319F1E">
      <w:pPr>
        <w:pStyle w:val="8"/>
      </w:pPr>
    </w:p>
    <w:p w14:paraId="4138BB52"/>
    <w:p w14:paraId="26A1E58F">
      <w:pPr>
        <w:pStyle w:val="7"/>
      </w:pPr>
    </w:p>
    <w:p w14:paraId="3B896D75">
      <w:pPr>
        <w:pStyle w:val="8"/>
      </w:pPr>
    </w:p>
    <w:p w14:paraId="2BA53E3C">
      <w:pPr>
        <w:pStyle w:val="14"/>
        <w:jc w:val="center"/>
        <w:rPr>
          <w:rFonts w:hint="eastAsia" w:ascii="方正小标宋_GBK" w:hAnsi="方正小标宋_GBK" w:eastAsia="方正小标宋_GBK" w:cs="方正小标宋_GBK"/>
          <w:sz w:val="72"/>
          <w:szCs w:val="72"/>
        </w:rPr>
      </w:pPr>
    </w:p>
    <w:p w14:paraId="575A3833">
      <w:pPr>
        <w:pStyle w:val="14"/>
        <w:jc w:val="center"/>
        <w:rPr>
          <w:rFonts w:hint="eastAsia" w:ascii="方正小标宋_GBK" w:hAnsi="方正小标宋_GBK" w:eastAsia="方正小标宋_GBK" w:cs="方正小标宋_GBK"/>
          <w:sz w:val="72"/>
          <w:szCs w:val="72"/>
        </w:rPr>
      </w:pPr>
    </w:p>
    <w:p w14:paraId="40C97641">
      <w:pPr>
        <w:pStyle w:val="14"/>
        <w:jc w:val="center"/>
        <w:rPr>
          <w:rFonts w:hint="eastAsia" w:ascii="方正小标宋_GBK" w:hAnsi="方正小标宋_GBK" w:eastAsia="方正小标宋_GBK" w:cs="方正小标宋_GBK"/>
          <w:sz w:val="72"/>
          <w:szCs w:val="72"/>
        </w:rPr>
      </w:pPr>
    </w:p>
    <w:p w14:paraId="45C58F72">
      <w:pPr>
        <w:pStyle w:val="14"/>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2"/>
          <w:szCs w:val="72"/>
        </w:rPr>
        <w:t>第</w:t>
      </w:r>
      <w:r>
        <w:rPr>
          <w:rFonts w:hint="eastAsia" w:ascii="方正小标宋_GBK" w:hAnsi="方正小标宋_GBK" w:eastAsia="方正小标宋_GBK" w:cs="方正小标宋_GBK"/>
          <w:sz w:val="72"/>
          <w:szCs w:val="72"/>
          <w:lang w:eastAsia="zh-CN"/>
        </w:rPr>
        <w:t>五</w:t>
      </w:r>
      <w:r>
        <w:rPr>
          <w:rFonts w:hint="eastAsia" w:ascii="方正小标宋_GBK" w:hAnsi="方正小标宋_GBK" w:eastAsia="方正小标宋_GBK" w:cs="方正小标宋_GBK"/>
          <w:sz w:val="72"/>
          <w:szCs w:val="72"/>
        </w:rPr>
        <w:t>部分</w:t>
      </w:r>
    </w:p>
    <w:p w14:paraId="26EC0986">
      <w:pPr>
        <w:pStyle w:val="14"/>
        <w:jc w:val="both"/>
        <w:rPr>
          <w:rFonts w:hint="eastAsia" w:ascii="方正小标宋_GBK" w:hAnsi="方正小标宋_GBK" w:eastAsia="方正小标宋_GBK" w:cs="方正小标宋_GBK"/>
          <w:sz w:val="70"/>
          <w:szCs w:val="70"/>
          <w:lang w:eastAsia="zh-CN"/>
        </w:rPr>
      </w:pPr>
    </w:p>
    <w:p w14:paraId="00FF66C4">
      <w:pPr>
        <w:pStyle w:val="14"/>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sz w:val="70"/>
          <w:szCs w:val="70"/>
          <w:lang w:eastAsia="zh-CN"/>
        </w:rPr>
        <w:t>附</w:t>
      </w:r>
      <w:r>
        <w:rPr>
          <w:rFonts w:hint="eastAsia" w:ascii="方正小标宋_GBK" w:hAnsi="方正小标宋_GBK" w:eastAsia="方正小标宋_GBK" w:cs="方正小标宋_GBK"/>
          <w:sz w:val="70"/>
          <w:szCs w:val="70"/>
          <w:lang w:val="en-US" w:eastAsia="zh-CN"/>
        </w:rPr>
        <w:t xml:space="preserve"> </w:t>
      </w:r>
      <w:r>
        <w:rPr>
          <w:rFonts w:hint="eastAsia" w:ascii="方正小标宋_GBK" w:hAnsi="方正小标宋_GBK" w:eastAsia="方正小标宋_GBK" w:cs="方正小标宋_GBK"/>
          <w:sz w:val="70"/>
          <w:szCs w:val="70"/>
          <w:lang w:eastAsia="zh-CN"/>
        </w:rPr>
        <w:t>件</w:t>
      </w:r>
    </w:p>
    <w:p w14:paraId="5D1A30AE">
      <w:pPr>
        <w:ind w:firstLine="640" w:firstLineChars="200"/>
        <w:jc w:val="left"/>
        <w:rPr>
          <w:rFonts w:hint="eastAsia" w:ascii="宋体" w:hAnsi="宋体" w:eastAsia="宋体" w:cs="黑体"/>
          <w:b/>
          <w:color w:val="000000"/>
          <w:kern w:val="0"/>
          <w:sz w:val="32"/>
          <w:szCs w:val="32"/>
          <w:lang w:val="en-US" w:eastAsia="zh-CN"/>
        </w:rPr>
      </w:pPr>
    </w:p>
    <w:p w14:paraId="4F0F0F5B">
      <w:pPr>
        <w:ind w:firstLine="640" w:firstLineChars="200"/>
        <w:jc w:val="left"/>
        <w:rPr>
          <w:rFonts w:hint="eastAsia" w:ascii="宋体" w:hAnsi="宋体" w:eastAsia="宋体" w:cs="黑体"/>
          <w:b/>
          <w:color w:val="000000"/>
          <w:kern w:val="0"/>
          <w:sz w:val="32"/>
          <w:szCs w:val="32"/>
          <w:lang w:val="en-US" w:eastAsia="zh-CN"/>
        </w:rPr>
      </w:pPr>
      <w:r>
        <w:rPr>
          <w:rFonts w:hint="eastAsia" w:ascii="宋体" w:hAnsi="宋体" w:eastAsia="宋体" w:cs="黑体"/>
          <w:b/>
          <w:color w:val="000000"/>
          <w:kern w:val="0"/>
          <w:sz w:val="32"/>
          <w:szCs w:val="32"/>
          <w:lang w:val="en-US" w:eastAsia="zh-CN"/>
        </w:rPr>
        <w:t>1、2023年部门决算公开表格</w:t>
      </w:r>
    </w:p>
    <w:p w14:paraId="1B4AFF44">
      <w:pPr>
        <w:ind w:firstLine="640" w:firstLineChars="200"/>
        <w:jc w:val="left"/>
        <w:rPr>
          <w:rFonts w:ascii="宋体" w:hAnsi="宋体" w:eastAsia="宋体" w:cs="黑体"/>
          <w:color w:val="000000"/>
          <w:kern w:val="0"/>
          <w:sz w:val="32"/>
          <w:szCs w:val="32"/>
        </w:rPr>
      </w:pPr>
      <w:r>
        <w:rPr>
          <w:rFonts w:hint="eastAsia" w:ascii="宋体" w:hAnsi="宋体" w:eastAsia="宋体" w:cs="黑体"/>
          <w:b/>
          <w:color w:val="000000"/>
          <w:kern w:val="0"/>
          <w:sz w:val="32"/>
          <w:szCs w:val="32"/>
          <w:lang w:val="en-US" w:eastAsia="zh-CN"/>
        </w:rPr>
        <w:t>2、</w:t>
      </w:r>
      <w:r>
        <w:rPr>
          <w:rFonts w:hint="eastAsia" w:ascii="宋体" w:hAnsi="宋体" w:eastAsia="宋体" w:cs="黑体"/>
          <w:b/>
          <w:color w:val="000000"/>
          <w:kern w:val="0"/>
          <w:sz w:val="32"/>
          <w:szCs w:val="32"/>
        </w:rPr>
        <w:t>202</w:t>
      </w:r>
      <w:r>
        <w:rPr>
          <w:rFonts w:hint="eastAsia" w:ascii="宋体" w:hAnsi="宋体" w:eastAsia="宋体" w:cs="黑体"/>
          <w:b/>
          <w:color w:val="000000"/>
          <w:kern w:val="0"/>
          <w:sz w:val="32"/>
          <w:szCs w:val="32"/>
          <w:lang w:val="en-US" w:eastAsia="zh-CN"/>
        </w:rPr>
        <w:t>3</w:t>
      </w:r>
      <w:r>
        <w:rPr>
          <w:rFonts w:hint="eastAsia" w:ascii="宋体" w:hAnsi="宋体" w:eastAsia="宋体" w:cs="黑体"/>
          <w:b/>
          <w:color w:val="000000"/>
          <w:kern w:val="0"/>
          <w:sz w:val="32"/>
          <w:szCs w:val="32"/>
        </w:rPr>
        <w:t>年度部门整体支出绩效评价报告</w:t>
      </w:r>
    </w:p>
    <w:p w14:paraId="50368BF3"/>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59958AD"/>
    <w:rsid w:val="0E450F2B"/>
    <w:rsid w:val="12583BA5"/>
    <w:rsid w:val="13BA5B9C"/>
    <w:rsid w:val="1D97DEFF"/>
    <w:rsid w:val="1DFF72E5"/>
    <w:rsid w:val="1EFC6F07"/>
    <w:rsid w:val="22AC03C2"/>
    <w:rsid w:val="261C210D"/>
    <w:rsid w:val="2D7568AB"/>
    <w:rsid w:val="2DB95A2E"/>
    <w:rsid w:val="2FDF85B8"/>
    <w:rsid w:val="2FFFEE04"/>
    <w:rsid w:val="31C95635"/>
    <w:rsid w:val="34DF85B0"/>
    <w:rsid w:val="3B8F36BC"/>
    <w:rsid w:val="450C3C1A"/>
    <w:rsid w:val="491FF225"/>
    <w:rsid w:val="4FFD214C"/>
    <w:rsid w:val="5352765A"/>
    <w:rsid w:val="546D5D5C"/>
    <w:rsid w:val="56D51DFD"/>
    <w:rsid w:val="5777D4F5"/>
    <w:rsid w:val="59DD8326"/>
    <w:rsid w:val="5DEF592A"/>
    <w:rsid w:val="5FC6BB1E"/>
    <w:rsid w:val="5FF720F1"/>
    <w:rsid w:val="625D49FB"/>
    <w:rsid w:val="67FF5C0B"/>
    <w:rsid w:val="6BAA4A2F"/>
    <w:rsid w:val="6EFC0924"/>
    <w:rsid w:val="6FB74722"/>
    <w:rsid w:val="6FEF8B7E"/>
    <w:rsid w:val="71A6591B"/>
    <w:rsid w:val="737D59BA"/>
    <w:rsid w:val="737F32B1"/>
    <w:rsid w:val="77C37683"/>
    <w:rsid w:val="79FF515B"/>
    <w:rsid w:val="7B9F5CCE"/>
    <w:rsid w:val="7E9E1962"/>
    <w:rsid w:val="7E9F11B4"/>
    <w:rsid w:val="7F37EC1E"/>
    <w:rsid w:val="7F7DCD9D"/>
    <w:rsid w:val="7F970A6F"/>
    <w:rsid w:val="7FC1FFF3"/>
    <w:rsid w:val="7FC69637"/>
    <w:rsid w:val="7FDF8620"/>
    <w:rsid w:val="7FFB242F"/>
    <w:rsid w:val="7FFDB408"/>
    <w:rsid w:val="7FFE4EEB"/>
    <w:rsid w:val="95FB2B98"/>
    <w:rsid w:val="9A639BC2"/>
    <w:rsid w:val="9FF7D786"/>
    <w:rsid w:val="ABBFB23D"/>
    <w:rsid w:val="C3B4DA5A"/>
    <w:rsid w:val="CBFF70E0"/>
    <w:rsid w:val="CFF50B82"/>
    <w:rsid w:val="CFFFAD89"/>
    <w:rsid w:val="DFFE359E"/>
    <w:rsid w:val="DFFE4FFD"/>
    <w:rsid w:val="EEABED75"/>
    <w:rsid w:val="F56FDF51"/>
    <w:rsid w:val="F6B69F17"/>
    <w:rsid w:val="F77F1D61"/>
    <w:rsid w:val="F7FED3A9"/>
    <w:rsid w:val="F8C9DB26"/>
    <w:rsid w:val="F97E8EAE"/>
    <w:rsid w:val="FB36E1A6"/>
    <w:rsid w:val="FB3BE134"/>
    <w:rsid w:val="FCFF4275"/>
    <w:rsid w:val="FD7FEEEA"/>
    <w:rsid w:val="FDFFB577"/>
    <w:rsid w:val="FEEA50FE"/>
    <w:rsid w:val="FF7D47A9"/>
    <w:rsid w:val="FFCF21CB"/>
    <w:rsid w:val="FFFF1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3"/>
    <w:qFormat/>
    <w:uiPriority w:val="0"/>
    <w:pPr>
      <w:spacing w:line="0" w:lineRule="atLeast"/>
      <w:jc w:val="center"/>
    </w:pPr>
    <w:rPr>
      <w:rFonts w:ascii="Arial" w:hAnsi="Arial" w:eastAsia="黑体"/>
      <w:sz w:val="52"/>
    </w:rPr>
  </w:style>
  <w:style w:type="paragraph" w:styleId="3">
    <w:name w:val="Body Text Indent"/>
    <w:basedOn w:val="1"/>
    <w:next w:val="1"/>
    <w:unhideWhenUsed/>
    <w:qFormat/>
    <w:uiPriority w:val="99"/>
    <w:pPr>
      <w:widowControl/>
      <w:spacing w:after="120"/>
      <w:ind w:left="420" w:leftChars="200"/>
      <w:jc w:val="left"/>
    </w:pPr>
    <w:rPr>
      <w:rFonts w:ascii="宋体" w:hAnsi="宋体" w:eastAsia="宋体" w:cs="宋体"/>
      <w:kern w:val="0"/>
      <w:sz w:val="24"/>
    </w:rPr>
  </w:style>
  <w:style w:type="paragraph" w:styleId="4">
    <w:name w:val="Balloon Text"/>
    <w:basedOn w:val="1"/>
    <w:link w:val="16"/>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next w:val="8"/>
    <w:semiHidden/>
    <w:qFormat/>
    <w:uiPriority w:val="0"/>
    <w:pPr>
      <w:snapToGrid w:val="0"/>
      <w:jc w:val="left"/>
    </w:pPr>
    <w:rPr>
      <w:sz w:val="18"/>
      <w:szCs w:val="18"/>
    </w:rPr>
  </w:style>
  <w:style w:type="paragraph" w:styleId="8">
    <w:name w:val="Body Text First Indent 2"/>
    <w:basedOn w:val="3"/>
    <w:next w:val="1"/>
    <w:unhideWhenUsed/>
    <w:qFormat/>
    <w:uiPriority w:val="99"/>
    <w:pPr>
      <w:ind w:firstLine="420" w:firstLineChars="200"/>
    </w:pPr>
  </w:style>
  <w:style w:type="paragraph" w:styleId="9">
    <w:name w:val="Normal (Web)"/>
    <w:basedOn w:val="1"/>
    <w:unhideWhenUsed/>
    <w:qFormat/>
    <w:uiPriority w:val="99"/>
    <w:pPr>
      <w:spacing w:before="100" w:beforeAutospacing="1" w:after="100" w:afterAutospacing="1"/>
      <w:ind w:left="0" w:right="0"/>
      <w:jc w:val="left"/>
    </w:pPr>
    <w:rPr>
      <w:kern w:val="0"/>
      <w:sz w:val="24"/>
      <w:lang w:val="en-US" w:eastAsia="zh-CN" w:bidi="ar"/>
    </w:rPr>
  </w:style>
  <w:style w:type="character" w:customStyle="1" w:styleId="12">
    <w:name w:val="页眉 Char"/>
    <w:basedOn w:val="11"/>
    <w:link w:val="6"/>
    <w:qFormat/>
    <w:uiPriority w:val="99"/>
    <w:rPr>
      <w:sz w:val="18"/>
      <w:szCs w:val="18"/>
    </w:rPr>
  </w:style>
  <w:style w:type="character" w:customStyle="1" w:styleId="13">
    <w:name w:val="页脚 Char"/>
    <w:basedOn w:val="11"/>
    <w:link w:val="5"/>
    <w:qFormat/>
    <w:uiPriority w:val="99"/>
    <w:rPr>
      <w:sz w:val="18"/>
      <w:szCs w:val="18"/>
    </w:rPr>
  </w:style>
  <w:style w:type="paragraph" w:customStyle="1" w:styleId="14">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5">
    <w:name w:val="List Paragraph"/>
    <w:basedOn w:val="1"/>
    <w:qFormat/>
    <w:uiPriority w:val="34"/>
    <w:pPr>
      <w:ind w:firstLine="420" w:firstLineChars="200"/>
    </w:pPr>
  </w:style>
  <w:style w:type="character" w:customStyle="1" w:styleId="16">
    <w:name w:val="批注框文本 Char"/>
    <w:basedOn w:val="11"/>
    <w:link w:val="4"/>
    <w:semiHidden/>
    <w:qFormat/>
    <w:uiPriority w:val="99"/>
    <w:rPr>
      <w:sz w:val="18"/>
      <w:szCs w:val="18"/>
    </w:rPr>
  </w:style>
  <w:style w:type="character" w:customStyle="1" w:styleId="17">
    <w:name w:val="font01"/>
    <w:basedOn w:val="11"/>
    <w:qFormat/>
    <w:uiPriority w:val="0"/>
    <w:rPr>
      <w:rFonts w:hint="eastAsia" w:ascii="宋体" w:hAnsi="宋体" w:eastAsia="宋体" w:cs="宋体"/>
      <w:color w:val="000000"/>
      <w:sz w:val="22"/>
      <w:szCs w:val="22"/>
      <w:u w:val="none"/>
    </w:rPr>
  </w:style>
  <w:style w:type="character" w:customStyle="1" w:styleId="18">
    <w:name w:val="font21"/>
    <w:basedOn w:val="11"/>
    <w:qFormat/>
    <w:uiPriority w:val="0"/>
    <w:rPr>
      <w:rFonts w:hint="eastAsia" w:ascii="宋体" w:hAnsi="宋体" w:eastAsia="宋体" w:cs="宋体"/>
      <w:color w:val="000000"/>
      <w:sz w:val="24"/>
      <w:szCs w:val="24"/>
      <w:u w:val="none"/>
    </w:rPr>
  </w:style>
  <w:style w:type="character" w:customStyle="1" w:styleId="19">
    <w:name w:val="font11"/>
    <w:basedOn w:val="11"/>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24</Pages>
  <Words>10559</Words>
  <Characters>11531</Characters>
  <Lines>63</Lines>
  <Paragraphs>18</Paragraphs>
  <TotalTime>99</TotalTime>
  <ScaleCrop>false</ScaleCrop>
  <LinksUpToDate>false</LinksUpToDate>
  <CharactersWithSpaces>11547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2020-07-08T02:32:00Z</dcterms:created>
  <dc:creator>李航 null</dc:creator>
  <cp:lastModifiedBy>张洵</cp:lastModifiedBy>
  <cp:lastPrinted>2024-08-08T10:20:00Z</cp:lastPrinted>
  <dcterms:modified xsi:type="dcterms:W3CDTF">2025-01-08T02:05:40Z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98623D6660B449428EB8E073C6C952EA</vt:lpwstr>
  </property>
</Properties>
</file>