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AABFF">
      <w:pPr>
        <w:pStyle w:val="12"/>
        <w:jc w:val="center"/>
        <w:rPr>
          <w:sz w:val="56"/>
          <w:szCs w:val="56"/>
        </w:rPr>
      </w:pPr>
    </w:p>
    <w:p w14:paraId="5134B598">
      <w:pPr>
        <w:pStyle w:val="12"/>
        <w:jc w:val="center"/>
        <w:rPr>
          <w:sz w:val="56"/>
          <w:szCs w:val="56"/>
        </w:rPr>
      </w:pPr>
    </w:p>
    <w:p w14:paraId="597F7C66">
      <w:pPr>
        <w:pStyle w:val="12"/>
        <w:jc w:val="center"/>
        <w:rPr>
          <w:sz w:val="84"/>
          <w:szCs w:val="84"/>
        </w:rPr>
      </w:pPr>
    </w:p>
    <w:p w14:paraId="2A0966B4">
      <w:pPr>
        <w:pStyle w:val="12"/>
        <w:jc w:val="center"/>
        <w:rPr>
          <w:sz w:val="84"/>
          <w:szCs w:val="84"/>
        </w:rPr>
      </w:pPr>
    </w:p>
    <w:p w14:paraId="320C9EB8">
      <w:pPr>
        <w:pStyle w:val="12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202</w:t>
      </w:r>
      <w:r>
        <w:rPr>
          <w:rFonts w:hint="eastAsia" w:ascii="方正小标宋_GBK" w:hAnsi="方正小标宋_GBK" w:eastAsia="方正小标宋_GBK" w:cs="方正小标宋_GBK"/>
          <w:sz w:val="84"/>
          <w:szCs w:val="8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年度</w:t>
      </w:r>
    </w:p>
    <w:p w14:paraId="3FEC2A74">
      <w:pPr>
        <w:pStyle w:val="12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  <w:lang w:val="en-US" w:eastAsia="zh-CN"/>
        </w:rPr>
        <w:t>岳阳市图书馆</w:t>
      </w:r>
      <w:r>
        <w:rPr>
          <w:rFonts w:hint="eastAsia" w:ascii="方正小标宋_GBK" w:hAnsi="方正小标宋_GBK" w:eastAsia="方正小标宋_GBK" w:cs="方正小标宋_GBK"/>
          <w:sz w:val="84"/>
          <w:szCs w:val="84"/>
          <w:lang w:eastAsia="zh-CN"/>
        </w:rPr>
        <w:t>单位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决算</w:t>
      </w:r>
    </w:p>
    <w:p w14:paraId="7384DD0D">
      <w:pPr>
        <w:pStyle w:val="12"/>
        <w:jc w:val="center"/>
        <w:rPr>
          <w:rFonts w:hint="eastAsia" w:ascii="方正小标宋_GBK" w:hAnsi="方正小标宋_GBK" w:eastAsia="方正小标宋_GBK" w:cs="方正小标宋_GBK"/>
          <w:sz w:val="56"/>
          <w:szCs w:val="56"/>
        </w:rPr>
      </w:pPr>
    </w:p>
    <w:p w14:paraId="0B4C0435">
      <w:pPr>
        <w:pStyle w:val="12"/>
        <w:jc w:val="center"/>
        <w:rPr>
          <w:sz w:val="56"/>
          <w:szCs w:val="56"/>
        </w:rPr>
      </w:pPr>
    </w:p>
    <w:p w14:paraId="5D95DDDA">
      <w:pPr>
        <w:pStyle w:val="12"/>
        <w:jc w:val="center"/>
        <w:rPr>
          <w:sz w:val="56"/>
          <w:szCs w:val="56"/>
        </w:rPr>
      </w:pPr>
    </w:p>
    <w:p w14:paraId="3669E155">
      <w:pPr>
        <w:pStyle w:val="12"/>
        <w:jc w:val="center"/>
        <w:rPr>
          <w:sz w:val="56"/>
          <w:szCs w:val="56"/>
        </w:rPr>
      </w:pPr>
    </w:p>
    <w:p w14:paraId="0C04E0C5">
      <w:pPr>
        <w:pStyle w:val="12"/>
        <w:jc w:val="center"/>
        <w:rPr>
          <w:sz w:val="32"/>
          <w:szCs w:val="32"/>
        </w:rPr>
      </w:pPr>
    </w:p>
    <w:p w14:paraId="6F2782FE">
      <w:pPr>
        <w:pStyle w:val="12"/>
        <w:jc w:val="center"/>
        <w:rPr>
          <w:sz w:val="32"/>
          <w:szCs w:val="32"/>
        </w:rPr>
      </w:pPr>
    </w:p>
    <w:p w14:paraId="7136CD70">
      <w:pPr>
        <w:pStyle w:val="12"/>
        <w:jc w:val="center"/>
        <w:rPr>
          <w:sz w:val="32"/>
          <w:szCs w:val="32"/>
        </w:rPr>
      </w:pPr>
    </w:p>
    <w:p w14:paraId="4EC5637E">
      <w:pPr>
        <w:pStyle w:val="12"/>
        <w:jc w:val="center"/>
        <w:rPr>
          <w:sz w:val="32"/>
          <w:szCs w:val="32"/>
        </w:rPr>
      </w:pPr>
    </w:p>
    <w:p w14:paraId="33189F73">
      <w:pPr>
        <w:pStyle w:val="12"/>
        <w:jc w:val="center"/>
        <w:rPr>
          <w:sz w:val="32"/>
          <w:szCs w:val="32"/>
        </w:rPr>
      </w:pPr>
    </w:p>
    <w:p w14:paraId="08F9F9E9">
      <w:pPr>
        <w:pStyle w:val="12"/>
        <w:spacing w:line="540" w:lineRule="exact"/>
        <w:jc w:val="center"/>
        <w:rPr>
          <w:sz w:val="56"/>
          <w:szCs w:val="56"/>
        </w:rPr>
      </w:pPr>
    </w:p>
    <w:p w14:paraId="668B532D">
      <w:pPr>
        <w:pStyle w:val="12"/>
        <w:spacing w:line="500" w:lineRule="exact"/>
        <w:jc w:val="both"/>
        <w:rPr>
          <w:b/>
          <w:sz w:val="36"/>
          <w:szCs w:val="28"/>
        </w:rPr>
      </w:pPr>
    </w:p>
    <w:p w14:paraId="17C65FEE">
      <w:pPr>
        <w:pStyle w:val="12"/>
        <w:spacing w:line="500" w:lineRule="exact"/>
        <w:jc w:val="center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目录</w:t>
      </w:r>
    </w:p>
    <w:p w14:paraId="61E4BF03">
      <w:pPr>
        <w:pStyle w:val="12"/>
        <w:spacing w:line="500" w:lineRule="exac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第一部分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XX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部门（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单位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）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概况</w:t>
      </w:r>
    </w:p>
    <w:p w14:paraId="0339D500">
      <w:pPr>
        <w:pStyle w:val="12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一、部门职责</w:t>
      </w:r>
    </w:p>
    <w:p w14:paraId="1BE8E36C">
      <w:pPr>
        <w:pStyle w:val="12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二、机构设置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及决算单位构成</w:t>
      </w:r>
    </w:p>
    <w:p w14:paraId="631924B8">
      <w:pPr>
        <w:pStyle w:val="12"/>
        <w:spacing w:line="500" w:lineRule="exac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第二部分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部门决算表</w:t>
      </w:r>
    </w:p>
    <w:p w14:paraId="22687D36">
      <w:pPr>
        <w:pStyle w:val="12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一、收入支出决算总表</w:t>
      </w:r>
    </w:p>
    <w:p w14:paraId="36607112">
      <w:pPr>
        <w:pStyle w:val="12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二、收入决算表</w:t>
      </w:r>
    </w:p>
    <w:p w14:paraId="2274D712">
      <w:pPr>
        <w:pStyle w:val="12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三、支出决算表</w:t>
      </w:r>
    </w:p>
    <w:p w14:paraId="017D22FA">
      <w:pPr>
        <w:pStyle w:val="12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四、财政拨款收入支出决算总表</w:t>
      </w:r>
    </w:p>
    <w:p w14:paraId="4DDD10CA">
      <w:pPr>
        <w:pStyle w:val="12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五、一般公共预算财政拨款支出决算表</w:t>
      </w:r>
    </w:p>
    <w:p w14:paraId="6AECC2C1">
      <w:pPr>
        <w:pStyle w:val="12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六、一般公共预算财政拨款基本支出决算明细表</w:t>
      </w:r>
    </w:p>
    <w:p w14:paraId="68C0B241">
      <w:pPr>
        <w:pStyle w:val="12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七、政府性基金预算财政拨款收入支出决算表</w:t>
      </w:r>
    </w:p>
    <w:p w14:paraId="00922569">
      <w:pPr>
        <w:pStyle w:val="12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八、国有资本经营预算财政拨款支出决算表</w:t>
      </w:r>
    </w:p>
    <w:p w14:paraId="0C676D6E">
      <w:pPr>
        <w:pStyle w:val="12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九、财政拨款“三公”经费支出决算表</w:t>
      </w:r>
    </w:p>
    <w:p w14:paraId="3F387B81">
      <w:pPr>
        <w:pStyle w:val="12"/>
        <w:spacing w:line="500" w:lineRule="exac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第三部分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部门决算情况说明</w:t>
      </w:r>
    </w:p>
    <w:p w14:paraId="5F37FB52">
      <w:pPr>
        <w:pStyle w:val="12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一、收入支出决算总体情况说明</w:t>
      </w:r>
    </w:p>
    <w:p w14:paraId="47A65A7E">
      <w:pPr>
        <w:spacing w:line="500" w:lineRule="exact"/>
        <w:ind w:firstLine="700" w:firstLineChars="25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二、收入决算情况说明</w:t>
      </w:r>
    </w:p>
    <w:p w14:paraId="0EA59C3D"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三、支出决算情况说明</w:t>
      </w:r>
    </w:p>
    <w:p w14:paraId="16E02A93"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四、财政拨款收入支出决算总体情况说明</w:t>
      </w:r>
    </w:p>
    <w:p w14:paraId="030405E5"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五、一般公共预算财政拨款支出决算情况说明</w:t>
      </w:r>
    </w:p>
    <w:p w14:paraId="06045C81"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六、一般公共预算财政拨款基本支出决算情况说明</w:t>
      </w:r>
    </w:p>
    <w:p w14:paraId="62AF84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七、政府性基金预算收入支出决算情况</w:t>
      </w:r>
    </w:p>
    <w:p w14:paraId="1CFB58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八、</w:t>
      </w:r>
      <w:r>
        <w:rPr>
          <w:rFonts w:hint="eastAsia" w:ascii="仿宋_GB2312" w:hAnsi="仿宋_GB2312" w:eastAsia="仿宋_GB2312" w:cs="仿宋_GB2312"/>
          <w:sz w:val="28"/>
          <w:szCs w:val="28"/>
        </w:rPr>
        <w:t>国有资本经营预算财政拨款支出决算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情况</w:t>
      </w:r>
    </w:p>
    <w:p w14:paraId="4F2DD2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九、财政拨款三公经费支出决算情况说明</w:t>
      </w:r>
    </w:p>
    <w:p w14:paraId="158035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十、关于机关运行经费支出说明</w:t>
      </w:r>
    </w:p>
    <w:p w14:paraId="2E9C22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十一、一般性支出情况说明</w:t>
      </w:r>
    </w:p>
    <w:p w14:paraId="703622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十二、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关于政府采购支出说明</w:t>
      </w:r>
    </w:p>
    <w:p w14:paraId="62A097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t>十三、关于国有资产占用情况说明</w:t>
      </w:r>
    </w:p>
    <w:p w14:paraId="0BA3D143">
      <w:pPr>
        <w:pStyle w:val="12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t>十四、</w:t>
      </w:r>
      <w:r>
        <w:rPr>
          <w:rFonts w:hint="eastAsia" w:ascii="仿宋_GB2312" w:hAnsi="仿宋_GB2312" w:eastAsia="仿宋_GB2312" w:cs="仿宋_GB2312"/>
          <w:sz w:val="28"/>
          <w:szCs w:val="28"/>
        </w:rPr>
        <w:t>关于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年度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28"/>
          <w:szCs w:val="28"/>
        </w:rPr>
        <w:t>绩效情况的说明</w:t>
      </w:r>
    </w:p>
    <w:p w14:paraId="07E59DFC">
      <w:pPr>
        <w:pStyle w:val="12"/>
        <w:spacing w:line="500" w:lineRule="exac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第四部分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名词解释</w:t>
      </w:r>
    </w:p>
    <w:p w14:paraId="0A9B4F38">
      <w:pPr>
        <w:pStyle w:val="12"/>
        <w:spacing w:line="500" w:lineRule="exact"/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</w:t>
      </w:r>
      <w:r>
        <w:rPr>
          <w:rFonts w:hint="eastAsia" w:hAnsi="黑体" w:cs="黑体"/>
          <w:b w:val="0"/>
          <w:bCs/>
          <w:sz w:val="28"/>
          <w:szCs w:val="28"/>
          <w:lang w:eastAsia="zh-CN"/>
        </w:rPr>
        <w:t>五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hAnsi="黑体" w:cs="黑体"/>
          <w:b w:val="0"/>
          <w:bCs/>
          <w:sz w:val="28"/>
          <w:szCs w:val="28"/>
          <w:lang w:eastAsia="zh-CN"/>
        </w:rPr>
        <w:t>附件</w:t>
      </w:r>
    </w:p>
    <w:p w14:paraId="52BDE318">
      <w:pPr>
        <w:pStyle w:val="12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 w14:paraId="0948B1D1">
      <w:pPr>
        <w:pStyle w:val="12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 w14:paraId="71BD6DCA">
      <w:pPr>
        <w:pStyle w:val="12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 xml:space="preserve">第一部分 </w:t>
      </w:r>
    </w:p>
    <w:p w14:paraId="5CF5E95F">
      <w:pPr>
        <w:pStyle w:val="12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 w14:paraId="12331EF6">
      <w:pPr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  <w:lang w:val="en-US" w:eastAsia="zh-CN"/>
        </w:rPr>
        <w:t>岳阳市图书馆</w:t>
      </w: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概况</w:t>
      </w:r>
    </w:p>
    <w:p w14:paraId="31027B41">
      <w:pPr>
        <w:pStyle w:val="2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 w14:paraId="12FD5C09">
      <w:pPr>
        <w:pStyle w:val="3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 w14:paraId="12B55003">
      <w:pPr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 w14:paraId="5BE9B6B5">
      <w:pPr>
        <w:pStyle w:val="2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 w14:paraId="2D30E7C2">
      <w:pPr>
        <w:pStyle w:val="3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 w14:paraId="5DD64DB9">
      <w:pPr>
        <w:pStyle w:val="13"/>
        <w:numPr>
          <w:ilvl w:val="0"/>
          <w:numId w:val="1"/>
        </w:numPr>
        <w:ind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部门职责</w:t>
      </w:r>
    </w:p>
    <w:p w14:paraId="13F5E220">
      <w:pPr>
        <w:ind w:firstLine="800" w:firstLineChars="25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（一）保存借阅图书资料，促进社会经济文化发展。 图书、报刊、文献等资料的采编与储藏，图书资料借阅、网络系统的维护与管理。</w:t>
      </w:r>
    </w:p>
    <w:p w14:paraId="21679132">
      <w:pPr>
        <w:ind w:firstLine="800" w:firstLineChars="25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（二）参与图书馆学研究，提供知识培训与社会教育。</w:t>
      </w:r>
    </w:p>
    <w:p w14:paraId="367DF2D2">
      <w:pPr>
        <w:widowControl/>
        <w:spacing w:line="600" w:lineRule="exact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二、机构设置及决算单位构成</w:t>
      </w:r>
    </w:p>
    <w:p w14:paraId="76D07D51"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（一）内设机构设置。岳阳市图书馆内设机构包括七部一室：技术部含网络服务部、研究发展部、信息咨询部、社会活动推广部、采编部、文献流通服务部、儿童与青少年部和办公室。</w:t>
      </w:r>
    </w:p>
    <w:p w14:paraId="50D804ED"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（二）决算单位构成。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val="en-US" w:eastAsia="zh-CN"/>
        </w:rPr>
        <w:t>岳阳市图书馆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年部门决算汇总公开单位构成包括：岳阳市图书馆无独立核算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下属单位，202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年度部门决算汇总公开单位仅包括岳阳市图书馆本级。</w:t>
      </w:r>
    </w:p>
    <w:p w14:paraId="6CFDC3F2"/>
    <w:p w14:paraId="0B9FA8C5">
      <w:pPr>
        <w:pStyle w:val="2"/>
      </w:pPr>
    </w:p>
    <w:p w14:paraId="4E58DED2">
      <w:pPr>
        <w:pStyle w:val="3"/>
      </w:pPr>
    </w:p>
    <w:p w14:paraId="1885C9E2"/>
    <w:p w14:paraId="49FCEDCE">
      <w:pPr>
        <w:pStyle w:val="2"/>
      </w:pPr>
    </w:p>
    <w:p w14:paraId="7A9C15FB">
      <w:pPr>
        <w:pStyle w:val="3"/>
      </w:pPr>
    </w:p>
    <w:p w14:paraId="76458F09"/>
    <w:p w14:paraId="360FE6DF">
      <w:pPr>
        <w:pStyle w:val="2"/>
      </w:pPr>
    </w:p>
    <w:p w14:paraId="78F797CD">
      <w:pPr>
        <w:pStyle w:val="3"/>
      </w:pPr>
    </w:p>
    <w:p w14:paraId="711286FA"/>
    <w:p w14:paraId="705539A5">
      <w:pPr>
        <w:pStyle w:val="2"/>
      </w:pPr>
    </w:p>
    <w:p w14:paraId="124B6FC0">
      <w:pPr>
        <w:pStyle w:val="3"/>
      </w:pPr>
    </w:p>
    <w:p w14:paraId="080B6D29"/>
    <w:p w14:paraId="5E03AC5E">
      <w:pPr>
        <w:pStyle w:val="2"/>
      </w:pPr>
    </w:p>
    <w:p w14:paraId="0D4F3749">
      <w:pPr>
        <w:pStyle w:val="3"/>
      </w:pPr>
    </w:p>
    <w:p w14:paraId="3A47E85E"/>
    <w:p w14:paraId="4E6C2B2B">
      <w:pPr>
        <w:pStyle w:val="2"/>
      </w:pPr>
    </w:p>
    <w:p w14:paraId="766C28DC">
      <w:pPr>
        <w:pStyle w:val="3"/>
      </w:pPr>
    </w:p>
    <w:p w14:paraId="49850283"/>
    <w:p w14:paraId="7A8DF9BD">
      <w:pPr>
        <w:pStyle w:val="2"/>
      </w:pPr>
    </w:p>
    <w:p w14:paraId="1048D067">
      <w:pPr>
        <w:pStyle w:val="3"/>
      </w:pPr>
    </w:p>
    <w:p w14:paraId="16B9ED1F"/>
    <w:p w14:paraId="6E3BE9E1">
      <w:pPr>
        <w:pStyle w:val="2"/>
      </w:pPr>
    </w:p>
    <w:p w14:paraId="38A4CA75">
      <w:pPr>
        <w:pStyle w:val="3"/>
      </w:pPr>
    </w:p>
    <w:p w14:paraId="085A9F8A"/>
    <w:p w14:paraId="278686A7">
      <w:pPr>
        <w:pStyle w:val="12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 w14:paraId="03EE32DE">
      <w:pPr>
        <w:pStyle w:val="12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 w14:paraId="2702EEBA">
      <w:pPr>
        <w:pStyle w:val="12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第二部分</w:t>
      </w:r>
    </w:p>
    <w:p w14:paraId="3B90F9E9">
      <w:pPr>
        <w:pStyle w:val="12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 w14:paraId="0BDEA5DF">
      <w:pPr>
        <w:pStyle w:val="12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部门决算表</w:t>
      </w:r>
    </w:p>
    <w:p w14:paraId="3A6AE568">
      <w:pPr>
        <w:pStyle w:val="12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  <w:t>（见附件）</w:t>
      </w:r>
    </w:p>
    <w:p w14:paraId="49DDE003">
      <w:pPr>
        <w:pStyle w:val="12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 w14:paraId="08AA647E">
      <w:pPr>
        <w:pStyle w:val="12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 w14:paraId="03BF6D8B">
      <w:pPr>
        <w:pStyle w:val="12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 w14:paraId="40D8E7AD">
      <w:pPr>
        <w:pStyle w:val="12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 w14:paraId="1D753EB0">
      <w:pPr>
        <w:pStyle w:val="12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 w14:paraId="54282209">
      <w:pPr>
        <w:pStyle w:val="12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 w14:paraId="771DEC85">
      <w:pPr>
        <w:pStyle w:val="12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 w14:paraId="66F4B44F">
      <w:pPr>
        <w:pStyle w:val="12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 w14:paraId="2FFCF7C7">
      <w:pPr>
        <w:pStyle w:val="12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 w14:paraId="6FAE3C65">
      <w:pPr>
        <w:pStyle w:val="12"/>
        <w:jc w:val="both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 w14:paraId="28325888">
      <w:pPr>
        <w:pStyle w:val="12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sz w:val="72"/>
          <w:szCs w:val="72"/>
        </w:rPr>
        <w:t>第三部分</w:t>
      </w:r>
    </w:p>
    <w:p w14:paraId="57AF2C0C">
      <w:pPr>
        <w:pStyle w:val="12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 w14:paraId="79E53F5A">
      <w:pPr>
        <w:pStyle w:val="12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  <w:r>
        <w:rPr>
          <w:rFonts w:hint="eastAsia" w:ascii="方正小标宋_GBK" w:hAnsi="方正小标宋_GBK" w:eastAsia="方正小标宋_GBK" w:cs="方正小标宋_GBK"/>
          <w:sz w:val="70"/>
          <w:szCs w:val="70"/>
        </w:rPr>
        <w:t>202</w:t>
      </w:r>
      <w:r>
        <w:rPr>
          <w:rFonts w:hint="eastAsia" w:ascii="方正小标宋_GBK" w:hAnsi="方正小标宋_GBK" w:eastAsia="方正小标宋_GBK" w:cs="方正小标宋_GBK"/>
          <w:sz w:val="70"/>
          <w:szCs w:val="70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70"/>
          <w:szCs w:val="70"/>
        </w:rPr>
        <w:t>年度部门决算情况说明</w:t>
      </w:r>
    </w:p>
    <w:p w14:paraId="33C43290">
      <w:pPr>
        <w:pStyle w:val="12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 w14:paraId="2341194E">
      <w:pPr>
        <w:pStyle w:val="12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 w14:paraId="29047A93">
      <w:pPr>
        <w:pStyle w:val="12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 w14:paraId="2DF714A6">
      <w:pPr>
        <w:pStyle w:val="12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 w14:paraId="4CD3334C">
      <w:pPr>
        <w:pStyle w:val="12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 w14:paraId="26059318">
      <w:pPr>
        <w:pStyle w:val="12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 w14:paraId="05CD8716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说明：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由于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决算编制时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数据</w:t>
      </w:r>
      <w:r>
        <w:rPr>
          <w:rFonts w:hint="eastAsia" w:ascii="仿宋_GB2312" w:hAnsi="仿宋_GB2312" w:eastAsia="仿宋_GB2312" w:cs="仿宋_GB2312"/>
          <w:sz w:val="32"/>
          <w:szCs w:val="32"/>
        </w:rPr>
        <w:t>明细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至“金额单位：元</w:t>
      </w:r>
      <w:r>
        <w:rPr>
          <w:rFonts w:hint="eastAsia" w:ascii="仿宋_GB2312" w:hAnsi="仿宋_GB2312" w:eastAsia="仿宋_GB2312" w:cs="仿宋_GB2312"/>
          <w:sz w:val="32"/>
          <w:szCs w:val="32"/>
        </w:rPr>
        <w:t>”，而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本套部门决算文字说明</w:t>
      </w:r>
      <w:r>
        <w:rPr>
          <w:rFonts w:hint="eastAsia" w:ascii="仿宋_GB2312" w:hAnsi="仿宋_GB2312" w:eastAsia="仿宋_GB2312" w:cs="仿宋_GB2312"/>
          <w:sz w:val="32"/>
          <w:szCs w:val="32"/>
        </w:rPr>
        <w:t>和公开表格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数据</w:t>
      </w:r>
      <w:r>
        <w:rPr>
          <w:rFonts w:hint="eastAsia" w:ascii="仿宋_GB2312" w:hAnsi="仿宋_GB2312" w:eastAsia="仿宋_GB2312" w:cs="仿宋_GB2312"/>
          <w:sz w:val="32"/>
          <w:szCs w:val="32"/>
        </w:rPr>
        <w:t>取数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转换为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金额单位：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万元”，可能导致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以下文字说明中的各项数据取数以及公开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表格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中的各项数据取数之间存在</w:t>
      </w:r>
      <w:r>
        <w:rPr>
          <w:rFonts w:hint="eastAsia" w:ascii="仿宋_GB2312" w:hAnsi="仿宋_GB2312" w:eastAsia="仿宋_GB2312" w:cs="仿宋_GB2312"/>
          <w:sz w:val="32"/>
          <w:szCs w:val="32"/>
        </w:rPr>
        <w:t>0.01的尾数差异。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2、以下文字说明中，部分科目由于预算数为0，无法计算完成年初预算的百分比，故未描述“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完成年初预算的XX%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”。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 w14:paraId="3D46BCBC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一、收入支出决算总体情况说明</w:t>
      </w:r>
    </w:p>
    <w:p w14:paraId="38B926CA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年度收、支总计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1577.17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万元。与上年相比，增加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211.56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15.49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%，主要是因为新增水电和设施设备维护费及新进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工勤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人员经费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2B35A58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二、收入决算情况说明</w:t>
      </w:r>
    </w:p>
    <w:p w14:paraId="094945F5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年度收入合计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1577.17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万元，其中：财政拨款收入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1545.46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97.99</w:t>
      </w:r>
      <w:r>
        <w:rPr>
          <w:rFonts w:hint="eastAsia" w:ascii="仿宋_GB2312" w:hAnsi="仿宋_GB2312" w:eastAsia="仿宋_GB2312" w:cs="仿宋_GB2312"/>
          <w:sz w:val="32"/>
          <w:szCs w:val="32"/>
        </w:rPr>
        <w:t>%；上级补助收入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%；事业收入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%；经营收入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%；附属单位上缴收入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%；其他收入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31.71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2.01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 w14:paraId="25662EE6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三、支出决算情况说明</w:t>
      </w:r>
    </w:p>
    <w:p w14:paraId="7F35EF59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年度支出合计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1568.45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1029.38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65.63</w:t>
      </w:r>
      <w:r>
        <w:rPr>
          <w:rFonts w:hint="eastAsia" w:ascii="仿宋_GB2312" w:hAnsi="仿宋_GB2312" w:eastAsia="仿宋_GB2312" w:cs="仿宋_GB2312"/>
          <w:sz w:val="32"/>
          <w:szCs w:val="32"/>
        </w:rPr>
        <w:t>%；项目支出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539.07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34.37</w:t>
      </w:r>
      <w:r>
        <w:rPr>
          <w:rFonts w:hint="eastAsia" w:ascii="仿宋_GB2312" w:hAnsi="仿宋_GB2312" w:eastAsia="仿宋_GB2312" w:cs="仿宋_GB2312"/>
          <w:sz w:val="32"/>
          <w:szCs w:val="32"/>
        </w:rPr>
        <w:t>%；上缴上级支出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%；经营支出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%；对附属单位补助支出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 w14:paraId="30DEB351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四、财政拨款收入支出决算总体情况说明</w:t>
      </w:r>
    </w:p>
    <w:p w14:paraId="2EDC39D9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年度财政拨款收、支总计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1545.46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万元，与上年相比，增加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303.88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万元,增长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24.48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%，主要是因为新增水电和设施设备维护费及新进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工勤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人员经费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BA69E7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五、一般公共预算财政拨款支出决算情况说明</w:t>
      </w:r>
    </w:p>
    <w:p w14:paraId="2FCF48E1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（一）一般公共预算财政拨款支出决算总体情况</w:t>
      </w:r>
    </w:p>
    <w:p w14:paraId="546833F0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年度财政拨款支出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1545.46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万元，占本年支出合计的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98.53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%，与上年相比，财政拨款支出增加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303.88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24.48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%，主要是因为</w:t>
      </w:r>
      <w:r>
        <w:rPr>
          <w:rFonts w:hint="eastAsia" w:ascii="Times New Roman" w:hAnsi="Times New Roman" w:eastAsia="仿宋_GB2312"/>
          <w:sz w:val="32"/>
          <w:szCs w:val="32"/>
        </w:rPr>
        <w:t>新增水电和设施设备维护费及新进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工勤</w:t>
      </w:r>
      <w:r>
        <w:rPr>
          <w:rFonts w:hint="eastAsia" w:ascii="Times New Roman" w:hAnsi="Times New Roman" w:eastAsia="仿宋_GB2312"/>
          <w:sz w:val="32"/>
          <w:szCs w:val="32"/>
        </w:rPr>
        <w:t>人员经费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 w14:paraId="5E972583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（二）一般公共预算财政拨款支出决算结构情况</w:t>
      </w:r>
    </w:p>
    <w:p w14:paraId="5B92E658">
      <w:pPr>
        <w:pStyle w:val="12"/>
        <w:ind w:firstLine="640" w:firstLineChars="200"/>
        <w:rPr>
          <w:rFonts w:hint="eastAsia" w:ascii="楷体" w:hAnsi="楷体" w:eastAsia="仿宋_GB2312" w:cs="楷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年度财政拨款支出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1545.46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Times New Roman" w:hAnsi="Times New Roman" w:eastAsia="仿宋_GB2312"/>
          <w:sz w:val="32"/>
          <w:szCs w:val="32"/>
        </w:rPr>
        <w:t>主要用于以下方面：文化旅游体育与传媒支出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1269.84</w:t>
      </w:r>
      <w:r>
        <w:rPr>
          <w:rFonts w:hint="eastAsia" w:ascii="Times New Roman" w:hAnsi="Times New Roman" w:eastAsia="仿宋_GB2312"/>
          <w:sz w:val="32"/>
          <w:szCs w:val="32"/>
        </w:rPr>
        <w:t>万元，占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82.17</w:t>
      </w:r>
      <w:r>
        <w:rPr>
          <w:rFonts w:hint="eastAsia" w:ascii="Times New Roman" w:hAnsi="Times New Roman" w:eastAsia="仿宋_GB2312"/>
          <w:sz w:val="32"/>
          <w:szCs w:val="32"/>
        </w:rPr>
        <w:t>%；社会保障和就业支出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159.22</w:t>
      </w:r>
      <w:r>
        <w:rPr>
          <w:rFonts w:hint="eastAsia" w:ascii="Times New Roman" w:hAnsi="Times New Roman" w:eastAsia="仿宋_GB2312"/>
          <w:sz w:val="32"/>
          <w:szCs w:val="32"/>
        </w:rPr>
        <w:t>万元，占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10.3</w:t>
      </w:r>
      <w:r>
        <w:rPr>
          <w:rFonts w:hint="eastAsia" w:ascii="Times New Roman" w:hAnsi="Times New Roman" w:eastAsia="仿宋_GB2312"/>
          <w:sz w:val="32"/>
          <w:szCs w:val="32"/>
        </w:rPr>
        <w:t>%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仿宋_GB2312"/>
          <w:sz w:val="32"/>
          <w:szCs w:val="32"/>
        </w:rPr>
        <w:t>卫生健康支出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55.58</w:t>
      </w:r>
      <w:r>
        <w:rPr>
          <w:rFonts w:hint="eastAsia" w:ascii="Times New Roman" w:hAnsi="Times New Roman" w:eastAsia="仿宋_GB2312"/>
          <w:sz w:val="32"/>
          <w:szCs w:val="32"/>
        </w:rPr>
        <w:t>万元，占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0.36</w:t>
      </w:r>
      <w:r>
        <w:rPr>
          <w:rFonts w:hint="eastAsia" w:ascii="Times New Roman" w:hAnsi="Times New Roman" w:eastAsia="仿宋_GB2312"/>
          <w:sz w:val="32"/>
          <w:szCs w:val="32"/>
        </w:rPr>
        <w:t>%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仿宋_GB2312"/>
          <w:sz w:val="32"/>
          <w:szCs w:val="32"/>
        </w:rPr>
        <w:t>住房保障支出60.83万元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仿宋_GB2312"/>
          <w:sz w:val="32"/>
          <w:szCs w:val="32"/>
        </w:rPr>
        <w:t>占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7.17</w:t>
      </w:r>
      <w:r>
        <w:rPr>
          <w:rFonts w:hint="eastAsia" w:ascii="Times New Roman" w:hAnsi="Times New Roman" w:eastAsia="仿宋_GB2312"/>
          <w:sz w:val="32"/>
          <w:szCs w:val="32"/>
        </w:rPr>
        <w:t>%</w:t>
      </w:r>
      <w:r>
        <w:rPr>
          <w:rFonts w:hint="eastAsia" w:ascii="楷体" w:hAnsi="楷体" w:eastAsia="楷体" w:cs="楷体"/>
          <w:i/>
          <w:sz w:val="32"/>
          <w:szCs w:val="32"/>
        </w:rPr>
        <w:t>。</w:t>
      </w:r>
    </w:p>
    <w:p w14:paraId="1419152D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（三）一般公共预算财政拨款支出决算具体情况</w:t>
      </w:r>
    </w:p>
    <w:p w14:paraId="4F5DAC68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年度财政拨款支出年初预算数为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925.02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1545.46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167.07</w:t>
      </w:r>
      <w:r>
        <w:rPr>
          <w:rFonts w:hint="eastAsia" w:ascii="仿宋_GB2312" w:hAnsi="仿宋_GB2312" w:eastAsia="仿宋_GB2312" w:cs="仿宋_GB2312"/>
          <w:sz w:val="32"/>
          <w:szCs w:val="32"/>
        </w:rPr>
        <w:t>%，其中：</w:t>
      </w:r>
    </w:p>
    <w:p w14:paraId="41C053CF">
      <w:pPr>
        <w:pStyle w:val="12"/>
        <w:ind w:firstLine="800" w:firstLineChars="25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1、文化旅游体育与传媒支出（类）文化和旅游（款） 一般行政管理事务（项）。</w:t>
      </w:r>
    </w:p>
    <w:p w14:paraId="477C6421">
      <w:pPr>
        <w:pStyle w:val="12"/>
        <w:ind w:firstLine="640" w:firstLineChars="20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年初预算为40万元，支出决算为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49.10</w:t>
      </w:r>
      <w:r>
        <w:rPr>
          <w:rFonts w:hint="eastAsia" w:ascii="宋体" w:hAnsi="宋体" w:eastAsia="宋体"/>
          <w:sz w:val="32"/>
          <w:szCs w:val="32"/>
        </w:rPr>
        <w:t>万元，完成年初预算的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122.75</w:t>
      </w:r>
      <w:r>
        <w:rPr>
          <w:rFonts w:hint="eastAsia" w:ascii="宋体" w:hAnsi="宋体" w:eastAsia="宋体"/>
          <w:sz w:val="32"/>
          <w:szCs w:val="32"/>
        </w:rPr>
        <w:t>%，决算数大于年初预算数的主要原因是：新图书馆社会知名度提高，进馆读者数量增多，增加日常经费。</w:t>
      </w:r>
    </w:p>
    <w:p w14:paraId="2C111695">
      <w:pPr>
        <w:pStyle w:val="12"/>
        <w:ind w:firstLine="800" w:firstLineChars="25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2、文化旅游体育与传媒支出（类）文化和旅游（款）图书馆（项）。</w:t>
      </w:r>
    </w:p>
    <w:p w14:paraId="13C39270">
      <w:pPr>
        <w:pStyle w:val="12"/>
        <w:ind w:firstLine="640" w:firstLineChars="20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年初预算为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583.56</w:t>
      </w:r>
      <w:r>
        <w:rPr>
          <w:rFonts w:hint="eastAsia" w:ascii="宋体" w:hAnsi="宋体" w:eastAsia="宋体"/>
          <w:sz w:val="32"/>
          <w:szCs w:val="32"/>
        </w:rPr>
        <w:t>万元，支出决算为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1117.23</w:t>
      </w:r>
      <w:r>
        <w:rPr>
          <w:rFonts w:hint="eastAsia" w:ascii="宋体" w:hAnsi="宋体" w:eastAsia="宋体"/>
          <w:sz w:val="32"/>
          <w:szCs w:val="32"/>
        </w:rPr>
        <w:t>万元，完成年初预算的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191.45</w:t>
      </w:r>
      <w:r>
        <w:rPr>
          <w:rFonts w:hint="eastAsia" w:ascii="宋体" w:hAnsi="宋体" w:eastAsia="宋体"/>
          <w:sz w:val="32"/>
          <w:szCs w:val="32"/>
        </w:rPr>
        <w:t>%，决算数大于年初预算数的主要原因是：新增水电和网络维护费（原该项经费由项目公司负责管理）及新进人员经费。</w:t>
      </w:r>
    </w:p>
    <w:p w14:paraId="34803CA3">
      <w:pPr>
        <w:pStyle w:val="12"/>
        <w:ind w:firstLine="800" w:firstLineChars="25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3、文化旅游体育与传媒支出（类）文化和旅游（款） 其他文化和旅游支出（项）。</w:t>
      </w:r>
    </w:p>
    <w:p w14:paraId="57216D93">
      <w:pPr>
        <w:pStyle w:val="12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年初预算为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40</w:t>
      </w:r>
      <w:r>
        <w:rPr>
          <w:rFonts w:hint="eastAsia" w:ascii="宋体" w:hAnsi="宋体" w:eastAsia="宋体"/>
          <w:sz w:val="32"/>
          <w:szCs w:val="32"/>
        </w:rPr>
        <w:t>万元，支出决算为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103.51</w:t>
      </w:r>
      <w:r>
        <w:rPr>
          <w:rFonts w:hint="eastAsia" w:ascii="宋体" w:hAnsi="宋体" w:eastAsia="宋体"/>
          <w:sz w:val="32"/>
          <w:szCs w:val="32"/>
        </w:rPr>
        <w:t>万元，完成年初预算的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258.77</w:t>
      </w:r>
      <w:r>
        <w:rPr>
          <w:rFonts w:hint="eastAsia" w:ascii="宋体" w:hAnsi="宋体" w:eastAsia="宋体"/>
          <w:sz w:val="32"/>
          <w:szCs w:val="32"/>
        </w:rPr>
        <w:t>%，决算数大于年初预算数的主要原因是：新增水电和网络维护费（原该项经费由项目公司负责管理）及新进人员经费。</w:t>
      </w:r>
    </w:p>
    <w:p w14:paraId="40E52522">
      <w:pPr>
        <w:pStyle w:val="12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4、社会保障和就业支出（类）行政事业单位养老支出（款）机关事业单位基本养老保险缴费支出（项）。</w:t>
      </w:r>
    </w:p>
    <w:p w14:paraId="2E6DDF26">
      <w:pPr>
        <w:pStyle w:val="12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年初预算为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148.98</w:t>
      </w:r>
      <w:r>
        <w:rPr>
          <w:rFonts w:hint="eastAsia" w:ascii="宋体" w:hAnsi="宋体" w:eastAsia="宋体"/>
          <w:sz w:val="32"/>
          <w:szCs w:val="32"/>
        </w:rPr>
        <w:t>万元，支出决算为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159.22</w:t>
      </w:r>
      <w:r>
        <w:rPr>
          <w:rFonts w:hint="eastAsia" w:ascii="宋体" w:hAnsi="宋体" w:eastAsia="宋体"/>
          <w:sz w:val="32"/>
          <w:szCs w:val="32"/>
        </w:rPr>
        <w:t>万元，完成年初预算的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106.87</w:t>
      </w:r>
      <w:r>
        <w:rPr>
          <w:rFonts w:hint="eastAsia" w:ascii="宋体" w:hAnsi="宋体" w:eastAsia="宋体"/>
          <w:sz w:val="32"/>
          <w:szCs w:val="32"/>
        </w:rPr>
        <w:t>%，决算数大于年初预算数的主要原因是：图书馆新进事业单位公开招考人员经费相应增加。</w:t>
      </w:r>
    </w:p>
    <w:p w14:paraId="3B8A26C8">
      <w:pPr>
        <w:pStyle w:val="12"/>
        <w:ind w:firstLine="800" w:firstLineChars="250"/>
        <w:jc w:val="both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5、卫生健康支出（类）行政事业单位医疗（款）事业单位医疗（项）。</w:t>
      </w:r>
    </w:p>
    <w:p w14:paraId="505CEC33">
      <w:pPr>
        <w:pStyle w:val="12"/>
        <w:ind w:left="638" w:leftChars="304"/>
        <w:jc w:val="both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年初预算为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53</w:t>
      </w:r>
      <w:r>
        <w:rPr>
          <w:rFonts w:hint="eastAsia" w:ascii="宋体" w:hAnsi="宋体" w:eastAsia="宋体"/>
          <w:sz w:val="32"/>
          <w:szCs w:val="32"/>
        </w:rPr>
        <w:t>.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/>
          <w:sz w:val="32"/>
          <w:szCs w:val="32"/>
        </w:rPr>
        <w:t>4万元，支出决算为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55.58</w:t>
      </w:r>
      <w:r>
        <w:rPr>
          <w:rFonts w:hint="eastAsia" w:ascii="宋体" w:hAnsi="宋体" w:eastAsia="宋体"/>
          <w:sz w:val="32"/>
          <w:szCs w:val="32"/>
        </w:rPr>
        <w:t>万元，完成年初预算的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103.42</w:t>
      </w:r>
      <w:r>
        <w:rPr>
          <w:rFonts w:hint="eastAsia" w:ascii="宋体" w:hAnsi="宋体" w:eastAsia="宋体"/>
          <w:sz w:val="32"/>
          <w:szCs w:val="32"/>
        </w:rPr>
        <w:t>%,决算数大于年初预算数的主要原因是：图书馆新进事业单位公开招考人员经费相应增加。</w:t>
      </w:r>
    </w:p>
    <w:p w14:paraId="5806567E">
      <w:pPr>
        <w:pStyle w:val="12"/>
        <w:numPr>
          <w:ilvl w:val="0"/>
          <w:numId w:val="2"/>
        </w:numPr>
        <w:ind w:firstLine="640" w:firstLineChars="200"/>
        <w:jc w:val="both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>住房保障</w:t>
      </w:r>
      <w:r>
        <w:rPr>
          <w:rFonts w:hint="eastAsia" w:ascii="宋体" w:hAnsi="宋体" w:eastAsia="宋体"/>
          <w:sz w:val="32"/>
          <w:szCs w:val="32"/>
        </w:rPr>
        <w:t>支出（类）行政事业单位住房改革支出（款）机关事业住房公积金支出（项）。</w:t>
      </w:r>
    </w:p>
    <w:p w14:paraId="2DBFE102">
      <w:pPr>
        <w:pStyle w:val="12"/>
        <w:ind w:left="638" w:leftChars="304"/>
        <w:jc w:val="both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年初预算为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58</w:t>
      </w:r>
      <w:r>
        <w:rPr>
          <w:rFonts w:hint="eastAsia" w:ascii="宋体" w:hAnsi="宋体" w:eastAsia="宋体"/>
          <w:sz w:val="32"/>
          <w:szCs w:val="32"/>
        </w:rPr>
        <w:t>.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/>
          <w:sz w:val="32"/>
          <w:szCs w:val="32"/>
        </w:rPr>
        <w:t>4万元，支出决算为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60.83</w:t>
      </w:r>
      <w:r>
        <w:rPr>
          <w:rFonts w:hint="eastAsia" w:ascii="宋体" w:hAnsi="宋体" w:eastAsia="宋体"/>
          <w:sz w:val="32"/>
          <w:szCs w:val="32"/>
        </w:rPr>
        <w:t>万元，完成年初预算的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103.56</w:t>
      </w:r>
      <w:r>
        <w:rPr>
          <w:rFonts w:hint="eastAsia" w:ascii="宋体" w:hAnsi="宋体" w:eastAsia="宋体"/>
          <w:sz w:val="32"/>
          <w:szCs w:val="32"/>
        </w:rPr>
        <w:t>%,决算数大于年初预算数的主要原因是：图书馆新进事业单位公开招考人员经费相应增加。</w:t>
      </w:r>
    </w:p>
    <w:p w14:paraId="73211A3D">
      <w:pPr>
        <w:pStyle w:val="1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一般公共预算财政拨款基本支出决算情况说明</w:t>
      </w:r>
    </w:p>
    <w:p w14:paraId="3E569060">
      <w:pPr>
        <w:pStyle w:val="12"/>
        <w:ind w:firstLine="640" w:firstLineChars="20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202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/>
          <w:sz w:val="32"/>
          <w:szCs w:val="32"/>
        </w:rPr>
        <w:t>年度财政拨款基本支出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1006.4</w:t>
      </w:r>
      <w:r>
        <w:rPr>
          <w:rFonts w:hint="eastAsia" w:ascii="宋体" w:hAnsi="宋体" w:eastAsia="宋体"/>
          <w:sz w:val="32"/>
          <w:szCs w:val="32"/>
        </w:rPr>
        <w:t>万元，其中：</w:t>
      </w:r>
    </w:p>
    <w:p w14:paraId="18077C36">
      <w:pPr>
        <w:pStyle w:val="12"/>
        <w:ind w:firstLine="640" w:firstLineChars="20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人员经费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883.03</w:t>
      </w:r>
      <w:r>
        <w:rPr>
          <w:rFonts w:hint="eastAsia" w:ascii="宋体" w:hAnsi="宋体" w:eastAsia="宋体"/>
          <w:sz w:val="32"/>
          <w:szCs w:val="32"/>
        </w:rPr>
        <w:t>万元，占基本支出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87.74</w:t>
      </w:r>
      <w:r>
        <w:rPr>
          <w:rFonts w:hint="eastAsia" w:ascii="宋体" w:hAnsi="宋体" w:eastAsia="宋体"/>
          <w:sz w:val="32"/>
          <w:szCs w:val="32"/>
        </w:rPr>
        <w:t>%,主要包括基本工资、奖金、伙食补助费、绩效工资、机关事业单位基本养老保险缴费、职工基本医疗保险缴费、其他社会保障缴费、住房公积金、其他工资福利支出、退休费、生活补助、奖励金。</w:t>
      </w:r>
    </w:p>
    <w:p w14:paraId="30813628">
      <w:pPr>
        <w:pStyle w:val="12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公用经费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123.37</w:t>
      </w:r>
      <w:r>
        <w:rPr>
          <w:rFonts w:hint="eastAsia" w:ascii="宋体" w:hAnsi="宋体" w:eastAsia="宋体"/>
          <w:sz w:val="32"/>
          <w:szCs w:val="32"/>
        </w:rPr>
        <w:t>万元，占基本支出的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12.26</w:t>
      </w:r>
      <w:r>
        <w:rPr>
          <w:rFonts w:hint="eastAsia" w:ascii="宋体" w:hAnsi="宋体" w:eastAsia="宋体"/>
          <w:sz w:val="32"/>
          <w:szCs w:val="32"/>
        </w:rPr>
        <w:t>%，主要包括办公费、印刷费、水费、电费、邮电费、差旅费、维修（护）费、培训费、公务接待费、专用材料费、劳务费、工会经费、公务用车运行维护费，其他交通费用、其他商品和服务支出、办公设备购置。</w:t>
      </w:r>
    </w:p>
    <w:p w14:paraId="254EC7CE">
      <w:pPr>
        <w:pStyle w:val="1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政府性基金预算收入支出决算情况</w:t>
      </w:r>
    </w:p>
    <w:p w14:paraId="4993017E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202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/>
          <w:sz w:val="32"/>
          <w:szCs w:val="32"/>
        </w:rPr>
        <w:t>年度岳阳市图书馆政府性基金预算财政拨款收入0万元；年初结转和结余0万元；支出0万元，其中基本支出0万元，项目支出0万元；年末结转和结余0万元。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 </w:t>
      </w:r>
    </w:p>
    <w:p w14:paraId="6CEF2A26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-SA"/>
        </w:rPr>
        <w:t>国有资本经营预算财政拨款支出决算情况</w:t>
      </w:r>
    </w:p>
    <w:p w14:paraId="1F780B8C">
      <w:pPr>
        <w:pStyle w:val="12"/>
        <w:spacing w:line="600" w:lineRule="exact"/>
        <w:ind w:firstLine="640" w:firstLineChars="20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202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/>
          <w:sz w:val="32"/>
          <w:szCs w:val="32"/>
        </w:rPr>
        <w:t>年度岳阳市图书馆国有资本经营预算财政拨款收入0万元；年初结转和结余0万；支出0万元，其中：基本支出0万元，项目支出0万元；年末结转和结余0万元。</w:t>
      </w:r>
    </w:p>
    <w:p w14:paraId="61E463DE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hAnsi="黑体" w:cs="黑体"/>
          <w:b w:val="0"/>
          <w:bCs/>
          <w:sz w:val="32"/>
          <w:szCs w:val="32"/>
          <w:lang w:eastAsia="zh-CN"/>
        </w:rPr>
        <w:t>九、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财政拨款三公经费支出决算情况说明</w:t>
      </w:r>
    </w:p>
    <w:p w14:paraId="20902E80">
      <w:pPr>
        <w:pStyle w:val="12"/>
        <w:spacing w:line="600" w:lineRule="exact"/>
        <w:ind w:firstLine="640" w:firstLineChars="200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（一）“三公”经费财政拨款支出决算总体情况说明</w:t>
      </w:r>
    </w:p>
    <w:p w14:paraId="1E3C18ED">
      <w:pPr>
        <w:pStyle w:val="12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“三公”经费财政拨款支出预算为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0.32</w:t>
      </w:r>
      <w:r>
        <w:rPr>
          <w:rFonts w:hint="eastAsia" w:ascii="宋体" w:hAnsi="宋体" w:eastAsia="宋体"/>
          <w:sz w:val="32"/>
          <w:szCs w:val="32"/>
        </w:rPr>
        <w:t>万元，支出决算为0.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32</w:t>
      </w:r>
      <w:r>
        <w:rPr>
          <w:rFonts w:hint="eastAsia" w:ascii="宋体" w:hAnsi="宋体" w:eastAsia="宋体"/>
          <w:sz w:val="32"/>
          <w:szCs w:val="32"/>
        </w:rPr>
        <w:t>万元，完成预算的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100</w:t>
      </w:r>
      <w:r>
        <w:rPr>
          <w:rFonts w:hint="eastAsia" w:ascii="宋体" w:hAnsi="宋体" w:eastAsia="宋体"/>
          <w:sz w:val="32"/>
          <w:szCs w:val="32"/>
        </w:rPr>
        <w:t>%，其中：</w:t>
      </w:r>
    </w:p>
    <w:p w14:paraId="58794D08">
      <w:pPr>
        <w:pStyle w:val="12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因公出国（境）费支出预算为0万元，支出决算为0万元，决算数等于预算数，主要原因是我单位严格按预算执行决算；与上年一致，无增减变动，主要原因是未安排因公出国（境）活动。</w:t>
      </w:r>
    </w:p>
    <w:p w14:paraId="13D41CC6">
      <w:pPr>
        <w:pStyle w:val="12"/>
        <w:ind w:firstLine="800" w:firstLineChars="25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公务接待费支出预算为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/>
          <w:sz w:val="32"/>
          <w:szCs w:val="32"/>
        </w:rPr>
        <w:t>万元，支出决算为0万元，与上年支出决算数持平。</w:t>
      </w:r>
    </w:p>
    <w:p w14:paraId="1CF86127">
      <w:pPr>
        <w:pStyle w:val="12"/>
        <w:ind w:firstLine="800" w:firstLineChars="25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公务用车购置费及运行维护费支出预算为0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.32</w:t>
      </w:r>
      <w:r>
        <w:rPr>
          <w:rFonts w:hint="eastAsia" w:ascii="宋体" w:hAnsi="宋体" w:eastAsia="宋体"/>
          <w:sz w:val="32"/>
          <w:szCs w:val="32"/>
        </w:rPr>
        <w:t>万元，支出决算为0.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32</w:t>
      </w:r>
      <w:r>
        <w:rPr>
          <w:rFonts w:hint="eastAsia" w:ascii="宋体" w:hAnsi="宋体" w:eastAsia="宋体"/>
          <w:sz w:val="32"/>
          <w:szCs w:val="32"/>
        </w:rPr>
        <w:t>万元，完成预算的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100</w:t>
      </w:r>
      <w:r>
        <w:rPr>
          <w:rFonts w:hint="eastAsia" w:ascii="宋体" w:hAnsi="宋体" w:eastAsia="宋体"/>
          <w:sz w:val="32"/>
          <w:szCs w:val="32"/>
        </w:rPr>
        <w:t>%</w:t>
      </w:r>
      <w:r>
        <w:rPr>
          <w:rFonts w:hint="eastAsia" w:ascii="宋体" w:hAnsi="宋体" w:eastAsia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/>
          <w:sz w:val="32"/>
          <w:szCs w:val="32"/>
        </w:rPr>
        <w:t>与上年支出决算数持平。</w:t>
      </w:r>
    </w:p>
    <w:p w14:paraId="7E3BBDE5">
      <w:pPr>
        <w:pStyle w:val="12"/>
        <w:spacing w:line="600" w:lineRule="exact"/>
        <w:ind w:firstLine="640" w:firstLineChars="200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（二）“三公”经费财政拨款支出决算具体情况说明</w:t>
      </w:r>
    </w:p>
    <w:p w14:paraId="1749D4FB">
      <w:pPr>
        <w:pStyle w:val="12"/>
        <w:ind w:firstLine="640" w:firstLineChars="20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2022年度“三公”经费财政拨款支出决算中，公务接待费支出决算0万元，占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/>
          <w:sz w:val="32"/>
          <w:szCs w:val="32"/>
        </w:rPr>
        <w:t>%,因公出国（境）费支出决算0万元，占0%,公务用车购置费及运行维护费支出决算0.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32</w:t>
      </w:r>
      <w:r>
        <w:rPr>
          <w:rFonts w:hint="eastAsia" w:ascii="宋体" w:hAnsi="宋体" w:eastAsia="宋体"/>
          <w:sz w:val="32"/>
          <w:szCs w:val="32"/>
        </w:rPr>
        <w:t>万元，占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100</w:t>
      </w:r>
      <w:r>
        <w:rPr>
          <w:rFonts w:hint="eastAsia" w:ascii="宋体" w:hAnsi="宋体" w:eastAsia="宋体"/>
          <w:sz w:val="32"/>
          <w:szCs w:val="32"/>
        </w:rPr>
        <w:t>%。其中：</w:t>
      </w:r>
    </w:p>
    <w:p w14:paraId="759C3A21">
      <w:pPr>
        <w:pStyle w:val="12"/>
        <w:ind w:firstLine="800" w:firstLineChars="250"/>
        <w:rPr>
          <w:rFonts w:hint="eastAsia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>1、因公出国（境）费支出预算为0万元，支出决算为0万元，决算数等于预算数，主要原因是我单位严格按预算执行决算；与上年一致，无增减变动，主要原因是未安排因公出国（境）活动。</w:t>
      </w:r>
    </w:p>
    <w:p w14:paraId="274490A4">
      <w:pPr>
        <w:pStyle w:val="12"/>
        <w:ind w:firstLine="800" w:firstLineChars="250"/>
        <w:rPr>
          <w:rFonts w:hint="eastAsia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2、公务接待费支出预算为0万元，支出决算为0万元，决算数等于预算数，主要原因是严格执行中央八项规定；与上年一致，无增减变动，主要原因是按有关政策厉行节约，严控公务接待支出。  </w:t>
      </w:r>
    </w:p>
    <w:p w14:paraId="78617A6B">
      <w:pPr>
        <w:ind w:firstLine="640" w:firstLineChars="200"/>
        <w:rPr>
          <w:rFonts w:ascii="宋体" w:hAnsi="宋体" w:cs="黑体"/>
          <w:color w:val="000000"/>
          <w:kern w:val="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3、本馆现有一台公务用车，公务用车购置费及运行维护费支出决算为0.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32</w:t>
      </w:r>
      <w:r>
        <w:rPr>
          <w:rFonts w:hint="eastAsia" w:ascii="宋体" w:hAnsi="宋体"/>
          <w:color w:val="000000"/>
          <w:sz w:val="32"/>
          <w:szCs w:val="32"/>
        </w:rPr>
        <w:t>万元，其中：公务用车购置费0万元</w:t>
      </w:r>
      <w:r>
        <w:rPr>
          <w:rFonts w:hint="eastAsia" w:ascii="宋体" w:hAnsi="宋体"/>
          <w:color w:val="000000"/>
          <w:sz w:val="32"/>
          <w:szCs w:val="32"/>
          <w:lang w:eastAsia="zh-CN"/>
        </w:rPr>
        <w:t>，</w:t>
      </w:r>
      <w:r>
        <w:rPr>
          <w:rFonts w:hint="eastAsia" w:ascii="宋体" w:hAnsi="宋体"/>
          <w:color w:val="000000"/>
          <w:sz w:val="32"/>
          <w:szCs w:val="32"/>
        </w:rPr>
        <w:t>当年没有购置公务用车。公务用车运行维护费0.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32</w:t>
      </w:r>
      <w:r>
        <w:rPr>
          <w:rFonts w:hint="eastAsia" w:ascii="宋体" w:hAnsi="宋体"/>
          <w:color w:val="000000"/>
          <w:sz w:val="32"/>
          <w:szCs w:val="32"/>
        </w:rPr>
        <w:t>万元，主要是图书馆流动服务车车辆检测费用支出。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截至202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年12月31日，</w:t>
      </w:r>
      <w:r>
        <w:rPr>
          <w:rFonts w:hint="eastAsia" w:ascii="宋体" w:hAnsi="宋体"/>
          <w:color w:val="000000"/>
          <w:sz w:val="32"/>
          <w:szCs w:val="32"/>
        </w:rPr>
        <w:t>我单位财政拨款的公务用车保有量为1辆。</w:t>
      </w:r>
    </w:p>
    <w:p w14:paraId="44F9AE8B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b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/>
          <w:bCs w:val="0"/>
          <w:color w:val="auto"/>
          <w:sz w:val="32"/>
          <w:szCs w:val="32"/>
          <w:lang w:val="en-US" w:eastAsia="zh-CN"/>
        </w:rPr>
        <w:t>十</w:t>
      </w:r>
      <w:r>
        <w:rPr>
          <w:rFonts w:hint="eastAsia" w:ascii="Times New Roman" w:hAnsi="Times New Roman" w:eastAsia="仿宋_GB2312"/>
          <w:b/>
          <w:color w:val="auto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/>
          <w:b/>
          <w:color w:val="auto"/>
          <w:sz w:val="32"/>
          <w:szCs w:val="32"/>
        </w:rPr>
        <w:t>关于机关运行经费支出说明</w:t>
      </w:r>
    </w:p>
    <w:p w14:paraId="0465DE03">
      <w:pPr>
        <w:pStyle w:val="12"/>
        <w:ind w:firstLine="640" w:firstLineChars="20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 w:cs="Times New Roman"/>
          <w:color w:val="auto"/>
          <w:kern w:val="2"/>
          <w:sz w:val="32"/>
          <w:szCs w:val="32"/>
        </w:rPr>
        <w:t>202</w:t>
      </w:r>
      <w:r>
        <w:rPr>
          <w:rFonts w:hint="eastAsia" w:ascii="宋体" w:hAnsi="宋体" w:eastAsia="宋体" w:cs="Times New Roman"/>
          <w:color w:val="auto"/>
          <w:kern w:val="2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Times New Roman"/>
          <w:color w:val="auto"/>
          <w:kern w:val="2"/>
          <w:sz w:val="32"/>
          <w:szCs w:val="32"/>
        </w:rPr>
        <w:t>年度岳阳市图书馆机关运行</w:t>
      </w:r>
      <w:r>
        <w:rPr>
          <w:rFonts w:hint="eastAsia" w:ascii="宋体" w:hAnsi="宋体" w:eastAsia="宋体"/>
          <w:sz w:val="32"/>
          <w:szCs w:val="32"/>
        </w:rPr>
        <w:t>经费支出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/>
          <w:sz w:val="32"/>
          <w:szCs w:val="32"/>
        </w:rPr>
        <w:t>万元，比年初预算数增加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/>
          <w:sz w:val="32"/>
          <w:szCs w:val="32"/>
        </w:rPr>
        <w:t>万元，主要原因是：本</w:t>
      </w:r>
      <w:r>
        <w:rPr>
          <w:rFonts w:hint="eastAsia" w:ascii="宋体" w:hAnsi="宋体" w:eastAsia="宋体"/>
          <w:sz w:val="32"/>
          <w:szCs w:val="32"/>
          <w:lang w:eastAsia="zh-CN"/>
        </w:rPr>
        <w:t>级和所属单位均为事业单位，按照机关运行经费的口径，本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年</w:t>
      </w:r>
      <w:r>
        <w:rPr>
          <w:rFonts w:hint="eastAsia" w:ascii="宋体" w:hAnsi="宋体" w:eastAsia="宋体"/>
          <w:sz w:val="32"/>
          <w:szCs w:val="32"/>
        </w:rPr>
        <w:t>度机关运行经费</w:t>
      </w:r>
      <w:r>
        <w:rPr>
          <w:rFonts w:hint="eastAsia" w:ascii="宋体" w:hAnsi="宋体" w:eastAsia="宋体"/>
          <w:sz w:val="32"/>
          <w:szCs w:val="32"/>
          <w:lang w:eastAsia="zh-CN"/>
        </w:rPr>
        <w:t>为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/>
          <w:sz w:val="32"/>
          <w:szCs w:val="32"/>
        </w:rPr>
        <w:t>。</w:t>
      </w:r>
    </w:p>
    <w:p w14:paraId="69B06D0B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hAnsi="黑体" w:cs="黑体"/>
          <w:b w:val="0"/>
          <w:bCs/>
          <w:sz w:val="32"/>
          <w:szCs w:val="32"/>
          <w:lang w:val="en-US" w:eastAsia="zh-CN"/>
        </w:rPr>
        <w:t>十一、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一般性支出情况说明</w:t>
      </w:r>
    </w:p>
    <w:p w14:paraId="2DA5F758">
      <w:pPr>
        <w:pStyle w:val="12"/>
        <w:ind w:firstLine="640" w:firstLineChars="200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 w:eastAsia="宋体"/>
          <w:sz w:val="32"/>
          <w:szCs w:val="32"/>
        </w:rPr>
        <w:t>202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3年度，会议费年初预算2万元，支出决算为0.28万元，完成年初预算的14%。用于召会议，</w:t>
      </w:r>
      <w:r>
        <w:rPr>
          <w:rFonts w:hint="eastAsia" w:ascii="宋体" w:hAnsi="宋体" w:eastAsia="宋体"/>
          <w:sz w:val="32"/>
          <w:szCs w:val="32"/>
        </w:rPr>
        <w:t>人数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/>
          <w:sz w:val="32"/>
          <w:szCs w:val="32"/>
        </w:rPr>
        <w:t>人，内容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为图书馆学会馆长联系会</w:t>
      </w:r>
      <w:r>
        <w:rPr>
          <w:rFonts w:hint="eastAsia" w:ascii="宋体" w:hAnsi="宋体" w:eastAsia="宋体"/>
          <w:sz w:val="32"/>
          <w:szCs w:val="32"/>
          <w:lang w:eastAsia="zh-CN"/>
        </w:rPr>
        <w:t>。</w:t>
      </w:r>
    </w:p>
    <w:p w14:paraId="35585E58">
      <w:pPr>
        <w:pStyle w:val="12"/>
        <w:ind w:firstLine="640" w:firstLineChars="200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>培训费年初预算3.5万元，支出决算为2.92万元，完成年初预算的83.43%。</w:t>
      </w:r>
      <w:r>
        <w:rPr>
          <w:rFonts w:hint="eastAsia" w:ascii="宋体" w:hAnsi="宋体" w:eastAsia="宋体"/>
          <w:sz w:val="32"/>
          <w:szCs w:val="32"/>
        </w:rPr>
        <w:t>用于开展图书馆新增业务培训，人数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30</w:t>
      </w:r>
      <w:r>
        <w:rPr>
          <w:rFonts w:hint="eastAsia" w:ascii="宋体" w:hAnsi="宋体" w:eastAsia="宋体"/>
          <w:sz w:val="32"/>
          <w:szCs w:val="32"/>
        </w:rPr>
        <w:t>人，内容为图书馆学会培训</w:t>
      </w:r>
      <w:r>
        <w:rPr>
          <w:rFonts w:hint="eastAsia" w:ascii="宋体" w:hAnsi="宋体" w:eastAsia="宋体"/>
          <w:sz w:val="32"/>
          <w:szCs w:val="32"/>
          <w:lang w:eastAsia="zh-CN"/>
        </w:rPr>
        <w:t>。</w:t>
      </w:r>
    </w:p>
    <w:p w14:paraId="3658EBBF">
      <w:pPr>
        <w:pStyle w:val="12"/>
        <w:ind w:firstLine="640" w:firstLineChars="20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本单位无举办节庆、晚会、论坛、赛事等活动的预算和支出决算数。</w:t>
      </w:r>
    </w:p>
    <w:p w14:paraId="4684756A">
      <w:pPr>
        <w:pStyle w:val="12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hAnsi="黑体" w:cs="黑体"/>
          <w:b w:val="0"/>
          <w:bCs/>
          <w:sz w:val="32"/>
          <w:szCs w:val="32"/>
          <w:lang w:val="en-US" w:eastAsia="zh-CN"/>
        </w:rPr>
        <w:t>十二、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关于政府采购支出说明</w:t>
      </w:r>
    </w:p>
    <w:p w14:paraId="31824159">
      <w:pPr>
        <w:pStyle w:val="12"/>
        <w:ind w:firstLine="640" w:firstLineChars="20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本部门202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/>
          <w:sz w:val="32"/>
          <w:szCs w:val="32"/>
        </w:rPr>
        <w:t>年度政府采购支出总额0万元，其中：政府采购货物支出0万元、政府采购工程支出0万元、政府采购服务支出0万元。授予中小企业合同金额0万元，占政府采购支出总额的0%，其中：授予小微企业合同金额0万元，占授予中小企业合同金额的0%；货物采购授予中小企业合同金额占货物支出金额的0%，工程采购授予中小企业合同金额占工程支出金额的0%，服务采购授予中小企业合同金额占服务支出金额的0%。</w:t>
      </w:r>
    </w:p>
    <w:p w14:paraId="672A9299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十</w:t>
      </w:r>
      <w:r>
        <w:rPr>
          <w:rFonts w:hint="eastAsia" w:hAnsi="黑体" w:cs="黑体"/>
          <w:b w:val="0"/>
          <w:bCs/>
          <w:color w:val="auto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、关于国有资产占用情况说明</w:t>
      </w:r>
    </w:p>
    <w:p w14:paraId="1B237603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宋体" w:cs="仿宋_GB2312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  <w:szCs w:val="32"/>
        </w:rPr>
        <w:t>截至202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/>
          <w:sz w:val="32"/>
          <w:szCs w:val="32"/>
        </w:rPr>
        <w:t>年12月31日，本单位共有车辆1辆，其中，主要领导干部用车0辆，机要通信用车0辆、应急保障用车0辆、执法执勤用车0辆、特种专业技术用车0辆、其他用车1辆，其他用车主要是</w:t>
      </w:r>
      <w:r>
        <w:rPr>
          <w:rFonts w:hint="eastAsia" w:ascii="宋体" w:hAnsi="宋体" w:eastAsia="宋体" w:cs="宋体"/>
          <w:sz w:val="32"/>
          <w:szCs w:val="32"/>
        </w:rPr>
        <w:t>图书馆流动服务车</w:t>
      </w:r>
      <w:r>
        <w:rPr>
          <w:rFonts w:hint="eastAsia" w:ascii="宋体" w:hAnsi="宋体" w:eastAsia="宋体"/>
          <w:sz w:val="32"/>
          <w:szCs w:val="32"/>
        </w:rPr>
        <w:t>；单位价值50万元以上通用设备0台（套）；单位价值100万元以上专用设备0台（套）</w:t>
      </w:r>
      <w:r>
        <w:rPr>
          <w:rFonts w:hint="eastAsia" w:ascii="宋体" w:hAnsi="宋体" w:eastAsia="宋体"/>
          <w:sz w:val="32"/>
          <w:szCs w:val="32"/>
          <w:lang w:eastAsia="zh-CN"/>
        </w:rPr>
        <w:t>。</w:t>
      </w:r>
    </w:p>
    <w:p w14:paraId="46C2DD82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十</w:t>
      </w:r>
      <w:r>
        <w:rPr>
          <w:rFonts w:hint="eastAsia" w:hAnsi="黑体" w:cs="黑体"/>
          <w:b w:val="0"/>
          <w:bCs/>
          <w:color w:val="auto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、关于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年度</w:t>
      </w:r>
      <w:r>
        <w:rPr>
          <w:rFonts w:hint="eastAsia" w:hAnsi="黑体" w:cs="黑体"/>
          <w:b w:val="0"/>
          <w:bCs/>
          <w:color w:val="auto"/>
          <w:sz w:val="32"/>
          <w:szCs w:val="32"/>
          <w:lang w:eastAsia="zh-CN"/>
        </w:rPr>
        <w:t>预算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绩效情况的说明</w:t>
      </w:r>
    </w:p>
    <w:p w14:paraId="2315387B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（一）绩效管理工作开展情况</w:t>
      </w:r>
    </w:p>
    <w:p w14:paraId="02B9F760">
      <w:pPr>
        <w:autoSpaceDE w:val="0"/>
        <w:autoSpaceDN w:val="0"/>
        <w:adjustRightInd w:val="0"/>
        <w:ind w:firstLine="640" w:firstLineChars="200"/>
        <w:jc w:val="left"/>
        <w:rPr>
          <w:rFonts w:ascii="宋体" w:hAnsi="宋体" w:cs="黑体"/>
          <w:color w:val="000000"/>
          <w:kern w:val="0"/>
          <w:sz w:val="32"/>
          <w:szCs w:val="32"/>
        </w:rPr>
      </w:pPr>
      <w:r>
        <w:rPr>
          <w:rFonts w:hint="eastAsia" w:ascii="宋体" w:hAnsi="宋体" w:cs="黑体"/>
          <w:color w:val="000000"/>
          <w:kern w:val="0"/>
          <w:sz w:val="32"/>
          <w:szCs w:val="32"/>
        </w:rPr>
        <w:t>根据预算绩效管理要求，我单位组织对</w:t>
      </w:r>
      <w:r>
        <w:rPr>
          <w:rFonts w:ascii="宋体" w:hAnsi="宋体" w:cs="黑体"/>
          <w:color w:val="000000"/>
          <w:kern w:val="0"/>
          <w:sz w:val="32"/>
          <w:szCs w:val="32"/>
        </w:rPr>
        <w:t>202</w:t>
      </w:r>
      <w:r>
        <w:rPr>
          <w:rFonts w:hint="eastAsia" w:ascii="宋体" w:hAnsi="宋体" w:cs="黑体"/>
          <w:color w:val="000000"/>
          <w:kern w:val="0"/>
          <w:sz w:val="32"/>
          <w:szCs w:val="32"/>
        </w:rPr>
        <w:t>2年度一般公共预算项目支出全面开展绩效自评，其中，一级项目0个，二级项目0个，共涉及资金0万元，占一般公共预算项目支出总额的0</w:t>
      </w:r>
      <w:r>
        <w:rPr>
          <w:rFonts w:ascii="宋体" w:hAnsi="宋体" w:cs="黑体"/>
          <w:color w:val="000000"/>
          <w:kern w:val="0"/>
          <w:sz w:val="32"/>
          <w:szCs w:val="32"/>
        </w:rPr>
        <w:t>%</w:t>
      </w:r>
      <w:r>
        <w:rPr>
          <w:rFonts w:hint="eastAsia" w:ascii="宋体" w:hAnsi="宋体" w:cs="黑体"/>
          <w:color w:val="000000"/>
          <w:kern w:val="0"/>
          <w:sz w:val="32"/>
          <w:szCs w:val="32"/>
        </w:rPr>
        <w:t>。组织对</w:t>
      </w:r>
      <w:r>
        <w:rPr>
          <w:rFonts w:ascii="宋体" w:hAnsi="宋体" w:cs="黑体"/>
          <w:color w:val="000000"/>
          <w:kern w:val="0"/>
          <w:sz w:val="32"/>
          <w:szCs w:val="32"/>
        </w:rPr>
        <w:t>202</w:t>
      </w:r>
      <w:r>
        <w:rPr>
          <w:rFonts w:hint="eastAsia" w:ascii="宋体" w:hAnsi="宋体" w:cs="黑体"/>
          <w:color w:val="000000"/>
          <w:kern w:val="0"/>
          <w:sz w:val="32"/>
          <w:szCs w:val="32"/>
        </w:rPr>
        <w:t>2年度0个政府性基金预算项目支出开展绩效自评，共涉及资金0万元，占政府性基金预算项目支出总额的0</w:t>
      </w:r>
      <w:r>
        <w:rPr>
          <w:rFonts w:ascii="宋体" w:hAnsi="宋体" w:cs="黑体"/>
          <w:color w:val="000000"/>
          <w:kern w:val="0"/>
          <w:sz w:val="32"/>
          <w:szCs w:val="32"/>
        </w:rPr>
        <w:t>%</w:t>
      </w:r>
      <w:r>
        <w:rPr>
          <w:rFonts w:hint="eastAsia" w:ascii="宋体" w:hAnsi="宋体" w:cs="黑体"/>
          <w:color w:val="000000"/>
          <w:kern w:val="0"/>
          <w:sz w:val="32"/>
          <w:szCs w:val="32"/>
        </w:rPr>
        <w:t>。组织对</w:t>
      </w:r>
      <w:r>
        <w:rPr>
          <w:rFonts w:ascii="宋体" w:hAnsi="宋体" w:cs="黑体"/>
          <w:color w:val="000000"/>
          <w:kern w:val="0"/>
          <w:sz w:val="32"/>
          <w:szCs w:val="32"/>
        </w:rPr>
        <w:t>202</w:t>
      </w:r>
      <w:r>
        <w:rPr>
          <w:rFonts w:hint="eastAsia" w:ascii="宋体" w:hAnsi="宋体" w:cs="黑体"/>
          <w:color w:val="000000"/>
          <w:kern w:val="0"/>
          <w:sz w:val="32"/>
          <w:szCs w:val="32"/>
        </w:rPr>
        <w:t>2年度0个国有资本经营预算项目支出开展绩效自评，共涉及资金0万元，占国有资本经营预算项目支出总额的0</w:t>
      </w:r>
      <w:r>
        <w:rPr>
          <w:rFonts w:ascii="宋体" w:hAnsi="宋体" w:cs="黑体"/>
          <w:color w:val="000000"/>
          <w:kern w:val="0"/>
          <w:sz w:val="32"/>
          <w:szCs w:val="32"/>
        </w:rPr>
        <w:t>%</w:t>
      </w:r>
      <w:r>
        <w:rPr>
          <w:rFonts w:hint="eastAsia" w:ascii="宋体" w:hAnsi="宋体" w:cs="黑体"/>
          <w:color w:val="000000"/>
          <w:kern w:val="0"/>
          <w:sz w:val="32"/>
          <w:szCs w:val="32"/>
        </w:rPr>
        <w:t>。</w:t>
      </w:r>
    </w:p>
    <w:p w14:paraId="6F1097C7">
      <w:pPr>
        <w:autoSpaceDE w:val="0"/>
        <w:autoSpaceDN w:val="0"/>
        <w:adjustRightInd w:val="0"/>
        <w:ind w:firstLine="640" w:firstLineChars="200"/>
        <w:jc w:val="left"/>
        <w:rPr>
          <w:rFonts w:hint="eastAsia" w:ascii="宋体" w:hAnsi="宋体" w:cs="黑体"/>
          <w:color w:val="000000"/>
          <w:kern w:val="0"/>
          <w:sz w:val="32"/>
          <w:szCs w:val="32"/>
        </w:rPr>
      </w:pPr>
      <w:r>
        <w:rPr>
          <w:rFonts w:hint="eastAsia" w:ascii="宋体" w:hAnsi="宋体" w:cs="黑体"/>
          <w:color w:val="000000"/>
          <w:kern w:val="0"/>
          <w:sz w:val="32"/>
          <w:szCs w:val="32"/>
        </w:rPr>
        <w:t>组织对0个项目开展了部门评价，涉及一般公共预算支出0万元，政府性基金预算支出0万元，国有资本经营预算支出0万元。从评价情况来看，未开展此项目部门评价。</w:t>
      </w:r>
    </w:p>
    <w:p w14:paraId="4B2FD4BE">
      <w:pPr>
        <w:autoSpaceDE w:val="0"/>
        <w:autoSpaceDN w:val="0"/>
        <w:adjustRightInd w:val="0"/>
        <w:ind w:firstLine="640" w:firstLineChars="200"/>
        <w:jc w:val="left"/>
        <w:rPr>
          <w:rFonts w:hint="eastAsia" w:ascii="宋体" w:hAnsi="宋体" w:cs="黑体"/>
          <w:color w:val="000000"/>
          <w:kern w:val="0"/>
          <w:sz w:val="32"/>
          <w:szCs w:val="32"/>
        </w:rPr>
      </w:pPr>
      <w:r>
        <w:rPr>
          <w:rFonts w:hint="eastAsia" w:ascii="宋体" w:hAnsi="宋体" w:cs="黑体"/>
          <w:color w:val="000000"/>
          <w:kern w:val="0"/>
          <w:sz w:val="32"/>
          <w:szCs w:val="32"/>
        </w:rPr>
        <w:t>组织对岳阳市图书馆开展整体支出绩效评价，涉及一般公共预算支出</w:t>
      </w:r>
      <w:r>
        <w:rPr>
          <w:rFonts w:hint="eastAsia" w:ascii="宋体" w:hAnsi="宋体" w:cs="黑体"/>
          <w:color w:val="000000"/>
          <w:kern w:val="0"/>
          <w:sz w:val="32"/>
          <w:szCs w:val="32"/>
          <w:lang w:val="en-US" w:eastAsia="zh-CN"/>
        </w:rPr>
        <w:t>539.07</w:t>
      </w:r>
      <w:r>
        <w:rPr>
          <w:rFonts w:hint="eastAsia" w:ascii="宋体" w:hAnsi="宋体" w:cs="黑体"/>
          <w:color w:val="000000"/>
          <w:kern w:val="0"/>
          <w:sz w:val="32"/>
          <w:szCs w:val="32"/>
        </w:rPr>
        <w:t>万元，政府性基金预算支出0万元。从评价情况来看，</w:t>
      </w:r>
    </w:p>
    <w:p w14:paraId="1CCE9024">
      <w:pPr>
        <w:numPr>
          <w:ilvl w:val="0"/>
          <w:numId w:val="4"/>
        </w:numPr>
        <w:autoSpaceDE w:val="0"/>
        <w:autoSpaceDN w:val="0"/>
        <w:adjustRightInd w:val="0"/>
        <w:ind w:firstLine="640" w:firstLineChars="200"/>
        <w:jc w:val="left"/>
        <w:rPr>
          <w:rFonts w:hint="eastAsia" w:ascii="宋体" w:hAnsi="宋体" w:cs="黑体"/>
          <w:color w:val="000000"/>
          <w:kern w:val="0"/>
          <w:sz w:val="32"/>
          <w:szCs w:val="32"/>
        </w:rPr>
      </w:pPr>
      <w:r>
        <w:rPr>
          <w:rFonts w:hint="eastAsia" w:ascii="宋体" w:hAnsi="宋体" w:cs="黑体"/>
          <w:color w:val="000000"/>
          <w:kern w:val="0"/>
          <w:sz w:val="32"/>
          <w:szCs w:val="32"/>
        </w:rPr>
        <w:t>高度重视、及时部署；</w:t>
      </w:r>
    </w:p>
    <w:p w14:paraId="65D37C24">
      <w:pPr>
        <w:numPr>
          <w:ilvl w:val="0"/>
          <w:numId w:val="4"/>
        </w:numPr>
        <w:autoSpaceDE w:val="0"/>
        <w:autoSpaceDN w:val="0"/>
        <w:adjustRightInd w:val="0"/>
        <w:ind w:firstLine="640" w:firstLineChars="200"/>
        <w:jc w:val="left"/>
        <w:rPr>
          <w:rFonts w:hint="eastAsia" w:ascii="宋体" w:hAnsi="宋体" w:cs="黑体"/>
          <w:color w:val="000000"/>
          <w:kern w:val="0"/>
          <w:sz w:val="32"/>
          <w:szCs w:val="32"/>
        </w:rPr>
      </w:pPr>
      <w:r>
        <w:rPr>
          <w:rFonts w:hint="eastAsia" w:ascii="宋体" w:hAnsi="宋体" w:cs="黑体"/>
          <w:color w:val="000000"/>
          <w:kern w:val="0"/>
          <w:sz w:val="32"/>
          <w:szCs w:val="32"/>
        </w:rPr>
        <w:t>上下联动、推进有序；</w:t>
      </w:r>
    </w:p>
    <w:p w14:paraId="103BEF5A">
      <w:pPr>
        <w:numPr>
          <w:ilvl w:val="0"/>
          <w:numId w:val="4"/>
        </w:numPr>
        <w:autoSpaceDE w:val="0"/>
        <w:autoSpaceDN w:val="0"/>
        <w:adjustRightInd w:val="0"/>
        <w:ind w:firstLine="640" w:firstLineChars="200"/>
        <w:jc w:val="left"/>
        <w:rPr>
          <w:rFonts w:hint="eastAsia" w:ascii="宋体" w:hAnsi="宋体" w:cs="黑体"/>
          <w:color w:val="000000"/>
          <w:kern w:val="0"/>
          <w:sz w:val="32"/>
          <w:szCs w:val="32"/>
        </w:rPr>
      </w:pPr>
      <w:r>
        <w:rPr>
          <w:rFonts w:hint="eastAsia" w:ascii="宋体" w:hAnsi="宋体" w:cs="黑体"/>
          <w:color w:val="000000"/>
          <w:kern w:val="0"/>
          <w:sz w:val="32"/>
          <w:szCs w:val="32"/>
        </w:rPr>
        <w:t>参与广泛、种类丰富；</w:t>
      </w:r>
    </w:p>
    <w:p w14:paraId="1078BEC5">
      <w:pPr>
        <w:numPr>
          <w:ilvl w:val="0"/>
          <w:numId w:val="4"/>
        </w:numPr>
        <w:autoSpaceDE w:val="0"/>
        <w:autoSpaceDN w:val="0"/>
        <w:adjustRightInd w:val="0"/>
        <w:ind w:firstLine="640" w:firstLineChars="200"/>
        <w:jc w:val="left"/>
        <w:rPr>
          <w:rFonts w:hint="eastAsia" w:ascii="宋体" w:hAnsi="宋体" w:cs="黑体"/>
          <w:color w:val="000000"/>
          <w:kern w:val="0"/>
          <w:sz w:val="32"/>
          <w:szCs w:val="32"/>
        </w:rPr>
      </w:pPr>
      <w:r>
        <w:rPr>
          <w:rFonts w:hint="eastAsia" w:ascii="宋体" w:hAnsi="宋体" w:cs="黑体"/>
          <w:color w:val="000000"/>
          <w:kern w:val="0"/>
          <w:sz w:val="32"/>
          <w:szCs w:val="32"/>
        </w:rPr>
        <w:t>共同发力、反响热烈。</w:t>
      </w:r>
    </w:p>
    <w:p w14:paraId="4730C016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部门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（单位）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整体支出绩效情况</w:t>
      </w:r>
    </w:p>
    <w:p w14:paraId="6239B6CA">
      <w:pPr>
        <w:autoSpaceDE w:val="0"/>
        <w:autoSpaceDN w:val="0"/>
        <w:adjustRightInd w:val="0"/>
        <w:ind w:firstLine="640" w:firstLineChars="200"/>
        <w:jc w:val="left"/>
        <w:rPr>
          <w:rFonts w:hint="eastAsia" w:ascii="宋体" w:hAnsi="宋体" w:cs="黑体"/>
          <w:color w:val="000000"/>
          <w:kern w:val="0"/>
          <w:sz w:val="32"/>
          <w:szCs w:val="32"/>
        </w:rPr>
      </w:pPr>
      <w:r>
        <w:rPr>
          <w:rFonts w:hint="eastAsia" w:ascii="宋体" w:hAnsi="宋体" w:cs="黑体"/>
          <w:color w:val="000000"/>
          <w:kern w:val="0"/>
          <w:sz w:val="32"/>
          <w:szCs w:val="32"/>
        </w:rPr>
        <w:t>本单位项目绩效自评综述：根据年初设定的绩效目标，项目绩效自评得分为0分。项目全年预算数为0万元，执行数为0万元，完成预算的0</w:t>
      </w:r>
      <w:r>
        <w:rPr>
          <w:rFonts w:ascii="宋体" w:hAnsi="宋体" w:cs="黑体"/>
          <w:color w:val="000000"/>
          <w:kern w:val="0"/>
          <w:sz w:val="32"/>
          <w:szCs w:val="32"/>
        </w:rPr>
        <w:t>%</w:t>
      </w:r>
      <w:r>
        <w:rPr>
          <w:rFonts w:hint="eastAsia" w:ascii="宋体" w:hAnsi="宋体" w:cs="黑体"/>
          <w:color w:val="000000"/>
          <w:kern w:val="0"/>
          <w:sz w:val="32"/>
          <w:szCs w:val="32"/>
        </w:rPr>
        <w:t>。项目绩效目标完成情况：无。发现的主要问题及原因：未开展项目绩效自评。</w:t>
      </w:r>
    </w:p>
    <w:p w14:paraId="7355AC10">
      <w:pPr>
        <w:autoSpaceDE w:val="0"/>
        <w:autoSpaceDN w:val="0"/>
        <w:adjustRightInd w:val="0"/>
        <w:ind w:firstLine="640" w:firstLineChars="200"/>
        <w:jc w:val="left"/>
        <w:rPr>
          <w:rFonts w:ascii="宋体" w:hAnsi="宋体" w:cs="黑体"/>
          <w:color w:val="000000"/>
          <w:kern w:val="0"/>
          <w:sz w:val="32"/>
          <w:szCs w:val="32"/>
        </w:rPr>
      </w:pPr>
      <w:r>
        <w:rPr>
          <w:rFonts w:hint="eastAsia" w:ascii="宋体" w:hAnsi="宋体" w:cs="黑体"/>
          <w:color w:val="000000"/>
          <w:kern w:val="0"/>
          <w:sz w:val="32"/>
          <w:szCs w:val="32"/>
        </w:rPr>
        <w:t>下一步改进措施：无。</w:t>
      </w:r>
    </w:p>
    <w:p w14:paraId="5CBBC0E1">
      <w:pPr>
        <w:autoSpaceDE w:val="0"/>
        <w:autoSpaceDN w:val="0"/>
        <w:adjustRightInd w:val="0"/>
        <w:ind w:firstLine="640" w:firstLineChars="200"/>
        <w:jc w:val="left"/>
        <w:rPr>
          <w:rFonts w:ascii="宋体" w:hAnsi="宋体" w:cs="黑体"/>
          <w:color w:val="000000"/>
          <w:kern w:val="0"/>
          <w:sz w:val="32"/>
          <w:szCs w:val="32"/>
        </w:rPr>
      </w:pPr>
      <w:r>
        <w:rPr>
          <w:rFonts w:hint="eastAsia" w:ascii="宋体" w:hAnsi="宋体" w:cs="黑体"/>
          <w:color w:val="000000"/>
          <w:kern w:val="0"/>
          <w:sz w:val="32"/>
          <w:szCs w:val="32"/>
        </w:rPr>
        <w:t>本单位项目绩效自评综述：无。</w:t>
      </w:r>
    </w:p>
    <w:p w14:paraId="029CCA18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</w:p>
    <w:p w14:paraId="38D38479">
      <w:pPr>
        <w:pStyle w:val="12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 w14:paraId="2029E708">
      <w:pPr>
        <w:pStyle w:val="12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 w14:paraId="04A6531D">
      <w:pPr>
        <w:pStyle w:val="12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sz w:val="72"/>
          <w:szCs w:val="72"/>
        </w:rPr>
        <w:t>第四部分</w:t>
      </w:r>
    </w:p>
    <w:p w14:paraId="28EA5B36">
      <w:pPr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70"/>
          <w:szCs w:val="70"/>
        </w:rPr>
      </w:pPr>
    </w:p>
    <w:p w14:paraId="32F22FFC">
      <w:pPr>
        <w:pStyle w:val="12"/>
        <w:jc w:val="center"/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70"/>
          <w:szCs w:val="70"/>
        </w:rPr>
        <w:t>名词解释</w:t>
      </w:r>
    </w:p>
    <w:p w14:paraId="62278EA0">
      <w:pPr>
        <w:pStyle w:val="2"/>
      </w:pPr>
    </w:p>
    <w:p w14:paraId="53B1ABEF">
      <w:pPr>
        <w:pStyle w:val="3"/>
      </w:pPr>
    </w:p>
    <w:p w14:paraId="1D788FFA"/>
    <w:p w14:paraId="533C8EC5">
      <w:pPr>
        <w:pStyle w:val="2"/>
      </w:pPr>
    </w:p>
    <w:p w14:paraId="24DE558B">
      <w:pPr>
        <w:pStyle w:val="3"/>
      </w:pPr>
    </w:p>
    <w:p w14:paraId="419FD839"/>
    <w:p w14:paraId="1B961E4A">
      <w:pPr>
        <w:pStyle w:val="2"/>
      </w:pPr>
    </w:p>
    <w:p w14:paraId="126F7111">
      <w:pPr>
        <w:pStyle w:val="3"/>
      </w:pPr>
    </w:p>
    <w:p w14:paraId="07C07E9A"/>
    <w:p w14:paraId="6D159F85">
      <w:pPr>
        <w:pStyle w:val="2"/>
      </w:pPr>
    </w:p>
    <w:p w14:paraId="2C9AD2EB">
      <w:pPr>
        <w:pStyle w:val="3"/>
      </w:pPr>
    </w:p>
    <w:p w14:paraId="2E8B6D59"/>
    <w:p w14:paraId="7C3F9672">
      <w:pPr>
        <w:pStyle w:val="2"/>
      </w:pPr>
    </w:p>
    <w:p w14:paraId="56BD7A18">
      <w:pPr>
        <w:pStyle w:val="3"/>
      </w:pPr>
    </w:p>
    <w:p w14:paraId="55EC0F96"/>
    <w:p w14:paraId="57F74149">
      <w:pPr>
        <w:pStyle w:val="2"/>
      </w:pPr>
    </w:p>
    <w:p w14:paraId="4E890065">
      <w:pPr>
        <w:pStyle w:val="3"/>
      </w:pPr>
    </w:p>
    <w:p w14:paraId="6C70BBC6"/>
    <w:p w14:paraId="78B4A3E7">
      <w:pPr>
        <w:pStyle w:val="2"/>
      </w:pPr>
    </w:p>
    <w:p w14:paraId="03ACAFC8">
      <w:pPr>
        <w:pStyle w:val="3"/>
      </w:pPr>
    </w:p>
    <w:p w14:paraId="05A112E3"/>
    <w:p w14:paraId="22015247">
      <w:pPr>
        <w:pStyle w:val="2"/>
      </w:pPr>
    </w:p>
    <w:p w14:paraId="255A162E">
      <w:pPr>
        <w:pStyle w:val="3"/>
      </w:pPr>
    </w:p>
    <w:p w14:paraId="48B3257D"/>
    <w:p w14:paraId="73DC4442">
      <w:pPr>
        <w:pStyle w:val="2"/>
      </w:pPr>
    </w:p>
    <w:p w14:paraId="6FD30FB7">
      <w:pPr>
        <w:pStyle w:val="3"/>
      </w:pPr>
    </w:p>
    <w:p w14:paraId="5D3FBE11"/>
    <w:p w14:paraId="56038AB3">
      <w:pPr>
        <w:pStyle w:val="2"/>
      </w:pPr>
    </w:p>
    <w:p w14:paraId="43407CBB">
      <w:pPr>
        <w:pStyle w:val="3"/>
      </w:pPr>
    </w:p>
    <w:p w14:paraId="3054F2A2"/>
    <w:p w14:paraId="2B749BB0">
      <w:pPr>
        <w:pStyle w:val="2"/>
      </w:pPr>
    </w:p>
    <w:p w14:paraId="1EF92F9D">
      <w:pPr>
        <w:pStyle w:val="3"/>
      </w:pPr>
    </w:p>
    <w:p w14:paraId="4B61F559">
      <w:pPr>
        <w:pStyle w:val="3"/>
      </w:pPr>
    </w:p>
    <w:p w14:paraId="05AAA3CA"/>
    <w:p w14:paraId="47A2E7F9">
      <w:pPr>
        <w:pStyle w:val="2"/>
      </w:pPr>
    </w:p>
    <w:p w14:paraId="3150E3AE"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一、“三公”经费：指用财政拨款安排的因公出国（境）费、公务用车购置及运行费和公务接待费。其中，因公出国（境）费反映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14:paraId="6E0F26FC"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二、机关运行经费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，指为保障行政单位（包括参照公务员法管理的事业单位）运行用于购买货物和服务的各项资金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，包括办公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费、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印刷费、邮电费、差旅费、会议费、日常维修费、专用材料及一般设备购置费、办公用房水电费、办公用房取暖费、办公用房物业管理费、公务用车运行维护费以及其他费用。</w:t>
      </w:r>
    </w:p>
    <w:p w14:paraId="58CF3888"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三、三、财政拨款收入:指市级财政当年拨付的资金。</w:t>
      </w:r>
    </w:p>
    <w:p w14:paraId="44000DC3"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四、上级补助收入:指单位从主管部门]和上级单位取得的非财政性补</w:t>
      </w:r>
    </w:p>
    <w:p w14:paraId="2566AB4B"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助收入。</w:t>
      </w:r>
    </w:p>
    <w:p w14:paraId="04D3B92D"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五、其他收入:指除上述“财政拨款收入”、“ 上级补助收入”、“事</w:t>
      </w:r>
    </w:p>
    <w:p w14:paraId="578C7455"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业收入”、“经营收入” 、“附属 单位上缴收入”等以外的收入。</w:t>
      </w:r>
    </w:p>
    <w:p w14:paraId="34DE58B2"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六、上年结转和结余:指以前年度尚未完成、结转到本年按有关规定</w:t>
      </w:r>
    </w:p>
    <w:p w14:paraId="3BA4956B"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继续使用的资金。</w:t>
      </w:r>
    </w:p>
    <w:p w14:paraId="67DBA2CC"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七、基本支出:指保障机构正常运转、完成支日常工作任务而发生的</w:t>
      </w:r>
    </w:p>
    <w:p w14:paraId="7E9ED340"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人员支出和公用支出。</w:t>
      </w:r>
    </w:p>
    <w:p w14:paraId="0219587B"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八、项目支出:指在基本支出之外为完成特定行政任务和事业发展目</w:t>
      </w:r>
    </w:p>
    <w:p w14:paraId="377EDA68"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标所发生的支出。</w:t>
      </w:r>
    </w:p>
    <w:p w14:paraId="72D9FD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i/>
          <w:color w:val="FF0000"/>
          <w:kern w:val="0"/>
          <w:sz w:val="32"/>
          <w:szCs w:val="32"/>
          <w:lang w:val="en-US" w:eastAsia="zh-CN" w:bidi="ar-SA"/>
        </w:rPr>
      </w:pPr>
    </w:p>
    <w:p w14:paraId="1FECF7FB">
      <w:pPr>
        <w:pStyle w:val="12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D8A4552">
      <w:pPr>
        <w:pStyle w:val="3"/>
      </w:pPr>
    </w:p>
    <w:p w14:paraId="1D94B8C4"/>
    <w:p w14:paraId="3651BD6E">
      <w:pPr>
        <w:pStyle w:val="2"/>
      </w:pPr>
    </w:p>
    <w:p w14:paraId="12B83668">
      <w:pPr>
        <w:pStyle w:val="3"/>
      </w:pPr>
    </w:p>
    <w:p w14:paraId="0529D9FF"/>
    <w:p w14:paraId="55E3B46A">
      <w:pPr>
        <w:pStyle w:val="2"/>
      </w:pPr>
    </w:p>
    <w:p w14:paraId="1825AB1B">
      <w:pPr>
        <w:pStyle w:val="3"/>
      </w:pPr>
    </w:p>
    <w:p w14:paraId="346FBC5E"/>
    <w:p w14:paraId="4DDB6EC1">
      <w:pPr>
        <w:pStyle w:val="2"/>
      </w:pPr>
    </w:p>
    <w:p w14:paraId="0D5FCDA4">
      <w:pPr>
        <w:pStyle w:val="3"/>
      </w:pPr>
    </w:p>
    <w:p w14:paraId="42326781"/>
    <w:p w14:paraId="2F3219B8">
      <w:pPr>
        <w:pStyle w:val="2"/>
      </w:pPr>
    </w:p>
    <w:p w14:paraId="36AE5053">
      <w:pPr>
        <w:pStyle w:val="3"/>
      </w:pPr>
    </w:p>
    <w:p w14:paraId="198837F7"/>
    <w:p w14:paraId="3438CC13">
      <w:pPr>
        <w:pStyle w:val="2"/>
      </w:pPr>
    </w:p>
    <w:p w14:paraId="1F94C2F7">
      <w:pPr>
        <w:pStyle w:val="3"/>
      </w:pPr>
    </w:p>
    <w:p w14:paraId="38D1777E">
      <w:pPr>
        <w:pStyle w:val="12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  <w:r>
        <w:rPr>
          <w:rFonts w:hint="eastAsia" w:ascii="方正小标宋_GBK" w:hAnsi="方正小标宋_GBK" w:eastAsia="方正小标宋_GBK" w:cs="方正小标宋_GBK"/>
          <w:sz w:val="72"/>
          <w:szCs w:val="72"/>
        </w:rPr>
        <w:t>第</w:t>
      </w:r>
      <w:r>
        <w:rPr>
          <w:rFonts w:hint="eastAsia" w:ascii="方正小标宋_GBK" w:hAnsi="方正小标宋_GBK" w:eastAsia="方正小标宋_GBK" w:cs="方正小标宋_GBK"/>
          <w:sz w:val="72"/>
          <w:szCs w:val="72"/>
          <w:lang w:eastAsia="zh-CN"/>
        </w:rPr>
        <w:t>五</w:t>
      </w:r>
      <w:r>
        <w:rPr>
          <w:rFonts w:hint="eastAsia" w:ascii="方正小标宋_GBK" w:hAnsi="方正小标宋_GBK" w:eastAsia="方正小标宋_GBK" w:cs="方正小标宋_GBK"/>
          <w:sz w:val="72"/>
          <w:szCs w:val="72"/>
        </w:rPr>
        <w:t>部分</w:t>
      </w:r>
    </w:p>
    <w:p w14:paraId="6E72748D">
      <w:pPr>
        <w:pStyle w:val="12"/>
        <w:jc w:val="both"/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</w:pPr>
    </w:p>
    <w:p w14:paraId="1D114018">
      <w:pPr>
        <w:pStyle w:val="12"/>
        <w:jc w:val="center"/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  <w:t>附</w:t>
      </w:r>
      <w:r>
        <w:rPr>
          <w:rFonts w:hint="eastAsia" w:ascii="方正小标宋_GBK" w:hAnsi="方正小标宋_GBK" w:eastAsia="方正小标宋_GBK" w:cs="方正小标宋_GBK"/>
          <w:sz w:val="70"/>
          <w:szCs w:val="70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  <w:t>件</w:t>
      </w:r>
    </w:p>
    <w:p w14:paraId="76040DAB">
      <w:pPr>
        <w:ind w:firstLine="640" w:firstLineChars="200"/>
        <w:jc w:val="left"/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</w:pPr>
    </w:p>
    <w:p w14:paraId="2B696A0F">
      <w:pPr>
        <w:ind w:firstLine="640" w:firstLineChars="200"/>
        <w:jc w:val="left"/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  <w:t>1、2023年部门决算公开表格</w:t>
      </w:r>
    </w:p>
    <w:p w14:paraId="2A7A9882">
      <w:pPr>
        <w:ind w:firstLine="640" w:firstLineChars="200"/>
        <w:jc w:val="left"/>
        <w:rPr>
          <w:rFonts w:ascii="宋体" w:hAnsi="宋体" w:eastAsia="宋体" w:cs="黑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  <w:t>2、</w:t>
      </w: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</w:rPr>
        <w:t>202</w:t>
      </w: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</w:rPr>
        <w:t>年度部门整体支出绩效评价报告</w:t>
      </w:r>
    </w:p>
    <w:p w14:paraId="47F12303"/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9EF18D"/>
    <w:multiLevelType w:val="singleLevel"/>
    <w:tmpl w:val="9A9EF18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27F5D05"/>
    <w:multiLevelType w:val="singleLevel"/>
    <w:tmpl w:val="D27F5D05"/>
    <w:lvl w:ilvl="0" w:tentative="0">
      <w:start w:val="6"/>
      <w:numFmt w:val="decimal"/>
      <w:suff w:val="nothing"/>
      <w:lvlText w:val="%1、"/>
      <w:lvlJc w:val="left"/>
    </w:lvl>
  </w:abstractNum>
  <w:abstractNum w:abstractNumId="2">
    <w:nsid w:val="00F3F137"/>
    <w:multiLevelType w:val="singleLevel"/>
    <w:tmpl w:val="00F3F137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73518C1"/>
    <w:multiLevelType w:val="multilevel"/>
    <w:tmpl w:val="373518C1"/>
    <w:lvl w:ilvl="0" w:tentative="0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zMmE1NWMzMDhjNzY2M2ZiYTBkMGEyMDZmZjExMGYifQ=="/>
    <w:docVar w:name="KSO_WPS_MARK_KEY" w:val="58b85df2-9fae-4577-bdda-7b906b6ce6ac"/>
  </w:docVars>
  <w:rsids>
    <w:rsidRoot w:val="004506F9"/>
    <w:rsid w:val="0002229B"/>
    <w:rsid w:val="000273BD"/>
    <w:rsid w:val="00040CBC"/>
    <w:rsid w:val="000415B7"/>
    <w:rsid w:val="00041E3F"/>
    <w:rsid w:val="00055DAA"/>
    <w:rsid w:val="00061F7B"/>
    <w:rsid w:val="000658A3"/>
    <w:rsid w:val="00074155"/>
    <w:rsid w:val="000A3F69"/>
    <w:rsid w:val="00103957"/>
    <w:rsid w:val="00152C6D"/>
    <w:rsid w:val="00162D39"/>
    <w:rsid w:val="001678BD"/>
    <w:rsid w:val="00182373"/>
    <w:rsid w:val="001A67DB"/>
    <w:rsid w:val="001C3C29"/>
    <w:rsid w:val="001D51E5"/>
    <w:rsid w:val="001E080D"/>
    <w:rsid w:val="001E53D0"/>
    <w:rsid w:val="001F0C3B"/>
    <w:rsid w:val="00202C82"/>
    <w:rsid w:val="00214427"/>
    <w:rsid w:val="00226CB7"/>
    <w:rsid w:val="00264552"/>
    <w:rsid w:val="00264EF9"/>
    <w:rsid w:val="00265724"/>
    <w:rsid w:val="0027426B"/>
    <w:rsid w:val="002E0A30"/>
    <w:rsid w:val="003130C4"/>
    <w:rsid w:val="00316C4B"/>
    <w:rsid w:val="0032192B"/>
    <w:rsid w:val="003479BD"/>
    <w:rsid w:val="0037197D"/>
    <w:rsid w:val="003768D5"/>
    <w:rsid w:val="003926B9"/>
    <w:rsid w:val="003C47E6"/>
    <w:rsid w:val="003C4FC2"/>
    <w:rsid w:val="00416E61"/>
    <w:rsid w:val="0042790C"/>
    <w:rsid w:val="004506F9"/>
    <w:rsid w:val="004717A2"/>
    <w:rsid w:val="00473DF3"/>
    <w:rsid w:val="00487911"/>
    <w:rsid w:val="00491741"/>
    <w:rsid w:val="004B0CEE"/>
    <w:rsid w:val="00500E5F"/>
    <w:rsid w:val="005122EF"/>
    <w:rsid w:val="0051441A"/>
    <w:rsid w:val="00517C33"/>
    <w:rsid w:val="00517D5F"/>
    <w:rsid w:val="00523644"/>
    <w:rsid w:val="0054069E"/>
    <w:rsid w:val="00544866"/>
    <w:rsid w:val="005767CC"/>
    <w:rsid w:val="00590D9F"/>
    <w:rsid w:val="00595D26"/>
    <w:rsid w:val="005A74E6"/>
    <w:rsid w:val="005B404E"/>
    <w:rsid w:val="005D4D55"/>
    <w:rsid w:val="005E2CFB"/>
    <w:rsid w:val="005F2103"/>
    <w:rsid w:val="005F3D1C"/>
    <w:rsid w:val="0062378F"/>
    <w:rsid w:val="00641842"/>
    <w:rsid w:val="00651EEC"/>
    <w:rsid w:val="00686673"/>
    <w:rsid w:val="00691E8C"/>
    <w:rsid w:val="006A22C4"/>
    <w:rsid w:val="006A351B"/>
    <w:rsid w:val="006B0422"/>
    <w:rsid w:val="006C1B53"/>
    <w:rsid w:val="006D7730"/>
    <w:rsid w:val="006E5284"/>
    <w:rsid w:val="006F3EB5"/>
    <w:rsid w:val="00702E34"/>
    <w:rsid w:val="00704395"/>
    <w:rsid w:val="00710FE7"/>
    <w:rsid w:val="00717621"/>
    <w:rsid w:val="00720FF1"/>
    <w:rsid w:val="00727A53"/>
    <w:rsid w:val="00787B42"/>
    <w:rsid w:val="007C4539"/>
    <w:rsid w:val="007F3657"/>
    <w:rsid w:val="00812ED5"/>
    <w:rsid w:val="008277D9"/>
    <w:rsid w:val="0084478C"/>
    <w:rsid w:val="0086638C"/>
    <w:rsid w:val="008A3E8D"/>
    <w:rsid w:val="009237C4"/>
    <w:rsid w:val="00944C48"/>
    <w:rsid w:val="00950252"/>
    <w:rsid w:val="00967F5D"/>
    <w:rsid w:val="009A0F95"/>
    <w:rsid w:val="009B3ADF"/>
    <w:rsid w:val="009B4D8E"/>
    <w:rsid w:val="009C3B52"/>
    <w:rsid w:val="009E6817"/>
    <w:rsid w:val="009E6E9A"/>
    <w:rsid w:val="00A01D2B"/>
    <w:rsid w:val="00A42218"/>
    <w:rsid w:val="00A70249"/>
    <w:rsid w:val="00A70B02"/>
    <w:rsid w:val="00A71D9F"/>
    <w:rsid w:val="00A92E9F"/>
    <w:rsid w:val="00AB18FF"/>
    <w:rsid w:val="00B33BEA"/>
    <w:rsid w:val="00B57C9F"/>
    <w:rsid w:val="00B63572"/>
    <w:rsid w:val="00B845B3"/>
    <w:rsid w:val="00B85D8B"/>
    <w:rsid w:val="00BB4A40"/>
    <w:rsid w:val="00BD6C3E"/>
    <w:rsid w:val="00BE3674"/>
    <w:rsid w:val="00C10681"/>
    <w:rsid w:val="00C3049A"/>
    <w:rsid w:val="00C31B1E"/>
    <w:rsid w:val="00C77645"/>
    <w:rsid w:val="00CE04C3"/>
    <w:rsid w:val="00CE76A0"/>
    <w:rsid w:val="00D148C6"/>
    <w:rsid w:val="00D17A8A"/>
    <w:rsid w:val="00D415BA"/>
    <w:rsid w:val="00D63780"/>
    <w:rsid w:val="00D644EE"/>
    <w:rsid w:val="00DD06FF"/>
    <w:rsid w:val="00DD5FE9"/>
    <w:rsid w:val="00E00C7A"/>
    <w:rsid w:val="00E37D6C"/>
    <w:rsid w:val="00E55B68"/>
    <w:rsid w:val="00E561AE"/>
    <w:rsid w:val="00E67BE6"/>
    <w:rsid w:val="00E8683C"/>
    <w:rsid w:val="00EA2B72"/>
    <w:rsid w:val="00F74360"/>
    <w:rsid w:val="00FB462F"/>
    <w:rsid w:val="00FE16FA"/>
    <w:rsid w:val="00FE328A"/>
    <w:rsid w:val="00FE6269"/>
    <w:rsid w:val="00FF5CD6"/>
    <w:rsid w:val="059958AD"/>
    <w:rsid w:val="06C857E7"/>
    <w:rsid w:val="08C24A73"/>
    <w:rsid w:val="0AC83D78"/>
    <w:rsid w:val="11F73642"/>
    <w:rsid w:val="12583BA5"/>
    <w:rsid w:val="13BA5B9C"/>
    <w:rsid w:val="15D13671"/>
    <w:rsid w:val="1D97DEFF"/>
    <w:rsid w:val="1DFF72E5"/>
    <w:rsid w:val="1EFC6F07"/>
    <w:rsid w:val="1F0527A6"/>
    <w:rsid w:val="205414C2"/>
    <w:rsid w:val="20FF0199"/>
    <w:rsid w:val="22AC03C2"/>
    <w:rsid w:val="272E796E"/>
    <w:rsid w:val="2CA23219"/>
    <w:rsid w:val="2FDF85B8"/>
    <w:rsid w:val="2FFFEE04"/>
    <w:rsid w:val="31C95635"/>
    <w:rsid w:val="348A556E"/>
    <w:rsid w:val="34DF85B0"/>
    <w:rsid w:val="35576397"/>
    <w:rsid w:val="37761BC7"/>
    <w:rsid w:val="39F1430C"/>
    <w:rsid w:val="3B8F36BC"/>
    <w:rsid w:val="3F717283"/>
    <w:rsid w:val="42FF508E"/>
    <w:rsid w:val="444450D1"/>
    <w:rsid w:val="450A54FE"/>
    <w:rsid w:val="48FD0534"/>
    <w:rsid w:val="491FF225"/>
    <w:rsid w:val="4C413645"/>
    <w:rsid w:val="4DB728DA"/>
    <w:rsid w:val="4FEA7360"/>
    <w:rsid w:val="4FFD214C"/>
    <w:rsid w:val="51AA6772"/>
    <w:rsid w:val="5352765A"/>
    <w:rsid w:val="5454458C"/>
    <w:rsid w:val="546D6EF5"/>
    <w:rsid w:val="5777D4F5"/>
    <w:rsid w:val="59DD8326"/>
    <w:rsid w:val="5D6B2D7B"/>
    <w:rsid w:val="5DEF592A"/>
    <w:rsid w:val="5FC6BB1E"/>
    <w:rsid w:val="5FF720F1"/>
    <w:rsid w:val="67AA2C4B"/>
    <w:rsid w:val="67FF5C0B"/>
    <w:rsid w:val="69DE5090"/>
    <w:rsid w:val="6A9E4E62"/>
    <w:rsid w:val="6BAA4A2F"/>
    <w:rsid w:val="6D282F0D"/>
    <w:rsid w:val="6EFC0924"/>
    <w:rsid w:val="6FB74722"/>
    <w:rsid w:val="6FEF8B7E"/>
    <w:rsid w:val="71A6591B"/>
    <w:rsid w:val="737D59BA"/>
    <w:rsid w:val="737F32B1"/>
    <w:rsid w:val="77C37683"/>
    <w:rsid w:val="7801636E"/>
    <w:rsid w:val="79FF515B"/>
    <w:rsid w:val="7E9E1962"/>
    <w:rsid w:val="7E9F11B4"/>
    <w:rsid w:val="7F37EC1E"/>
    <w:rsid w:val="7F7DCD9D"/>
    <w:rsid w:val="7F970A6F"/>
    <w:rsid w:val="7FC1FFF3"/>
    <w:rsid w:val="7FC69637"/>
    <w:rsid w:val="7FDF8620"/>
    <w:rsid w:val="7FFB242F"/>
    <w:rsid w:val="7FFDB408"/>
    <w:rsid w:val="7FFE4EEB"/>
    <w:rsid w:val="95FB2B98"/>
    <w:rsid w:val="9A639BC2"/>
    <w:rsid w:val="9FF7D786"/>
    <w:rsid w:val="ABBFB23D"/>
    <w:rsid w:val="C3B4DA5A"/>
    <w:rsid w:val="CBFF70E0"/>
    <w:rsid w:val="CFF50B82"/>
    <w:rsid w:val="CFFFAD89"/>
    <w:rsid w:val="DFFE359E"/>
    <w:rsid w:val="DFFE4FFD"/>
    <w:rsid w:val="EEABED75"/>
    <w:rsid w:val="F56FDF51"/>
    <w:rsid w:val="F6B69F17"/>
    <w:rsid w:val="F77F1D61"/>
    <w:rsid w:val="F7FED3A9"/>
    <w:rsid w:val="F8C9DB26"/>
    <w:rsid w:val="F97E8EAE"/>
    <w:rsid w:val="FB36E1A6"/>
    <w:rsid w:val="FB3BE134"/>
    <w:rsid w:val="FCFF4275"/>
    <w:rsid w:val="FD7FEEEA"/>
    <w:rsid w:val="FDFFB577"/>
    <w:rsid w:val="FEEA50FE"/>
    <w:rsid w:val="FF7D47A9"/>
    <w:rsid w:val="FFCF21CB"/>
    <w:rsid w:val="FFFF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Body Text First Indent 2"/>
    <w:basedOn w:val="4"/>
    <w:next w:val="1"/>
    <w:unhideWhenUsed/>
    <w:qFormat/>
    <w:uiPriority w:val="99"/>
    <w:pPr>
      <w:ind w:firstLine="420" w:firstLineChars="200"/>
    </w:pPr>
  </w:style>
  <w:style w:type="paragraph" w:styleId="4">
    <w:name w:val="Body Text Indent"/>
    <w:basedOn w:val="1"/>
    <w:next w:val="3"/>
    <w:unhideWhenUsed/>
    <w:qFormat/>
    <w:uiPriority w:val="99"/>
    <w:pPr>
      <w:widowControl/>
      <w:spacing w:after="120"/>
      <w:ind w:left="420" w:leftChars="200"/>
      <w:jc w:val="left"/>
    </w:pPr>
    <w:rPr>
      <w:rFonts w:ascii="宋体" w:hAnsi="宋体" w:eastAsia="宋体" w:cs="宋体"/>
      <w:kern w:val="0"/>
      <w:sz w:val="24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6"/>
    <w:qFormat/>
    <w:uiPriority w:val="99"/>
    <w:rPr>
      <w:sz w:val="18"/>
      <w:szCs w:val="18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5"/>
    <w:semiHidden/>
    <w:qFormat/>
    <w:uiPriority w:val="99"/>
    <w:rPr>
      <w:sz w:val="18"/>
      <w:szCs w:val="18"/>
    </w:rPr>
  </w:style>
  <w:style w:type="character" w:customStyle="1" w:styleId="15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15</Pages>
  <Words>4920</Words>
  <Characters>5364</Characters>
  <Lines>63</Lines>
  <Paragraphs>18</Paragraphs>
  <TotalTime>22</TotalTime>
  <ScaleCrop>false</ScaleCrop>
  <LinksUpToDate>false</LinksUpToDate>
  <CharactersWithSpaces>5390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2020-07-08T02:32:00Z</dcterms:created>
  <dc:creator>李航 null</dc:creator>
  <cp:lastModifiedBy>们焉禄痴撤</cp:lastModifiedBy>
  <cp:lastPrinted>2024-08-08T10:20:00Z</cp:lastPrinted>
  <dcterms:modified xsi:type="dcterms:W3CDTF">2024-09-23T04:26:29Z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40C0FECC674B4B28BE637907D4C45E69_13</vt:lpwstr>
  </property>
</Properties>
</file>