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0"/>
          <w:rFonts w:hint="eastAsia" w:ascii="黑体" w:hAnsi="黑体" w:eastAsia="黑体" w:cs="黑体"/>
          <w:color w:val="000000"/>
          <w:sz w:val="44"/>
          <w:szCs w:val="44"/>
        </w:rPr>
      </w:pP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Style w:val="10"/>
          <w:rFonts w:hint="eastAsia" w:ascii="黑体" w:hAnsi="黑体" w:eastAsia="黑体" w:cs="黑体"/>
          <w:b w:val="0"/>
          <w:bCs/>
          <w:color w:val="000000"/>
          <w:sz w:val="44"/>
          <w:szCs w:val="44"/>
        </w:rPr>
      </w:pPr>
      <w:r>
        <w:rPr>
          <w:rStyle w:val="10"/>
          <w:rFonts w:hint="eastAsia" w:ascii="黑体" w:hAnsi="黑体" w:eastAsia="黑体" w:cs="黑体"/>
          <w:b w:val="0"/>
          <w:bCs/>
          <w:color w:val="000000"/>
          <w:sz w:val="44"/>
          <w:szCs w:val="44"/>
        </w:rPr>
        <w:t>岳阳市</w:t>
      </w:r>
      <w:r>
        <w:rPr>
          <w:rStyle w:val="10"/>
          <w:rFonts w:hint="eastAsia" w:ascii="黑体" w:hAnsi="黑体" w:eastAsia="黑体" w:cs="黑体"/>
          <w:b w:val="0"/>
          <w:bCs/>
          <w:color w:val="000000"/>
          <w:sz w:val="44"/>
          <w:szCs w:val="44"/>
          <w:lang w:val="en-US" w:eastAsia="zh-CN"/>
        </w:rPr>
        <w:t>公路建设和养护中心</w:t>
      </w:r>
      <w:r>
        <w:rPr>
          <w:rStyle w:val="10"/>
          <w:rFonts w:hint="eastAsia" w:ascii="黑体" w:hAnsi="黑体" w:eastAsia="黑体" w:cs="黑体"/>
          <w:b w:val="0"/>
          <w:bCs/>
          <w:color w:val="000000"/>
          <w:sz w:val="44"/>
          <w:szCs w:val="44"/>
        </w:rPr>
        <w:t>20</w:t>
      </w:r>
      <w:r>
        <w:rPr>
          <w:rStyle w:val="10"/>
          <w:rFonts w:hint="eastAsia" w:ascii="黑体" w:hAnsi="黑体" w:eastAsia="黑体" w:cs="黑体"/>
          <w:b w:val="0"/>
          <w:bCs/>
          <w:color w:val="000000"/>
          <w:sz w:val="44"/>
          <w:szCs w:val="44"/>
          <w:lang w:val="en-US" w:eastAsia="zh-CN"/>
        </w:rPr>
        <w:t>23</w:t>
      </w:r>
      <w:r>
        <w:rPr>
          <w:rStyle w:val="10"/>
          <w:rFonts w:hint="eastAsia" w:ascii="黑体" w:hAnsi="黑体" w:eastAsia="黑体" w:cs="黑体"/>
          <w:b w:val="0"/>
          <w:bCs/>
          <w:color w:val="000000"/>
          <w:sz w:val="44"/>
          <w:szCs w:val="44"/>
        </w:rPr>
        <w:t>年整体</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Style w:val="10"/>
          <w:rFonts w:hint="eastAsia" w:ascii="黑体" w:hAnsi="黑体" w:eastAsia="黑体" w:cs="黑体"/>
          <w:b w:val="0"/>
          <w:bCs/>
          <w:color w:val="000000"/>
          <w:sz w:val="32"/>
          <w:szCs w:val="32"/>
        </w:rPr>
      </w:pPr>
      <w:r>
        <w:rPr>
          <w:rStyle w:val="10"/>
          <w:rFonts w:hint="eastAsia" w:ascii="黑体" w:hAnsi="黑体" w:eastAsia="黑体" w:cs="黑体"/>
          <w:b w:val="0"/>
          <w:bCs/>
          <w:color w:val="000000"/>
          <w:sz w:val="44"/>
          <w:szCs w:val="44"/>
        </w:rPr>
        <w:t>支出绩效评价报告</w:t>
      </w:r>
    </w:p>
    <w:p>
      <w:pPr>
        <w:ind w:firstLine="482" w:firstLineChars="200"/>
        <w:jc w:val="center"/>
        <w:rPr>
          <w:rStyle w:val="10"/>
          <w:rFonts w:hint="eastAsia" w:ascii="仿宋_GB2312" w:hAnsi="仿宋_GB2312" w:eastAsia="仿宋_GB2312" w:cs="仿宋_GB2312"/>
          <w:color w:val="000000"/>
          <w:sz w:val="24"/>
          <w:szCs w:val="24"/>
        </w:rPr>
      </w:pP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为加强财政预算资金管理，进一步规范预算资金使用，提高财政资金使用效益，我</w:t>
      </w:r>
      <w:r>
        <w:rPr>
          <w:rFonts w:hint="eastAsia" w:ascii="仿宋_GB2312" w:hAnsi="仿宋_GB2312" w:eastAsia="仿宋_GB2312" w:cs="仿宋_GB2312"/>
          <w:sz w:val="32"/>
          <w:szCs w:val="32"/>
          <w:lang w:val="en-US" w:eastAsia="zh-CN"/>
        </w:rPr>
        <w:t>中心</w:t>
      </w:r>
      <w:r>
        <w:rPr>
          <w:rFonts w:hint="eastAsia" w:ascii="仿宋_GB2312" w:hAnsi="仿宋_GB2312" w:eastAsia="仿宋_GB2312" w:cs="仿宋_GB2312"/>
          <w:sz w:val="32"/>
          <w:szCs w:val="32"/>
        </w:rPr>
        <w:t>积极组织对20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年度本部门整体支出进行了绩效自评，现将有关情况报告如下：</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一、基本概况</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根据市财政局统一安排，现将我</w:t>
      </w:r>
      <w:r>
        <w:rPr>
          <w:rFonts w:hint="eastAsia" w:ascii="仿宋_GB2312" w:hAnsi="仿宋_GB2312" w:eastAsia="仿宋_GB2312" w:cs="仿宋_GB2312"/>
          <w:sz w:val="32"/>
          <w:szCs w:val="32"/>
          <w:lang w:val="en-US" w:eastAsia="zh-CN"/>
        </w:rPr>
        <w:t>中心</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年度绩效管理工作情况简要汇报如下：</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一、单位基本情况</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val="en-US" w:eastAsia="zh-CN"/>
        </w:rPr>
        <w:t>中心</w:t>
      </w:r>
      <w:r>
        <w:rPr>
          <w:rFonts w:hint="eastAsia" w:ascii="仿宋_GB2312" w:hAnsi="仿宋_GB2312" w:eastAsia="仿宋_GB2312" w:cs="仿宋_GB2312"/>
          <w:kern w:val="0"/>
          <w:sz w:val="32"/>
          <w:szCs w:val="32"/>
        </w:rPr>
        <w:t>协助开展公路项目前期工作审查相关事务性工作，负责协调实施主体推进规划实施，参与普通国省道建设、改造年度建议计划初审工作，编制普通国省道年度养护计划；负责全市普通国省道建设、改造、养护行业管理的业务指导工作；指导、协调全市普通国省道建设、改造、养护管理工作；负责107国道岳阳段和市区城市道路以外普通公路的建设、养护、路产路权保护及汽车渡运等事务性工作。负责公路行业管理的行政辅助工作；负责指导公路行业安全生产监督和公路交通战备管理的事务性工作。指导、督促公路养护机构维护好公路和公路设施；负责全市公路路网运行监测及养护的技术支撑エ作；负责公路应急物资储备和应急设备装备保障，协调指挥全市国省道应急抢险救援工作。负责涉路行政审批的前置技术审核和涉路施工组织方案的安全风险评估、验收，为公路路政工作提供技术支撑和服务保障工作；配合公路执法机构对公路路产损坏赔补偿进行调查取证，监督执行路损恢复预算与计划。负责全市农村公路建设、养护和行业管理的业务指导和绩效考核；协助编制全市农村公路建养年度计划并监督实施的行政辅助工作。</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机</w:t>
      </w:r>
      <w:r>
        <w:rPr>
          <w:rFonts w:hint="eastAsia" w:ascii="仿宋_GB2312" w:hAnsi="仿宋_GB2312" w:eastAsia="仿宋_GB2312" w:cs="仿宋_GB2312"/>
          <w:kern w:val="0"/>
          <w:sz w:val="32"/>
          <w:szCs w:val="32"/>
        </w:rPr>
        <w:t>构设置</w:t>
      </w:r>
    </w:p>
    <w:p>
      <w:pPr>
        <w:pStyle w:val="7"/>
        <w:keepNext w:val="0"/>
        <w:keepLines w:val="0"/>
        <w:pageBreakBefore w:val="0"/>
        <w:widowControl w:val="0"/>
        <w:numPr>
          <w:ilvl w:val="0"/>
          <w:numId w:val="1"/>
        </w:numPr>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内设机构设置。</w:t>
      </w:r>
      <w:r>
        <w:rPr>
          <w:rFonts w:hint="eastAsia" w:ascii="仿宋_GB2312" w:hAnsi="仿宋_GB2312" w:eastAsia="仿宋_GB2312" w:cs="仿宋_GB2312"/>
          <w:kern w:val="0"/>
          <w:sz w:val="32"/>
          <w:szCs w:val="32"/>
          <w:lang w:val="en-US" w:eastAsia="zh-CN"/>
        </w:rPr>
        <w:t>岳阳市公路建设和养护中心</w:t>
      </w:r>
      <w:r>
        <w:rPr>
          <w:rFonts w:hint="eastAsia" w:ascii="仿宋_GB2312" w:hAnsi="仿宋_GB2312" w:eastAsia="仿宋_GB2312" w:cs="仿宋_GB2312"/>
          <w:kern w:val="0"/>
          <w:sz w:val="32"/>
          <w:szCs w:val="32"/>
        </w:rPr>
        <w:t>内设机构包括：</w:t>
      </w:r>
      <w:r>
        <w:rPr>
          <w:rFonts w:hint="eastAsia" w:ascii="仿宋_GB2312" w:hAnsi="仿宋_GB2312" w:eastAsia="仿宋_GB2312" w:cs="仿宋_GB2312"/>
          <w:kern w:val="0"/>
          <w:sz w:val="32"/>
          <w:szCs w:val="32"/>
          <w:lang w:val="en-US" w:eastAsia="zh-CN"/>
        </w:rPr>
        <w:t>综合部，公路养护部，工程建设部，计划统计部，农村公路部，安全事务部，路产路权事务部，国有资产管理部，财务部，法规事务部，审计事务部，人事部等十二个部门。</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根据中共岳阳市委机构编制委员会办公室《关于调整市公路建设和养护中心有关机构编制事项的通知》（岳编办函〔2022〕146号）文件精神，我中心所属原7家事业单位整合为“市107国道养护中心”“市城区公路事务中心”“市公路科技服务中心”三家下属单位，均为全额拨款公益事业一类单位。</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二、预算绩效管理工作开展情况</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领导对预算绩效管理工作十分重视。市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专门成立了预算绩效管理工作领导小组，建立了绩效跟踪监控制度。</w:t>
      </w:r>
      <w:r>
        <w:rPr>
          <w:rFonts w:hint="eastAsia" w:ascii="仿宋_GB2312" w:hAnsi="仿宋_GB2312" w:eastAsia="仿宋_GB2312" w:cs="仿宋_GB2312"/>
          <w:kern w:val="0"/>
          <w:sz w:val="32"/>
          <w:szCs w:val="32"/>
          <w:lang w:val="en-US" w:eastAsia="zh-CN"/>
        </w:rPr>
        <w:t>中心主任赵启鸿</w:t>
      </w:r>
      <w:r>
        <w:rPr>
          <w:rFonts w:hint="eastAsia" w:ascii="仿宋_GB2312" w:hAnsi="仿宋_GB2312" w:eastAsia="仿宋_GB2312" w:cs="仿宋_GB2312"/>
          <w:kern w:val="0"/>
          <w:sz w:val="32"/>
          <w:szCs w:val="32"/>
        </w:rPr>
        <w:t>亲任领导小组组长，分管财务和计划工作的两位副</w:t>
      </w:r>
      <w:r>
        <w:rPr>
          <w:rFonts w:hint="eastAsia" w:ascii="仿宋_GB2312" w:hAnsi="仿宋_GB2312" w:eastAsia="仿宋_GB2312" w:cs="仿宋_GB2312"/>
          <w:kern w:val="0"/>
          <w:sz w:val="32"/>
          <w:szCs w:val="32"/>
          <w:lang w:val="en-US" w:eastAsia="zh-CN"/>
        </w:rPr>
        <w:t>主任</w:t>
      </w:r>
      <w:r>
        <w:rPr>
          <w:rFonts w:hint="eastAsia" w:ascii="仿宋_GB2312" w:hAnsi="仿宋_GB2312" w:eastAsia="仿宋_GB2312" w:cs="仿宋_GB2312"/>
          <w:kern w:val="0"/>
          <w:sz w:val="32"/>
          <w:szCs w:val="32"/>
        </w:rPr>
        <w:t>任副组长，</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财务、计划、审计、养护等部门负责人任小组成员，各部门分工明确，相互协调、监督。为保持工作的连续性和有效性，领导小组还明确了专门的工作联络员。根据市财政局要求，我们及时报送了</w:t>
      </w:r>
      <w:r>
        <w:rPr>
          <w:rFonts w:hint="eastAsia" w:ascii="仿宋_GB2312" w:hAnsi="仿宋_GB2312" w:eastAsia="仿宋_GB2312" w:cs="仿宋_GB2312"/>
          <w:kern w:val="0"/>
          <w:sz w:val="32"/>
          <w:szCs w:val="32"/>
          <w:lang w:val="en-US" w:eastAsia="zh-CN"/>
        </w:rPr>
        <w:t>2023年度部门整体支出绩效自评表和2023年项目支出绩效自评表等，</w:t>
      </w:r>
      <w:r>
        <w:rPr>
          <w:rFonts w:hint="eastAsia" w:ascii="仿宋_GB2312" w:hAnsi="仿宋_GB2312" w:eastAsia="仿宋_GB2312" w:cs="仿宋_GB2312"/>
          <w:kern w:val="0"/>
          <w:sz w:val="32"/>
          <w:szCs w:val="32"/>
        </w:rPr>
        <w:t>绩效目标具体了项目实施及量化指标。</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根据现行管理体制，我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经费预算主要包括两部分：一是市财政年度部门预算安排基本支出</w:t>
      </w:r>
      <w:r>
        <w:rPr>
          <w:rFonts w:hint="eastAsia" w:ascii="仿宋_GB2312" w:hAnsi="仿宋_GB2312" w:eastAsia="仿宋_GB2312" w:cs="仿宋_GB2312"/>
          <w:kern w:val="0"/>
          <w:sz w:val="32"/>
          <w:szCs w:val="32"/>
          <w:lang w:val="en-US" w:eastAsia="zh-CN"/>
        </w:rPr>
        <w:t>和市及专项资金，</w:t>
      </w:r>
      <w:r>
        <w:rPr>
          <w:rFonts w:hint="eastAsia" w:ascii="仿宋_GB2312" w:hAnsi="仿宋_GB2312" w:eastAsia="仿宋_GB2312" w:cs="仿宋_GB2312"/>
          <w:kern w:val="0"/>
          <w:sz w:val="32"/>
          <w:szCs w:val="32"/>
        </w:rPr>
        <w:t>二是省交通厅下达养护工程计划后省市财政部门对应安排项目资金。</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基本支出预算绩效管理</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⑴预算资金来源</w:t>
      </w:r>
      <w:r>
        <w:rPr>
          <w:rFonts w:hint="eastAsia" w:ascii="仿宋_GB2312" w:hAnsi="仿宋_GB2312" w:eastAsia="仿宋_GB2312" w:cs="仿宋_GB2312"/>
          <w:kern w:val="0"/>
          <w:sz w:val="32"/>
          <w:szCs w:val="32"/>
          <w:lang w:val="en-US" w:eastAsia="zh-CN"/>
        </w:rPr>
        <w:t>和支出</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rPr>
        <w:t>20</w:t>
      </w:r>
      <w:r>
        <w:rPr>
          <w:rFonts w:hint="eastAsia" w:ascii="仿宋_GB2312" w:hAnsi="仿宋_GB2312" w:eastAsia="仿宋_GB2312" w:cs="仿宋_GB2312"/>
          <w:kern w:val="0"/>
          <w:sz w:val="32"/>
          <w:szCs w:val="32"/>
          <w:lang w:val="en-US" w:eastAsia="zh-CN"/>
        </w:rPr>
        <w:t>23</w:t>
      </w:r>
      <w:r>
        <w:rPr>
          <w:rFonts w:hint="eastAsia" w:ascii="仿宋_GB2312" w:hAnsi="仿宋_GB2312" w:eastAsia="仿宋_GB2312" w:cs="仿宋_GB2312"/>
          <w:kern w:val="0"/>
          <w:sz w:val="32"/>
          <w:szCs w:val="32"/>
        </w:rPr>
        <w:t>年市财政局以岳市财预【20</w:t>
      </w:r>
      <w:r>
        <w:rPr>
          <w:rFonts w:hint="eastAsia" w:ascii="仿宋_GB2312" w:hAnsi="仿宋_GB2312" w:eastAsia="仿宋_GB2312" w:cs="仿宋_GB2312"/>
          <w:kern w:val="0"/>
          <w:sz w:val="32"/>
          <w:szCs w:val="32"/>
          <w:lang w:val="en-US" w:eastAsia="zh-CN"/>
        </w:rPr>
        <w:t>23</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41</w:t>
      </w:r>
      <w:r>
        <w:rPr>
          <w:rFonts w:hint="eastAsia" w:ascii="仿宋_GB2312" w:hAnsi="仿宋_GB2312" w:eastAsia="仿宋_GB2312" w:cs="仿宋_GB2312"/>
          <w:kern w:val="0"/>
          <w:sz w:val="32"/>
          <w:szCs w:val="32"/>
        </w:rPr>
        <w:t>号文下达我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部门预算批复</w:t>
      </w:r>
      <w:r>
        <w:rPr>
          <w:rFonts w:hint="eastAsia" w:ascii="仿宋_GB2312" w:hAnsi="仿宋_GB2312" w:eastAsia="仿宋_GB2312" w:cs="仿宋_GB2312"/>
          <w:kern w:val="0"/>
          <w:sz w:val="32"/>
          <w:szCs w:val="32"/>
          <w:lang w:val="en-US" w:eastAsia="zh-CN"/>
        </w:rPr>
        <w:t>9460.48</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val="en-US" w:eastAsia="zh-CN" w:bidi="ar"/>
        </w:rPr>
        <w:t>2023年全年预算数为23035.44万元，执行数为15465.46万元，未完成的数额为G107大修工程款，此项目为跨年度项目，在2024年开工，2023年仅支付前期费用，改进措施：我中心已于2024年按工程进度拨付工程经费。一般公共预算支出情况：基本支出情况：2023年我中心安排基本支出包括：①工资福利支出：7043.47万元，其中：基本工资2300.84万元，津贴补贴281.42万元，奖金1338.11万元，伙食费补助196.53万元，绩效工资1171.72万元，机关事业单位基本养老保险缴费561.71万元，职工基本医疗保险缴费297.19万元，公务员医疗补助缴费37.36万元，其他社会保障缴费248.33万元，住房公积金570.56万元，医疗费39.69万元，②商品和服务支出：472.52万元，其中：办公费34.89万元，印刷费11.18万元，咨询费4.2万元，手续费0.02万元，水费1.93万元，电费15万元，邮电费3.52万元，物业管理费19.32万元，差旅费9.27万元，维修费18.65万元，租赁费5.65万元，会议费1.33万元，培训费1.98，公务接待3.78万元，劳务费3.04万元，工会经费185.45万元，福利费1.76万元，公务用车运维费43.58万元，其他交通费51.11万元，其他商品和服务支出56.87万元。③对个人和家庭的补助：1992.63万元，其中：退休费1524.59万元，抚恤金72.88万元，生活补助5.98万元，医疗费补助196.39万元，奖励金4.28万元，其他对个人和家庭的补助188.51万元，固定资产折旧费35.6万元。项目支出情况：2023年我中心省、市级专项资金安排支出：27785.75万元，其中：公路日常养护资金1071.6万元，公路大中修工程资金3047.69万元，安保工程资金61.73万元，危桥改造工程300万元，切块资金947.3万元，京港澳高速岳阳收费站改扩建南北辅导建设300万元，政府电子政务资金30万，其他工程资金150万元。</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⑵预算资金安排基本原则</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①按预算收入确定支出计划。原则上资金性质和用途不变，尽可能保障人员支出，压缩公用支出。全</w:t>
      </w:r>
      <w:r>
        <w:rPr>
          <w:rFonts w:hint="eastAsia" w:ascii="仿宋_GB2312" w:hAnsi="仿宋_GB2312" w:eastAsia="仿宋_GB2312" w:cs="仿宋_GB2312"/>
          <w:kern w:val="0"/>
          <w:sz w:val="32"/>
          <w:szCs w:val="32"/>
          <w:lang w:val="en-US" w:eastAsia="zh-CN"/>
        </w:rPr>
        <w:t>中心预算资金9460.48</w:t>
      </w:r>
      <w:r>
        <w:rPr>
          <w:rFonts w:hint="eastAsia" w:ascii="仿宋_GB2312" w:hAnsi="仿宋_GB2312" w:eastAsia="仿宋_GB2312" w:cs="仿宋_GB2312"/>
          <w:kern w:val="0"/>
          <w:sz w:val="32"/>
          <w:szCs w:val="32"/>
        </w:rPr>
        <w:t>万元全部用于安排人员和公用支出</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工会经费</w:t>
      </w:r>
      <w:r>
        <w:rPr>
          <w:rFonts w:hint="eastAsia" w:ascii="仿宋_GB2312" w:hAnsi="仿宋_GB2312" w:eastAsia="仿宋_GB2312" w:cs="仿宋_GB2312"/>
          <w:kern w:val="0"/>
          <w:sz w:val="32"/>
          <w:szCs w:val="32"/>
          <w:lang w:val="en-US" w:eastAsia="zh-CN"/>
        </w:rPr>
        <w:t>及离退休人员费用</w:t>
      </w:r>
      <w:r>
        <w:rPr>
          <w:rFonts w:hint="eastAsia" w:ascii="仿宋_GB2312" w:hAnsi="仿宋_GB2312" w:eastAsia="仿宋_GB2312" w:cs="仿宋_GB2312"/>
          <w:kern w:val="0"/>
          <w:sz w:val="32"/>
          <w:szCs w:val="32"/>
        </w:rPr>
        <w:t>。</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②维护预算严肃性。各预算单位要严格按照下达的文件要求执行预算，不得随意变更，因特殊情况却需要变更和调整的，须保市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批准后执行。</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③坚持厉行节约，勤俭办事原则。严格控制差旅费、公务接待费等支出，努力降低行政运行成本。</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⑶预算资金安排具体办法</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①按照“三定”后各单位实际在编在岗人数，以市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人事科提供的报经市人事局审批后的在职职工基本工资和基础性绩效工资以及离退休职工基本离退休费和离退休补贴标准为依据，核定各单位工资总额。市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机关按参公单位标准核定工资总额。</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②</w:t>
      </w:r>
      <w:r>
        <w:rPr>
          <w:rFonts w:hint="eastAsia" w:ascii="仿宋_GB2312" w:hAnsi="仿宋_GB2312" w:eastAsia="仿宋_GB2312" w:cs="仿宋_GB2312"/>
          <w:kern w:val="0"/>
          <w:sz w:val="32"/>
          <w:szCs w:val="32"/>
        </w:rPr>
        <w:t>工会经费和福利费按市财政预算标准据实下达各相关单位，由各单位自行安排。工会经费中40%部分共</w:t>
      </w:r>
      <w:r>
        <w:rPr>
          <w:rFonts w:hint="eastAsia" w:ascii="仿宋_GB2312" w:hAnsi="仿宋_GB2312" w:eastAsia="仿宋_GB2312" w:cs="仿宋_GB2312"/>
          <w:kern w:val="0"/>
          <w:sz w:val="32"/>
          <w:szCs w:val="32"/>
          <w:lang w:val="en-US" w:eastAsia="zh-CN"/>
        </w:rPr>
        <w:t>23.43</w:t>
      </w:r>
      <w:r>
        <w:rPr>
          <w:rFonts w:hint="eastAsia" w:ascii="仿宋_GB2312" w:hAnsi="仿宋_GB2312" w:eastAsia="仿宋_GB2312" w:cs="仿宋_GB2312"/>
          <w:kern w:val="0"/>
          <w:sz w:val="32"/>
          <w:szCs w:val="32"/>
        </w:rPr>
        <w:t>万元由市财政局代扣代缴市总工会，实际下单位经费不含此项代扣代缴经费。福利费包含在公用经费支出预算中下达。</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③</w:t>
      </w:r>
      <w:r>
        <w:rPr>
          <w:rFonts w:hint="eastAsia" w:ascii="仿宋_GB2312" w:hAnsi="仿宋_GB2312" w:eastAsia="仿宋_GB2312" w:cs="仿宋_GB2312"/>
          <w:kern w:val="0"/>
          <w:sz w:val="32"/>
          <w:szCs w:val="32"/>
        </w:rPr>
        <w:t>老干费按省市相关政策规定安排。</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⑷其他事项</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①因市财政预算未安排公路日常养护经费，因此</w:t>
      </w:r>
      <w:r>
        <w:rPr>
          <w:rFonts w:hint="eastAsia" w:ascii="仿宋_GB2312" w:hAnsi="仿宋_GB2312" w:eastAsia="仿宋_GB2312" w:cs="仿宋_GB2312"/>
          <w:kern w:val="0"/>
          <w:sz w:val="32"/>
          <w:szCs w:val="32"/>
          <w:lang w:val="en-US" w:eastAsia="zh-CN"/>
        </w:rPr>
        <w:t>项目绩效未做省厅项目资金绩效</w:t>
      </w:r>
      <w:r>
        <w:rPr>
          <w:rFonts w:hint="eastAsia" w:ascii="仿宋_GB2312" w:hAnsi="仿宋_GB2312" w:eastAsia="仿宋_GB2312" w:cs="仿宋_GB2312"/>
          <w:kern w:val="0"/>
          <w:sz w:val="32"/>
          <w:szCs w:val="32"/>
        </w:rPr>
        <w:t>。</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②预算资金计划安排不足部分，请各单位开源节流，自求平衡，确保人员稳定，工作正常运转。</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⑸我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对下级单位预算资金分配主要是按照部门预算项目对应安排，</w:t>
      </w:r>
      <w:r>
        <w:rPr>
          <w:rFonts w:hint="eastAsia" w:ascii="仿宋_GB2312" w:hAnsi="仿宋_GB2312" w:eastAsia="仿宋_GB2312" w:cs="仿宋_GB2312"/>
          <w:kern w:val="0"/>
          <w:sz w:val="32"/>
          <w:szCs w:val="32"/>
          <w:lang w:val="en-US" w:eastAsia="zh-CN"/>
        </w:rPr>
        <w:t>但公用支出这块预算仅安排预算一上申报的50%，因此</w:t>
      </w:r>
      <w:r>
        <w:rPr>
          <w:rFonts w:hint="eastAsia" w:ascii="仿宋_GB2312" w:hAnsi="仿宋_GB2312" w:eastAsia="仿宋_GB2312" w:cs="仿宋_GB2312"/>
          <w:kern w:val="0"/>
          <w:sz w:val="32"/>
          <w:szCs w:val="32"/>
        </w:rPr>
        <w:t>，我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实际基本支出远大于财政预算安排。在缺口如此巨大的情况下，我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只能是寅吃卯粮，拆东墙补西墙。尽管想尽了一切办法保工资、保运转，有关开支</w:t>
      </w:r>
      <w:r>
        <w:rPr>
          <w:rFonts w:hint="eastAsia" w:ascii="仿宋_GB2312" w:hAnsi="仿宋_GB2312" w:eastAsia="仿宋_GB2312" w:cs="仿宋_GB2312"/>
          <w:kern w:val="0"/>
          <w:sz w:val="32"/>
          <w:szCs w:val="32"/>
          <w:lang w:val="en-US" w:eastAsia="zh-CN"/>
        </w:rPr>
        <w:t>尽量</w:t>
      </w:r>
      <w:r>
        <w:rPr>
          <w:rFonts w:hint="eastAsia" w:ascii="仿宋_GB2312" w:hAnsi="仿宋_GB2312" w:eastAsia="仿宋_GB2312" w:cs="仿宋_GB2312"/>
          <w:kern w:val="0"/>
          <w:sz w:val="32"/>
          <w:szCs w:val="32"/>
        </w:rPr>
        <w:t>一压再压。</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因为资金缺口严重，我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对预算绩效管理尤为重视，领导对预算资金的安排使用更加严格，有时甚至苛刻到“针尖削铁”的地步。为了搞好我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预算绩效管理工作，首先，我们在全</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统一了思想，晒了家底。2</w:t>
      </w:r>
      <w:r>
        <w:rPr>
          <w:rFonts w:hint="eastAsia" w:ascii="仿宋_GB2312" w:hAnsi="仿宋_GB2312" w:eastAsia="仿宋_GB2312" w:cs="仿宋_GB2312"/>
          <w:kern w:val="0"/>
          <w:sz w:val="32"/>
          <w:szCs w:val="32"/>
          <w:lang w:val="en-US" w:eastAsia="zh-CN"/>
        </w:rPr>
        <w:t>023年初</w:t>
      </w:r>
      <w:r>
        <w:rPr>
          <w:rFonts w:hint="eastAsia" w:ascii="仿宋_GB2312" w:hAnsi="仿宋_GB2312" w:eastAsia="仿宋_GB2312" w:cs="仿宋_GB2312"/>
          <w:kern w:val="0"/>
          <w:sz w:val="32"/>
          <w:szCs w:val="32"/>
        </w:rPr>
        <w:t>，市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专题召开预算（计划）工作会议，</w:t>
      </w:r>
      <w:r>
        <w:rPr>
          <w:rFonts w:hint="eastAsia" w:ascii="仿宋_GB2312" w:hAnsi="仿宋_GB2312" w:eastAsia="仿宋_GB2312" w:cs="仿宋_GB2312"/>
          <w:kern w:val="0"/>
          <w:sz w:val="32"/>
          <w:szCs w:val="32"/>
          <w:lang w:val="en-US" w:eastAsia="zh-CN"/>
        </w:rPr>
        <w:t>赵启鸿主任</w:t>
      </w:r>
      <w:r>
        <w:rPr>
          <w:rFonts w:hint="eastAsia" w:ascii="仿宋_GB2312" w:hAnsi="仿宋_GB2312" w:eastAsia="仿宋_GB2312" w:cs="仿宋_GB2312"/>
          <w:kern w:val="0"/>
          <w:sz w:val="32"/>
          <w:szCs w:val="32"/>
        </w:rPr>
        <w:t>向与会的各下属单位“一把手”、</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机关各科室负责人通报了</w:t>
      </w:r>
      <w:r>
        <w:rPr>
          <w:rFonts w:hint="eastAsia" w:ascii="仿宋_GB2312" w:hAnsi="仿宋_GB2312" w:eastAsia="仿宋_GB2312" w:cs="仿宋_GB2312"/>
          <w:kern w:val="0"/>
          <w:sz w:val="32"/>
          <w:szCs w:val="32"/>
          <w:lang w:val="en-US" w:eastAsia="zh-CN"/>
        </w:rPr>
        <w:t>2023</w:t>
      </w:r>
      <w:r>
        <w:rPr>
          <w:rFonts w:hint="eastAsia" w:ascii="仿宋_GB2312" w:hAnsi="仿宋_GB2312" w:eastAsia="仿宋_GB2312" w:cs="仿宋_GB2312"/>
          <w:kern w:val="0"/>
          <w:sz w:val="32"/>
          <w:szCs w:val="32"/>
        </w:rPr>
        <w:t>年市财政安排我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的预算收入情况，盘算了全</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全年经费缺口，向大家亮了家底，要求各下属单位要和市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一起努力，开源节流，共渡难关。同时，</w:t>
      </w:r>
      <w:r>
        <w:rPr>
          <w:rFonts w:hint="eastAsia" w:ascii="仿宋_GB2312" w:hAnsi="仿宋_GB2312" w:eastAsia="仿宋_GB2312" w:cs="仿宋_GB2312"/>
          <w:kern w:val="0"/>
          <w:sz w:val="32"/>
          <w:szCs w:val="32"/>
          <w:lang w:val="en-US" w:eastAsia="zh-CN"/>
        </w:rPr>
        <w:t>赵启鸿主任</w:t>
      </w:r>
      <w:r>
        <w:rPr>
          <w:rFonts w:hint="eastAsia" w:ascii="仿宋_GB2312" w:hAnsi="仿宋_GB2312" w:eastAsia="仿宋_GB2312" w:cs="仿宋_GB2312"/>
          <w:kern w:val="0"/>
          <w:sz w:val="32"/>
          <w:szCs w:val="32"/>
        </w:rPr>
        <w:t>还特别强调，要使预算绩效管理成为常态，要求各下属单位也要澄清家底，出台措施，开展绩效评价工作，自求资金平衡，确保单位稳定。其次，我们严格预算管理，从严控制计划，强化了预算执行跟踪监控。下达年度预算文件后，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不再没有安排其它支出计划，对于确属不可预见的必要支出，我们也一律待年末财政追加预算后再研究确定。由于市财政只给我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下达了人员和办公经费预算，我们下达给各单位的预算也主要是人员和办公经费，因此，我们重点是指导各单位自主开展绩效管理，并对各单位今年以来的工资到位情况以及办公经费使用情况进行监管，既督促按时发放工资，又防止突破规范，同时严格控制非生产性开支。</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（三）其它支出预算绩效管理</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主要是养路支出。年初部门预算没有安排国省干线公路养路支出计划，基于此，我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今年仍然通过市</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想办法挤一点、各养护生产单位不等不靠筹一点，勉强保障了重要线路的养护投入，拼尽全力保证了公路畅通，为地方经济建设提供了力所能及的服务。全年公路养护综合好路率可达9</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%以上。</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三、存在的问题及建议</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（一）足额安排</w:t>
      </w:r>
      <w:r>
        <w:rPr>
          <w:rFonts w:hint="eastAsia" w:ascii="仿宋_GB2312" w:hAnsi="仿宋_GB2312" w:eastAsia="仿宋_GB2312" w:cs="仿宋_GB2312"/>
          <w:kern w:val="0"/>
          <w:sz w:val="32"/>
          <w:szCs w:val="32"/>
          <w:lang w:val="en-US" w:eastAsia="zh-CN"/>
        </w:rPr>
        <w:t>公用</w:t>
      </w:r>
      <w:r>
        <w:rPr>
          <w:rFonts w:hint="eastAsia" w:ascii="仿宋_GB2312" w:hAnsi="仿宋_GB2312" w:eastAsia="仿宋_GB2312" w:cs="仿宋_GB2312"/>
          <w:kern w:val="0"/>
          <w:sz w:val="32"/>
          <w:szCs w:val="32"/>
        </w:rPr>
        <w:t>支出，满足生存基本要求</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我中心人员经费</w:t>
      </w:r>
      <w:r>
        <w:rPr>
          <w:rFonts w:hint="eastAsia" w:ascii="仿宋_GB2312" w:hAnsi="仿宋_GB2312" w:eastAsia="仿宋_GB2312" w:cs="仿宋_GB2312"/>
          <w:kern w:val="0"/>
          <w:sz w:val="32"/>
          <w:szCs w:val="32"/>
        </w:rPr>
        <w:t>缺口的主要原因是预算没有足额安排我</w:t>
      </w:r>
      <w:r>
        <w:rPr>
          <w:rFonts w:hint="eastAsia" w:ascii="仿宋_GB2312" w:hAnsi="仿宋_GB2312" w:eastAsia="仿宋_GB2312" w:cs="仿宋_GB2312"/>
          <w:kern w:val="0"/>
          <w:sz w:val="32"/>
          <w:szCs w:val="32"/>
          <w:lang w:val="en-US" w:eastAsia="zh-CN"/>
        </w:rPr>
        <w:t>中心公用经费</w:t>
      </w:r>
      <w:r>
        <w:rPr>
          <w:rFonts w:hint="eastAsia" w:ascii="仿宋_GB2312" w:hAnsi="仿宋_GB2312" w:eastAsia="仿宋_GB2312" w:cs="仿宋_GB2312"/>
          <w:kern w:val="0"/>
          <w:sz w:val="32"/>
          <w:szCs w:val="32"/>
        </w:rPr>
        <w:t>，因此，我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一直饱受</w:t>
      </w:r>
      <w:r>
        <w:rPr>
          <w:rFonts w:hint="eastAsia" w:ascii="仿宋_GB2312" w:hAnsi="仿宋_GB2312" w:eastAsia="仿宋_GB2312" w:cs="仿宋_GB2312"/>
          <w:kern w:val="0"/>
          <w:sz w:val="32"/>
          <w:szCs w:val="32"/>
          <w:lang w:val="en-US" w:eastAsia="zh-CN"/>
        </w:rPr>
        <w:t>公用经费</w:t>
      </w:r>
      <w:r>
        <w:rPr>
          <w:rFonts w:hint="eastAsia" w:ascii="仿宋_GB2312" w:hAnsi="仿宋_GB2312" w:eastAsia="仿宋_GB2312" w:cs="仿宋_GB2312"/>
          <w:kern w:val="0"/>
          <w:sz w:val="32"/>
          <w:szCs w:val="32"/>
        </w:rPr>
        <w:t>刚性缺口困扰，无法确保</w:t>
      </w:r>
      <w:r>
        <w:rPr>
          <w:rFonts w:hint="eastAsia" w:ascii="仿宋_GB2312" w:hAnsi="仿宋_GB2312" w:eastAsia="仿宋_GB2312" w:cs="仿宋_GB2312"/>
          <w:kern w:val="0"/>
          <w:sz w:val="32"/>
          <w:szCs w:val="32"/>
          <w:lang w:val="en-US" w:eastAsia="zh-CN"/>
        </w:rPr>
        <w:t>中心机关及下属单位</w:t>
      </w:r>
      <w:r>
        <w:rPr>
          <w:rFonts w:hint="eastAsia" w:ascii="仿宋_GB2312" w:hAnsi="仿宋_GB2312" w:eastAsia="仿宋_GB2312" w:cs="仿宋_GB2312"/>
          <w:kern w:val="0"/>
          <w:sz w:val="32"/>
          <w:szCs w:val="32"/>
        </w:rPr>
        <w:t>的正常</w:t>
      </w:r>
      <w:r>
        <w:rPr>
          <w:rFonts w:hint="eastAsia" w:ascii="仿宋_GB2312" w:hAnsi="仿宋_GB2312" w:eastAsia="仿宋_GB2312" w:cs="仿宋_GB2312"/>
          <w:kern w:val="0"/>
          <w:sz w:val="32"/>
          <w:szCs w:val="32"/>
          <w:lang w:val="en-US" w:eastAsia="zh-CN"/>
        </w:rPr>
        <w:t>运转</w:t>
      </w:r>
      <w:r>
        <w:rPr>
          <w:rFonts w:hint="eastAsia" w:ascii="仿宋_GB2312" w:hAnsi="仿宋_GB2312" w:eastAsia="仿宋_GB2312" w:cs="仿宋_GB2312"/>
          <w:kern w:val="0"/>
          <w:sz w:val="32"/>
          <w:szCs w:val="32"/>
        </w:rPr>
        <w:t>。建议能</w:t>
      </w:r>
      <w:r>
        <w:rPr>
          <w:rFonts w:hint="eastAsia" w:ascii="仿宋_GB2312" w:hAnsi="仿宋_GB2312" w:eastAsia="仿宋_GB2312" w:cs="仿宋_GB2312"/>
          <w:kern w:val="0"/>
          <w:sz w:val="32"/>
          <w:szCs w:val="32"/>
          <w:lang w:val="en-US" w:eastAsia="zh-CN"/>
        </w:rPr>
        <w:t>提高公用支出预算比例</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保</w:t>
      </w:r>
      <w:r>
        <w:rPr>
          <w:rFonts w:hint="eastAsia" w:ascii="仿宋_GB2312" w:hAnsi="仿宋_GB2312" w:eastAsia="仿宋_GB2312" w:cs="仿宋_GB2312"/>
          <w:kern w:val="0"/>
          <w:sz w:val="32"/>
          <w:szCs w:val="32"/>
        </w:rPr>
        <w:t>我</w:t>
      </w:r>
      <w:r>
        <w:rPr>
          <w:rFonts w:hint="eastAsia" w:ascii="仿宋_GB2312" w:hAnsi="仿宋_GB2312" w:eastAsia="仿宋_GB2312" w:cs="仿宋_GB2312"/>
          <w:kern w:val="0"/>
          <w:sz w:val="32"/>
          <w:szCs w:val="32"/>
          <w:lang w:val="en-US" w:eastAsia="zh-CN"/>
        </w:rPr>
        <w:t>中心及下属单位基本运转</w:t>
      </w:r>
      <w:r>
        <w:rPr>
          <w:rFonts w:hint="eastAsia" w:ascii="仿宋_GB2312" w:hAnsi="仿宋_GB2312" w:eastAsia="仿宋_GB2312" w:cs="仿宋_GB2312"/>
          <w:kern w:val="0"/>
          <w:sz w:val="32"/>
          <w:szCs w:val="32"/>
        </w:rPr>
        <w:t>。</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（二）公路养护工作没有预算安排，我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无法完成基本工作任务</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公路</w:t>
      </w:r>
      <w:r>
        <w:rPr>
          <w:rFonts w:hint="eastAsia" w:ascii="仿宋_GB2312" w:hAnsi="仿宋_GB2312" w:eastAsia="仿宋_GB2312" w:cs="仿宋_GB2312"/>
          <w:kern w:val="0"/>
          <w:sz w:val="32"/>
          <w:szCs w:val="32"/>
          <w:lang w:val="en-US" w:eastAsia="zh-CN"/>
        </w:rPr>
        <w:t>建养中心</w:t>
      </w:r>
      <w:r>
        <w:rPr>
          <w:rFonts w:hint="eastAsia" w:ascii="仿宋_GB2312" w:hAnsi="仿宋_GB2312" w:eastAsia="仿宋_GB2312" w:cs="仿宋_GB2312"/>
          <w:kern w:val="0"/>
          <w:sz w:val="32"/>
          <w:szCs w:val="32"/>
        </w:rPr>
        <w:t>的基本职能是国省干线公路的建、养、管工作。建设暂且不论，没有钱可以不建，但养护不投入，公路便不能保障畅通。2009年成品油税费改革以来，市财政一直没有安排公路养护预算经费，全靠我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人力投入和挤占其它资金来维持公路养护，保证公路勉强畅通。但现在已难以为继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我们建议在编制年度预算时适当安排养护经费预算。</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（三)养护工程地方配套资金不能到位，影响省对我市公路建设投入</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至目前，市县财政一直未能</w:t>
      </w:r>
      <w:r>
        <w:rPr>
          <w:rFonts w:hint="eastAsia" w:ascii="仿宋_GB2312" w:hAnsi="仿宋_GB2312" w:eastAsia="仿宋_GB2312" w:cs="仿宋_GB2312"/>
          <w:kern w:val="0"/>
          <w:sz w:val="32"/>
          <w:szCs w:val="32"/>
          <w:lang w:val="en-US" w:eastAsia="zh-CN"/>
        </w:rPr>
        <w:t>足额</w:t>
      </w:r>
      <w:r>
        <w:rPr>
          <w:rFonts w:hint="eastAsia" w:ascii="仿宋_GB2312" w:hAnsi="仿宋_GB2312" w:eastAsia="仿宋_GB2312" w:cs="仿宋_GB2312"/>
          <w:kern w:val="0"/>
          <w:sz w:val="32"/>
          <w:szCs w:val="32"/>
        </w:rPr>
        <w:t>安排地方配套资金，造成部分项目无法实施。如此，则不仅存在巨大安全隐患，而且还影响省对我市交通工作考核成绩。</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(四)其它基础性项目没有安排预算，影响公路事业长远发展2009年成品油税费改革后，市财政一直未安排我</w:t>
      </w:r>
      <w:r>
        <w:rPr>
          <w:rFonts w:hint="eastAsia" w:ascii="仿宋_GB2312" w:hAnsi="仿宋_GB2312" w:eastAsia="仿宋_GB2312" w:cs="仿宋_GB2312"/>
          <w:kern w:val="0"/>
          <w:sz w:val="32"/>
          <w:szCs w:val="32"/>
          <w:lang w:val="en-US" w:eastAsia="zh-CN"/>
        </w:rPr>
        <w:t>中心</w:t>
      </w:r>
      <w:r>
        <w:rPr>
          <w:rFonts w:hint="eastAsia" w:ascii="仿宋_GB2312" w:hAnsi="仿宋_GB2312" w:eastAsia="仿宋_GB2312" w:cs="仿宋_GB2312"/>
          <w:kern w:val="0"/>
          <w:sz w:val="32"/>
          <w:szCs w:val="32"/>
        </w:rPr>
        <w:t>公路养护</w:t>
      </w:r>
      <w:r>
        <w:rPr>
          <w:rFonts w:hint="eastAsia" w:ascii="仿宋_GB2312" w:hAnsi="仿宋_GB2312" w:eastAsia="仿宋_GB2312" w:cs="仿宋_GB2312"/>
          <w:kern w:val="0"/>
          <w:sz w:val="32"/>
          <w:szCs w:val="32"/>
          <w:lang w:val="en-US" w:eastAsia="zh-CN"/>
        </w:rPr>
        <w:t>机械</w:t>
      </w:r>
      <w:r>
        <w:rPr>
          <w:rFonts w:hint="eastAsia" w:ascii="仿宋_GB2312" w:hAnsi="仿宋_GB2312" w:eastAsia="仿宋_GB2312" w:cs="仿宋_GB2312"/>
          <w:kern w:val="0"/>
          <w:sz w:val="32"/>
          <w:szCs w:val="32"/>
        </w:rPr>
        <w:t>、设备投入，长此以往，将影响我市公路事业的健康发展。</w:t>
      </w: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630" w:lineRule="exact"/>
        <w:ind w:left="0" w:leftChars="0" w:firstLine="640" w:firstLineChars="200"/>
        <w:jc w:val="both"/>
        <w:textAlignment w:val="auto"/>
        <w:rPr>
          <w:rFonts w:hint="eastAsia" w:ascii="仿宋_GB2312" w:hAnsi="仿宋_GB2312" w:eastAsia="仿宋_GB2312" w:cs="仿宋_GB2312"/>
          <w:sz w:val="32"/>
          <w:szCs w:val="32"/>
        </w:rPr>
      </w:pPr>
    </w:p>
    <w:p>
      <w:pPr>
        <w:pStyle w:val="7"/>
        <w:keepNext w:val="0"/>
        <w:keepLines w:val="0"/>
        <w:pageBreakBefore w:val="0"/>
        <w:widowControl w:val="0"/>
        <w:kinsoku/>
        <w:wordWrap/>
        <w:overflowPunct/>
        <w:topLinePunct w:val="0"/>
        <w:autoSpaceDE/>
        <w:autoSpaceDN/>
        <w:bidi w:val="0"/>
        <w:adjustRightInd/>
        <w:snapToGrid/>
        <w:spacing w:line="630" w:lineRule="exact"/>
        <w:ind w:left="5440" w:leftChars="0" w:hanging="5440" w:hangingChars="17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岳阳市公</w:t>
      </w:r>
      <w:r>
        <w:rPr>
          <w:rFonts w:hint="eastAsia" w:ascii="仿宋_GB2312" w:hAnsi="仿宋_GB2312" w:eastAsia="仿宋_GB2312" w:cs="仿宋_GB2312"/>
          <w:sz w:val="32"/>
          <w:szCs w:val="32"/>
          <w:lang w:val="en-US" w:eastAsia="zh-CN"/>
        </w:rPr>
        <w:t>路建设和养护中心</w:t>
      </w:r>
    </w:p>
    <w:p>
      <w:pPr>
        <w:pStyle w:val="7"/>
        <w:keepNext w:val="0"/>
        <w:keepLines w:val="0"/>
        <w:pageBreakBefore w:val="0"/>
        <w:widowControl w:val="0"/>
        <w:kinsoku/>
        <w:wordWrap/>
        <w:overflowPunct/>
        <w:topLinePunct w:val="0"/>
        <w:autoSpaceDE/>
        <w:autoSpaceDN/>
        <w:bidi w:val="0"/>
        <w:adjustRightInd/>
        <w:snapToGrid/>
        <w:spacing w:line="630" w:lineRule="exact"/>
        <w:ind w:left="4748" w:leftChars="2261" w:firstLine="320" w:firstLineChars="1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rPr>
      </w:pPr>
      <w:bookmarkStart w:id="0" w:name="_GoBack"/>
      <w:bookmarkEnd w:id="0"/>
    </w:p>
    <w:p>
      <w:pPr>
        <w:pStyle w:val="7"/>
        <w:widowControl/>
        <w:ind w:firstLine="5280" w:firstLineChars="2200"/>
        <w:jc w:val="both"/>
        <w:rPr>
          <w:rFonts w:hint="eastAsia" w:ascii="仿宋_GB2312" w:hAnsi="仿宋_GB2312" w:eastAsia="仿宋_GB2312" w:cs="仿宋_GB2312"/>
          <w:sz w:val="24"/>
          <w:szCs w:val="24"/>
        </w:rPr>
      </w:pPr>
    </w:p>
    <w:p>
      <w:pPr>
        <w:pStyle w:val="7"/>
        <w:widowControl/>
        <w:ind w:firstLine="5280" w:firstLineChars="2200"/>
        <w:jc w:val="both"/>
        <w:rPr>
          <w:rFonts w:hint="eastAsia" w:ascii="仿宋_GB2312" w:hAnsi="仿宋_GB2312" w:eastAsia="仿宋_GB2312" w:cs="仿宋_GB2312"/>
          <w:sz w:val="24"/>
          <w:szCs w:val="24"/>
          <w:lang w:eastAsia="zh-CN"/>
        </w:rPr>
      </w:pPr>
    </w:p>
    <w:tbl>
      <w:tblPr>
        <w:tblStyle w:val="8"/>
        <w:tblW w:w="908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533"/>
        <w:gridCol w:w="773"/>
        <w:gridCol w:w="799"/>
        <w:gridCol w:w="883"/>
        <w:gridCol w:w="1052"/>
        <w:gridCol w:w="1013"/>
        <w:gridCol w:w="1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财政供养人员情况</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编制数</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2023年实际在职人数</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控制率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2"/>
                <w:szCs w:val="22"/>
                <w:u w:val="none"/>
              </w:rPr>
            </w:pP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506</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经费控制情况(万元)</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2022年决算数</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2023年预算数</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2023年决算数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三公经费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26.12</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1、公务用车购置和维护经费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18.08</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其中：公车购置</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公车运行维护</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18.08</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2、出国经费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3、公务接待</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8.04</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1836.96</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1、业务工作经费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2、运行维护经费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3、本级专项资金（一个专项一行）</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1836.96</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离休干部无固定收入 家属生活补助</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死亡一次性抚恤及遗属生活困难补助</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77.89</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综合绩效奖和平安建设奖</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620.07</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湘北大道配套设施维护和道路保洁经费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临湖路、学院路维护</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解决公路体制改革遗留债务</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公用经费：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816.85</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640.56</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其中：办公经费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776.46</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596.56</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水费、电费、差旅费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34.48</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会议费、培训费</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5.91</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政府采购金额</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1541.5</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698.1</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部门基本支出预算调整 </w:t>
            </w:r>
          </w:p>
        </w:tc>
        <w:tc>
          <w:tcPr>
            <w:tcW w:w="15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9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楼堂馆所控制情况 </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（2023年完工项目）</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批复规模 </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实际规模</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规模控制率</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预算</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投资</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（万元）</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实际</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投资</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（万元）</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投资概算控制率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厉行节约保障措施</w:t>
            </w:r>
          </w:p>
        </w:tc>
        <w:tc>
          <w:tcPr>
            <w:tcW w:w="55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严格执行接待费开支范围，开支标准有关规定，不搞超规格，超范围接待，严控配餐人数。2.严格控制公务出差人数，执行事前出差审批制度，出差期间做到科学合理安排时间，提高工作效率，本着节约的原则，尽量控制开支，选择经济的交通工具，经济的住宿。3.严格执行会议开支范围，认真遵守会议及培训制度，严格控制公务活动规模，切实做到从简节约，体现效能。4.严格控制一般性支出和非急非刚性支出，严格落实财政“过紧日子”政策，降低预算支出，努力降低机关运行成本，启用事前，事中，事后项目绩效的跟踪评价等措施，降低项目的总运行成本，严禁超预算支出购买政府性服务等。</w:t>
            </w:r>
          </w:p>
        </w:tc>
      </w:tr>
    </w:tbl>
    <w:p>
      <w:pPr>
        <w:pStyle w:val="7"/>
        <w:keepNext w:val="0"/>
        <w:keepLines w:val="0"/>
        <w:pageBreakBefore w:val="0"/>
        <w:widowControl/>
        <w:kinsoku/>
        <w:wordWrap/>
        <w:overflowPunct/>
        <w:topLinePunct w:val="0"/>
        <w:autoSpaceDE/>
        <w:autoSpaceDN/>
        <w:bidi w:val="0"/>
        <w:adjustRightInd/>
        <w:snapToGrid/>
        <w:jc w:val="both"/>
        <w:textAlignment w:val="auto"/>
        <w:rPr>
          <w:rFonts w:hint="default" w:ascii="仿宋_GB2312" w:hAnsi="仿宋_GB2312" w:eastAsia="仿宋_GB2312" w:cs="仿宋_GB2312"/>
          <w:sz w:val="32"/>
          <w:szCs w:val="32"/>
          <w:lang w:val="en-US" w:eastAsia="zh-CN"/>
        </w:rPr>
      </w:pP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sectPr>
          <w:footerReference r:id="rId3" w:type="default"/>
          <w:pgSz w:w="11906" w:h="16838"/>
          <w:pgMar w:top="1701" w:right="1474" w:bottom="1701" w:left="1474" w:header="851" w:footer="992" w:gutter="0"/>
          <w:pgNumType w:fmt="numberInDash"/>
          <w:cols w:space="425" w:num="1"/>
          <w:titlePg/>
          <w:docGrid w:type="lines" w:linePitch="312" w:charSpace="0"/>
        </w:sectPr>
      </w:pPr>
    </w:p>
    <w:tbl>
      <w:tblPr>
        <w:tblStyle w:val="8"/>
        <w:tblW w:w="135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6"/>
        <w:gridCol w:w="908"/>
        <w:gridCol w:w="1206"/>
        <w:gridCol w:w="1947"/>
        <w:gridCol w:w="1715"/>
        <w:gridCol w:w="1933"/>
        <w:gridCol w:w="334"/>
        <w:gridCol w:w="693"/>
        <w:gridCol w:w="917"/>
        <w:gridCol w:w="1114"/>
        <w:gridCol w:w="1115"/>
        <w:gridCol w:w="1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27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预算部门名称</w:t>
            </w:r>
          </w:p>
        </w:tc>
        <w:tc>
          <w:tcPr>
            <w:tcW w:w="10859"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岳阳市公路建设和养护中心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27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Microsoft YaHei UI" w:hAnsi="Microsoft YaHei UI" w:eastAsia="Microsoft YaHei UI" w:cs="Microsoft YaHei UI"/>
                <w:i w:val="0"/>
                <w:iCs w:val="0"/>
                <w:color w:val="000000"/>
                <w:sz w:val="20"/>
                <w:szCs w:val="20"/>
                <w:u w:val="none"/>
              </w:rPr>
            </w:pPr>
            <w:r>
              <w:rPr>
                <w:rFonts w:hint="eastAsia" w:ascii="Microsoft YaHei UI" w:hAnsi="Microsoft YaHei UI" w:eastAsia="Microsoft YaHei UI" w:cs="Microsoft YaHei UI"/>
                <w:i w:val="0"/>
                <w:iCs w:val="0"/>
                <w:color w:val="000000"/>
                <w:kern w:val="0"/>
                <w:sz w:val="20"/>
                <w:szCs w:val="20"/>
                <w:u w:val="none"/>
                <w:lang w:val="en-US" w:eastAsia="zh-CN" w:bidi="ar"/>
              </w:rPr>
              <w:t>年度预算申请</w:t>
            </w:r>
            <w:r>
              <w:rPr>
                <w:rFonts w:hint="eastAsia" w:ascii="Microsoft YaHei UI" w:hAnsi="Microsoft YaHei UI" w:eastAsia="Microsoft YaHei UI" w:cs="Microsoft YaHei UI"/>
                <w:i w:val="0"/>
                <w:iCs w:val="0"/>
                <w:color w:val="000000"/>
                <w:kern w:val="0"/>
                <w:sz w:val="20"/>
                <w:szCs w:val="20"/>
                <w:u w:val="none"/>
                <w:lang w:val="en-US" w:eastAsia="zh-CN" w:bidi="ar"/>
              </w:rPr>
              <w:br w:type="textWrapping"/>
            </w:r>
            <w:r>
              <w:rPr>
                <w:rFonts w:hint="eastAsia" w:ascii="Microsoft YaHei UI" w:hAnsi="Microsoft YaHei UI" w:eastAsia="Microsoft YaHei UI" w:cs="Microsoft YaHei UI"/>
                <w:i w:val="0"/>
                <w:iCs w:val="0"/>
                <w:color w:val="000000"/>
                <w:kern w:val="0"/>
                <w:sz w:val="20"/>
                <w:szCs w:val="20"/>
                <w:u w:val="none"/>
                <w:lang w:val="en-US" w:eastAsia="zh-CN" w:bidi="ar"/>
              </w:rPr>
              <w:t>(万元)</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kern w:val="0"/>
                <w:sz w:val="20"/>
                <w:szCs w:val="20"/>
                <w:u w:val="none"/>
                <w:lang w:val="en-US" w:eastAsia="zh-CN" w:bidi="ar"/>
              </w:rPr>
            </w:pPr>
            <w:r>
              <w:rPr>
                <w:rFonts w:hint="eastAsia" w:ascii="仿宋_GB2312" w:hAnsi="宋体" w:eastAsia="仿宋_GB2312" w:cs="仿宋_GB2312"/>
                <w:b/>
                <w:bCs/>
                <w:i w:val="0"/>
                <w:iCs w:val="0"/>
                <w:color w:val="000000"/>
                <w:kern w:val="0"/>
                <w:sz w:val="20"/>
                <w:szCs w:val="20"/>
                <w:u w:val="none"/>
                <w:lang w:val="en-US" w:eastAsia="zh-CN" w:bidi="ar"/>
              </w:rPr>
              <w:t>年初预算数</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(万元)</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全年预算数（万元）</w:t>
            </w:r>
          </w:p>
        </w:tc>
        <w:tc>
          <w:tcPr>
            <w:tcW w:w="194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全年执行数（万元）</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分值</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执行率</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年度资金总额：</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9701.09</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23035.44</w:t>
            </w:r>
          </w:p>
        </w:tc>
        <w:tc>
          <w:tcPr>
            <w:tcW w:w="19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15465.46</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67.13%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75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按收入性质分：</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按支出性质分：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一般公共预算：</w:t>
            </w:r>
          </w:p>
        </w:tc>
        <w:tc>
          <w:tcPr>
            <w:tcW w:w="55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23014.58</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其中:基本支出：</w:t>
            </w:r>
          </w:p>
        </w:tc>
        <w:tc>
          <w:tcPr>
            <w:tcW w:w="22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8837.42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政府性基金拨款：</w:t>
            </w:r>
          </w:p>
        </w:tc>
        <w:tc>
          <w:tcPr>
            <w:tcW w:w="55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0"/>
                <w:szCs w:val="20"/>
                <w:u w:val="none"/>
              </w:rPr>
            </w:pPr>
          </w:p>
        </w:tc>
        <w:tc>
          <w:tcPr>
            <w:tcW w:w="22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8"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纳入专户管理的非税收入拨款：</w:t>
            </w:r>
          </w:p>
        </w:tc>
        <w:tc>
          <w:tcPr>
            <w:tcW w:w="55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0.00</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项目支出：</w:t>
            </w:r>
          </w:p>
        </w:tc>
        <w:tc>
          <w:tcPr>
            <w:tcW w:w="220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6628.03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Microsoft YaHei UI" w:hAnsi="Microsoft YaHei UI" w:eastAsia="Microsoft YaHei UI" w:cs="Microsoft YaHei UI"/>
                <w:i w:val="0"/>
                <w:iCs w:val="0"/>
                <w:color w:val="000000"/>
                <w:sz w:val="20"/>
                <w:szCs w:val="20"/>
                <w:u w:val="none"/>
              </w:rPr>
            </w:pP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其他资金</w:t>
            </w:r>
          </w:p>
        </w:tc>
        <w:tc>
          <w:tcPr>
            <w:tcW w:w="559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20.85</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0"/>
                <w:szCs w:val="20"/>
                <w:u w:val="none"/>
              </w:rPr>
            </w:pPr>
          </w:p>
        </w:tc>
        <w:tc>
          <w:tcPr>
            <w:tcW w:w="220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27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年度总体目标</w:t>
            </w:r>
          </w:p>
        </w:tc>
        <w:tc>
          <w:tcPr>
            <w:tcW w:w="75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预期目标</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6" w:hRule="atLeast"/>
        </w:trPr>
        <w:tc>
          <w:tcPr>
            <w:tcW w:w="27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753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协助开展公路项目前期工作审查相关事务性工作，负责协调实施主体推进规划实施，参与普通国省道建设、改造年度建议计划初审工作，编制普通国省道年度养护计划；负责全市普通国省道建设、改造、养护行业管理的业务指导工作；指导、协调全市普通国省道建设、改造、养护管理工作；负责107国道岳阳段和市区城市道路以外普通公路的建设、养护、路产路权保护及汽车渡运等事务性工作。负责公路行业管理的行政辅助工作；负责指导公路行业安全生产监督和公路交通战备管理的事务性工作。指导、督促公路养护机构维护好公路和公路设施；负责全市公路路网运行监测及养护的技术支撑エ作；负责公路应急物资储备和应急设备装备保障，协调指挥全市国省道应急抢险救援工作。负责涉路行政审批的前置技术审核和涉路施工组织方案的安全风险评估、验收，为公路路政工作提供技术支撑和服务保障工作；配合公路执法机构对公路路产损坏赔补偿进行调查取证，监督执行路损恢复预算与计划。负责全市农村公路建设、养护和行业管理的业务指导和绩效考核；协助编制全市农村公路建养年度计划并监督实施的行政辅助工作。</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严格按照预期目标和计划完成了各项指标任务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绩效指标</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kern w:val="0"/>
                <w:sz w:val="20"/>
                <w:szCs w:val="20"/>
                <w:u w:val="none"/>
                <w:lang w:val="en-US" w:eastAsia="zh-CN" w:bidi="ar"/>
              </w:rPr>
            </w:pPr>
            <w:r>
              <w:rPr>
                <w:rFonts w:hint="eastAsia" w:ascii="仿宋_GB2312" w:hAnsi="宋体" w:eastAsia="仿宋_GB2312" w:cs="仿宋_GB2312"/>
                <w:b/>
                <w:bCs/>
                <w:i w:val="0"/>
                <w:iCs w:val="0"/>
                <w:color w:val="000000"/>
                <w:kern w:val="0"/>
                <w:sz w:val="20"/>
                <w:szCs w:val="20"/>
                <w:u w:val="none"/>
                <w:lang w:val="en-US" w:eastAsia="zh-CN" w:bidi="ar"/>
              </w:rPr>
              <w:t>一级</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指标</w:t>
            </w:r>
          </w:p>
        </w:tc>
        <w:tc>
          <w:tcPr>
            <w:tcW w:w="12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二级</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指标</w:t>
            </w:r>
          </w:p>
        </w:tc>
        <w:tc>
          <w:tcPr>
            <w:tcW w:w="19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三级指标</w:t>
            </w:r>
          </w:p>
        </w:tc>
        <w:tc>
          <w:tcPr>
            <w:tcW w:w="17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年度指标值</w:t>
            </w:r>
          </w:p>
        </w:tc>
        <w:tc>
          <w:tcPr>
            <w:tcW w:w="2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实际完成值</w:t>
            </w:r>
          </w:p>
        </w:tc>
        <w:tc>
          <w:tcPr>
            <w:tcW w:w="6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分值</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得分</w:t>
            </w:r>
          </w:p>
        </w:tc>
        <w:tc>
          <w:tcPr>
            <w:tcW w:w="332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120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2"/>
                <w:szCs w:val="22"/>
                <w:u w:val="none"/>
              </w:rPr>
            </w:pPr>
          </w:p>
        </w:tc>
        <w:tc>
          <w:tcPr>
            <w:tcW w:w="1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1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2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0"/>
                <w:szCs w:val="20"/>
                <w:u w:val="none"/>
              </w:rPr>
            </w:pPr>
          </w:p>
        </w:tc>
        <w:tc>
          <w:tcPr>
            <w:tcW w:w="6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宋体" w:eastAsia="仿宋_GB2312" w:cs="仿宋_GB2312"/>
                <w:b/>
                <w:bCs/>
                <w:i w:val="0"/>
                <w:iCs w:val="0"/>
                <w:color w:val="000000"/>
                <w:sz w:val="20"/>
                <w:szCs w:val="20"/>
                <w:u w:val="none"/>
              </w:rPr>
            </w:pPr>
          </w:p>
        </w:tc>
        <w:tc>
          <w:tcPr>
            <w:tcW w:w="33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trPr>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绩效指标</w:t>
            </w: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产出指标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工作进展</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23035.44万元</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15465.46万元</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未完成的数额为G107大修项目，该项目为跨年度项目，于2024年3月开工。改进措施：2024年已按工程进度拨付工程经费。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综合考评</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合格</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合格</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按照计划和进度完成本年度维护管理工作</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2023年全年</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2023年全年</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效益指标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经济效益指标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有效促进经济发展</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有所促进</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有所促进</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提高交通畅通率</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社会效益良好</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社会效益良好</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生态效益指标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生态环境改善情况</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生态效益较好</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生态效益较好</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可持续影响指标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提升岳阳形象，美化城市</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可持续影响</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可持续影响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满意度指标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服务对象满意度指标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市民满意度</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90%以上</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90%以上</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成本指标</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经济成本指标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控制支出在预算内</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未超出预算</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未超出预算</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社会成本指标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对社会发展，公共福利造成的负面影响</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未造成负面影响</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未造成负面影响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9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rPr>
                <w:rFonts w:hint="eastAsia" w:ascii="仿宋_GB2312" w:hAnsi="宋体" w:eastAsia="仿宋_GB2312" w:cs="仿宋_GB2312"/>
                <w:i w:val="0"/>
                <w:iCs w:val="0"/>
                <w:color w:val="000000"/>
                <w:sz w:val="20"/>
                <w:szCs w:val="20"/>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生态环境成本指标</w:t>
            </w:r>
          </w:p>
        </w:tc>
        <w:tc>
          <w:tcPr>
            <w:tcW w:w="1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对自然生态环境可能造成的负面影响</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未造成负面影响</w:t>
            </w:r>
          </w:p>
        </w:tc>
        <w:tc>
          <w:tcPr>
            <w:tcW w:w="22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未造成负面影响</w:t>
            </w:r>
          </w:p>
        </w:tc>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2"/>
                <w:szCs w:val="22"/>
                <w:u w:val="none"/>
              </w:rPr>
            </w:pPr>
          </w:p>
        </w:tc>
      </w:tr>
    </w:tbl>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sectPr>
          <w:pgSz w:w="16838" w:h="11906" w:orient="landscape"/>
          <w:pgMar w:top="1474" w:right="1701" w:bottom="1126" w:left="1701" w:header="851" w:footer="992" w:gutter="0"/>
          <w:pgNumType w:fmt="numberInDash"/>
          <w:cols w:space="0" w:num="1"/>
          <w:rtlGutter w:val="0"/>
          <w:docGrid w:type="lines" w:linePitch="319" w:charSpace="0"/>
        </w:sectPr>
      </w:pPr>
    </w:p>
    <w:tbl>
      <w:tblPr>
        <w:tblStyle w:val="8"/>
        <w:tblW w:w="137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4"/>
        <w:gridCol w:w="1132"/>
        <w:gridCol w:w="1518"/>
        <w:gridCol w:w="1574"/>
        <w:gridCol w:w="1455"/>
        <w:gridCol w:w="1824"/>
        <w:gridCol w:w="1258"/>
        <w:gridCol w:w="1854"/>
        <w:gridCol w:w="1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项目支出名称</w:t>
            </w:r>
          </w:p>
        </w:tc>
        <w:tc>
          <w:tcPr>
            <w:tcW w:w="12275" w:type="dxa"/>
            <w:gridSpan w:val="8"/>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解决公路体制改革遗留债务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2275" w:type="dxa"/>
            <w:gridSpan w:val="8"/>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主管部门</w:t>
            </w:r>
          </w:p>
        </w:tc>
        <w:tc>
          <w:tcPr>
            <w:tcW w:w="5679" w:type="dxa"/>
            <w:gridSpan w:val="4"/>
            <w:tcBorders>
              <w:top w:val="nil"/>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8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实施单位</w:t>
            </w:r>
          </w:p>
        </w:tc>
        <w:tc>
          <w:tcPr>
            <w:tcW w:w="4772" w:type="dxa"/>
            <w:gridSpan w:val="3"/>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岳阳市公路建设和养护中心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项目资金(万元)</w:t>
            </w:r>
          </w:p>
        </w:tc>
        <w:tc>
          <w:tcPr>
            <w:tcW w:w="2650" w:type="dxa"/>
            <w:gridSpan w:val="2"/>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 xml:space="preserve">     资金来源</w:t>
            </w:r>
          </w:p>
        </w:tc>
        <w:tc>
          <w:tcPr>
            <w:tcW w:w="1574" w:type="dxa"/>
            <w:vMerge w:val="restart"/>
            <w:tcBorders>
              <w:top w:val="nil"/>
              <w:left w:val="single" w:color="000000" w:sz="8"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年初预算数</w:t>
            </w:r>
          </w:p>
        </w:tc>
        <w:tc>
          <w:tcPr>
            <w:tcW w:w="1455" w:type="dxa"/>
            <w:vMerge w:val="restart"/>
            <w:tcBorders>
              <w:top w:val="nil"/>
              <w:left w:val="single" w:color="000000" w:sz="8"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全年预算数</w:t>
            </w:r>
          </w:p>
        </w:tc>
        <w:tc>
          <w:tcPr>
            <w:tcW w:w="1824" w:type="dxa"/>
            <w:vMerge w:val="restart"/>
            <w:tcBorders>
              <w:top w:val="single" w:color="000000" w:sz="8" w:space="0"/>
              <w:left w:val="single" w:color="000000" w:sz="8"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全年执行数</w:t>
            </w:r>
          </w:p>
        </w:tc>
        <w:tc>
          <w:tcPr>
            <w:tcW w:w="125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分值</w:t>
            </w:r>
          </w:p>
        </w:tc>
        <w:tc>
          <w:tcPr>
            <w:tcW w:w="185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执行率</w:t>
            </w:r>
          </w:p>
        </w:tc>
        <w:tc>
          <w:tcPr>
            <w:tcW w:w="16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265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574" w:type="dxa"/>
            <w:vMerge w:val="continue"/>
            <w:tcBorders>
              <w:top w:val="nil"/>
              <w:left w:val="single" w:color="000000" w:sz="8" w:space="0"/>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455" w:type="dxa"/>
            <w:vMerge w:val="continue"/>
            <w:tcBorders>
              <w:top w:val="nil"/>
              <w:left w:val="single" w:color="000000" w:sz="8" w:space="0"/>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24" w:type="dxa"/>
            <w:vMerge w:val="continue"/>
            <w:tcBorders>
              <w:top w:val="single" w:color="000000" w:sz="8" w:space="0"/>
              <w:left w:val="single" w:color="000000" w:sz="8" w:space="0"/>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25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5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6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2650"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其中:当年财政拨款</w:t>
            </w:r>
          </w:p>
        </w:tc>
        <w:tc>
          <w:tcPr>
            <w:tcW w:w="157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455"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2650"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上年结转金额</w:t>
            </w:r>
          </w:p>
        </w:tc>
        <w:tc>
          <w:tcPr>
            <w:tcW w:w="157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455"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2650"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其它资金</w:t>
            </w:r>
          </w:p>
        </w:tc>
        <w:tc>
          <w:tcPr>
            <w:tcW w:w="157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455"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2650"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年度资金总额</w:t>
            </w:r>
          </w:p>
        </w:tc>
        <w:tc>
          <w:tcPr>
            <w:tcW w:w="157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455"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年度总体目标</w:t>
            </w:r>
          </w:p>
        </w:tc>
        <w:tc>
          <w:tcPr>
            <w:tcW w:w="5679" w:type="dxa"/>
            <w:gridSpan w:val="4"/>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预期目标</w:t>
            </w:r>
          </w:p>
        </w:tc>
        <w:tc>
          <w:tcPr>
            <w:tcW w:w="6596" w:type="dxa"/>
            <w:gridSpan w:val="4"/>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实际完成情况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5679" w:type="dxa"/>
            <w:gridSpan w:val="4"/>
            <w:vMerge w:val="restart"/>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市公路建设和养护中心共计欠拨县区建养中心4800万元，市财政预算30%消化欠款，2023、2024、2025年每年预算10%，县区有关矛盾由我中心负责协调、处理，矛盾不上交市政府。</w:t>
            </w:r>
          </w:p>
        </w:tc>
        <w:tc>
          <w:tcPr>
            <w:tcW w:w="6596" w:type="dxa"/>
            <w:gridSpan w:val="4"/>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已完成年初预期目标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5679" w:type="dxa"/>
            <w:gridSpan w:val="4"/>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6596" w:type="dxa"/>
            <w:gridSpan w:val="4"/>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5679" w:type="dxa"/>
            <w:gridSpan w:val="4"/>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6596" w:type="dxa"/>
            <w:gridSpan w:val="4"/>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绩效指标</w:t>
            </w:r>
          </w:p>
        </w:tc>
        <w:tc>
          <w:tcPr>
            <w:tcW w:w="113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一级指标</w:t>
            </w:r>
          </w:p>
        </w:tc>
        <w:tc>
          <w:tcPr>
            <w:tcW w:w="151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二级指标</w:t>
            </w:r>
          </w:p>
        </w:tc>
        <w:tc>
          <w:tcPr>
            <w:tcW w:w="1574"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三级指标</w:t>
            </w:r>
          </w:p>
        </w:tc>
        <w:tc>
          <w:tcPr>
            <w:tcW w:w="1455" w:type="dxa"/>
            <w:vMerge w:val="restart"/>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年度指标值</w:t>
            </w:r>
          </w:p>
        </w:tc>
        <w:tc>
          <w:tcPr>
            <w:tcW w:w="1824" w:type="dxa"/>
            <w:vMerge w:val="restart"/>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实际完成值</w:t>
            </w:r>
          </w:p>
        </w:tc>
        <w:tc>
          <w:tcPr>
            <w:tcW w:w="125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分值</w:t>
            </w:r>
          </w:p>
        </w:tc>
        <w:tc>
          <w:tcPr>
            <w:tcW w:w="1854"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得分</w:t>
            </w:r>
          </w:p>
        </w:tc>
        <w:tc>
          <w:tcPr>
            <w:tcW w:w="16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51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57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455" w:type="dxa"/>
            <w:vMerge w:val="continue"/>
            <w:tcBorders>
              <w:top w:val="nil"/>
              <w:left w:val="nil"/>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24"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25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5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6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51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57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455" w:type="dxa"/>
            <w:vMerge w:val="continue"/>
            <w:tcBorders>
              <w:top w:val="nil"/>
              <w:left w:val="nil"/>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24"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258"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85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c>
          <w:tcPr>
            <w:tcW w:w="16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产出指标</w:t>
            </w: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数量指标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拨付金额</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480万元</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480万元</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质量指标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债务化解覆盖率</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 </w:t>
            </w:r>
            <w:r>
              <w:rPr>
                <w:rStyle w:val="12"/>
                <w:lang w:val="en-US" w:eastAsia="zh-CN" w:bidi="ar"/>
              </w:rPr>
              <w:t xml:space="preserve"> 100%</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时效指标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拨付时间</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年底前拨付到位</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年底前拨付到位</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效益指标</w:t>
            </w: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经济效益指标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经济平稳发展</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经济水平得以保持稳定并有所上升</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经济水平得以保持稳定并有所上升</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社会效益指标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县区公路部门良性发展</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县区公路部门良性发展</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县区公路部门良性发展</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生态效益指标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实现可持续发展</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实现可持续发展</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实现可持续发展</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可持续影响指标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财政资金补助长效机制</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可持续影响</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可持续影响</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满意度指标</w:t>
            </w: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服务对象满意度指标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受益对象满意度</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≥95%</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 </w:t>
            </w:r>
            <w:r>
              <w:rPr>
                <w:rStyle w:val="12"/>
                <w:lang w:val="en-US" w:eastAsia="zh-CN" w:bidi="ar"/>
              </w:rPr>
              <w:t xml:space="preserve"> ≥95%</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成本指标</w:t>
            </w: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经济成本指标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按文件每年消化480万元</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按市政府会议规定拨付</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按市政府会议规定拨付</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社会成本指标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对社会发展可能造成的负面影响</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无负面影响</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无负面影响</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1484"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132"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c>
          <w:tcPr>
            <w:tcW w:w="151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生态环境成本指标</w:t>
            </w:r>
          </w:p>
        </w:tc>
        <w:tc>
          <w:tcPr>
            <w:tcW w:w="157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对生态环境可能造成的负面影响</w:t>
            </w:r>
          </w:p>
        </w:tc>
        <w:tc>
          <w:tcPr>
            <w:tcW w:w="1455" w:type="dxa"/>
            <w:tcBorders>
              <w:top w:val="nil"/>
              <w:left w:val="nil"/>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无负面影响</w:t>
            </w:r>
          </w:p>
        </w:tc>
        <w:tc>
          <w:tcPr>
            <w:tcW w:w="1824" w:type="dxa"/>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 </w:t>
            </w:r>
            <w:r>
              <w:rPr>
                <w:rStyle w:val="12"/>
                <w:lang w:val="en-US" w:eastAsia="zh-CN" w:bidi="ar"/>
              </w:rPr>
              <w:t xml:space="preserve"> 无负面影响</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trPr>
        <w:tc>
          <w:tcPr>
            <w:tcW w:w="8987" w:type="dxa"/>
            <w:gridSpan w:val="6"/>
            <w:tcBorders>
              <w:top w:val="nil"/>
              <w:left w:val="single" w:color="000000" w:sz="8" w:space="0"/>
              <w:bottom w:val="single" w:color="000000" w:sz="8"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总分</w:t>
            </w:r>
          </w:p>
        </w:tc>
        <w:tc>
          <w:tcPr>
            <w:tcW w:w="12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w:t>
            </w:r>
          </w:p>
        </w:tc>
        <w:tc>
          <w:tcPr>
            <w:tcW w:w="18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96.00</w:t>
            </w:r>
          </w:p>
        </w:tc>
        <w:tc>
          <w:tcPr>
            <w:tcW w:w="1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微软雅黑" w:hAnsi="微软雅黑" w:eastAsia="微软雅黑" w:cs="微软雅黑"/>
                <w:i w:val="0"/>
                <w:iCs w:val="0"/>
                <w:color w:val="000000"/>
                <w:sz w:val="24"/>
                <w:szCs w:val="24"/>
                <w:u w:val="none"/>
              </w:rPr>
            </w:pPr>
          </w:p>
        </w:tc>
      </w:tr>
    </w:tbl>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706485" cy="5568950"/>
            <wp:effectExtent l="0" t="0" r="18415" b="12700"/>
            <wp:docPr id="1" name="图片 1" descr="临湖路、学院路维护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临湖路、学院路维护_00"/>
                    <pic:cNvPicPr>
                      <a:picLocks noChangeAspect="1"/>
                    </pic:cNvPicPr>
                  </pic:nvPicPr>
                  <pic:blipFill>
                    <a:blip r:embed="rId5"/>
                    <a:stretch>
                      <a:fillRect/>
                    </a:stretch>
                  </pic:blipFill>
                  <pic:spPr>
                    <a:xfrm>
                      <a:off x="0" y="0"/>
                      <a:ext cx="8706485" cy="556895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774430" cy="5684520"/>
            <wp:effectExtent l="0" t="0" r="7620" b="11430"/>
            <wp:docPr id="2" name="图片 2" descr="死亡一次性抚恤及遗属生活困难补助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死亡一次性抚恤及遗属生活困难补助_00"/>
                    <pic:cNvPicPr>
                      <a:picLocks noChangeAspect="1"/>
                    </pic:cNvPicPr>
                  </pic:nvPicPr>
                  <pic:blipFill>
                    <a:blip r:embed="rId6"/>
                    <a:stretch>
                      <a:fillRect/>
                    </a:stretch>
                  </pic:blipFill>
                  <pic:spPr>
                    <a:xfrm>
                      <a:off x="0" y="0"/>
                      <a:ext cx="8774430" cy="568452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707120" cy="5684520"/>
            <wp:effectExtent l="0" t="0" r="17780" b="11430"/>
            <wp:docPr id="3" name="图片 3" descr="湘北大道配套设施维护和道路保洁经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北大道配套设施维护和道路保洁经费_00"/>
                    <pic:cNvPicPr>
                      <a:picLocks noChangeAspect="1"/>
                    </pic:cNvPicPr>
                  </pic:nvPicPr>
                  <pic:blipFill>
                    <a:blip r:embed="rId7"/>
                    <a:stretch>
                      <a:fillRect/>
                    </a:stretch>
                  </pic:blipFill>
                  <pic:spPr>
                    <a:xfrm>
                      <a:off x="0" y="0"/>
                      <a:ext cx="8707120" cy="568452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924290" cy="5684520"/>
            <wp:effectExtent l="0" t="0" r="10160" b="11430"/>
            <wp:docPr id="4" name="图片 4" descr="政府电子政务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政府电子政务_00"/>
                    <pic:cNvPicPr>
                      <a:picLocks noChangeAspect="1"/>
                    </pic:cNvPicPr>
                  </pic:nvPicPr>
                  <pic:blipFill>
                    <a:blip r:embed="rId8"/>
                    <a:stretch>
                      <a:fillRect/>
                    </a:stretch>
                  </pic:blipFill>
                  <pic:spPr>
                    <a:xfrm>
                      <a:off x="0" y="0"/>
                      <a:ext cx="8924290" cy="568452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883650" cy="5684520"/>
            <wp:effectExtent l="0" t="0" r="12700" b="11430"/>
            <wp:docPr id="5" name="图片 5" descr="综合绩效奖和平安岳阳建设奖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综合绩效奖和平安岳阳建设奖_00"/>
                    <pic:cNvPicPr>
                      <a:picLocks noChangeAspect="1"/>
                    </pic:cNvPicPr>
                  </pic:nvPicPr>
                  <pic:blipFill>
                    <a:blip r:embed="rId9"/>
                    <a:stretch>
                      <a:fillRect/>
                    </a:stretch>
                  </pic:blipFill>
                  <pic:spPr>
                    <a:xfrm>
                      <a:off x="0" y="0"/>
                      <a:ext cx="8883650" cy="568452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8938260" cy="5684520"/>
            <wp:effectExtent l="0" t="0" r="15240" b="11430"/>
            <wp:docPr id="6" name="图片 6" descr="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_00"/>
                    <pic:cNvPicPr>
                      <a:picLocks noChangeAspect="1"/>
                    </pic:cNvPicPr>
                  </pic:nvPicPr>
                  <pic:blipFill>
                    <a:blip r:embed="rId10"/>
                    <a:stretch>
                      <a:fillRect/>
                    </a:stretch>
                  </pic:blipFill>
                  <pic:spPr>
                    <a:xfrm>
                      <a:off x="0" y="0"/>
                      <a:ext cx="8938260" cy="5684520"/>
                    </a:xfrm>
                    <a:prstGeom prst="rect">
                      <a:avLst/>
                    </a:prstGeom>
                  </pic:spPr>
                </pic:pic>
              </a:graphicData>
            </a:graphic>
          </wp:inline>
        </w:drawing>
      </w:r>
    </w:p>
    <w:sectPr>
      <w:pgSz w:w="16838" w:h="11906" w:orient="landscape"/>
      <w:pgMar w:top="1474" w:right="1701" w:bottom="1474" w:left="1701"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10601030101010101"/>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80899"/>
    <w:multiLevelType w:val="singleLevel"/>
    <w:tmpl w:val="F5D8089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mNiMWQ4OWU3ZGI1YjZkMzJjZmM3MWI1NzIwOTQifQ=="/>
  </w:docVars>
  <w:rsids>
    <w:rsidRoot w:val="00172A27"/>
    <w:rsid w:val="0D4C6FA8"/>
    <w:rsid w:val="131123F8"/>
    <w:rsid w:val="13913D40"/>
    <w:rsid w:val="15184570"/>
    <w:rsid w:val="18B45184"/>
    <w:rsid w:val="19FB4224"/>
    <w:rsid w:val="1B872AB8"/>
    <w:rsid w:val="1DC17117"/>
    <w:rsid w:val="1ED00720"/>
    <w:rsid w:val="1FB35111"/>
    <w:rsid w:val="20AD1C9D"/>
    <w:rsid w:val="24F2052C"/>
    <w:rsid w:val="32D0434A"/>
    <w:rsid w:val="35EA6911"/>
    <w:rsid w:val="387C443B"/>
    <w:rsid w:val="388E1DFE"/>
    <w:rsid w:val="42E961B7"/>
    <w:rsid w:val="436C2AC8"/>
    <w:rsid w:val="56985B8E"/>
    <w:rsid w:val="5E4D1655"/>
    <w:rsid w:val="6021434D"/>
    <w:rsid w:val="66EC0CA8"/>
    <w:rsid w:val="67E16B8B"/>
    <w:rsid w:val="70DD1E39"/>
    <w:rsid w:val="758F276A"/>
    <w:rsid w:val="78C1097C"/>
    <w:rsid w:val="796A3742"/>
    <w:rsid w:val="7FDE1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4"/>
    <w:unhideWhenUsed/>
    <w:qFormat/>
    <w:uiPriority w:val="99"/>
    <w:pPr>
      <w:spacing w:after="120"/>
    </w:pPr>
  </w:style>
  <w:style w:type="paragraph" w:customStyle="1" w:styleId="4">
    <w:name w:val="正文首行缩进1"/>
    <w:basedOn w:val="1"/>
    <w:qFormat/>
    <w:uiPriority w:val="0"/>
    <w:pPr>
      <w:spacing w:after="120"/>
      <w:ind w:firstLine="420" w:firstLineChars="100"/>
    </w:pPr>
    <w:rPr>
      <w:rFonts w:ascii="Times New Roman" w:hAnsi="Times New Roman"/>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0">
    <w:name w:val="Strong"/>
    <w:basedOn w:val="9"/>
    <w:qFormat/>
    <w:uiPriority w:val="0"/>
    <w:rPr>
      <w:b/>
    </w:rPr>
  </w:style>
  <w:style w:type="paragraph" w:styleId="11">
    <w:name w:val="List Paragraph"/>
    <w:basedOn w:val="1"/>
    <w:qFormat/>
    <w:uiPriority w:val="99"/>
    <w:pPr>
      <w:ind w:firstLine="420" w:firstLineChars="200"/>
    </w:pPr>
    <w:rPr>
      <w:rFonts w:ascii="Calibri" w:hAnsi="Calibri"/>
      <w:szCs w:val="22"/>
    </w:rPr>
  </w:style>
  <w:style w:type="character" w:customStyle="1" w:styleId="12">
    <w:name w:val="font21"/>
    <w:basedOn w:val="9"/>
    <w:uiPriority w:val="0"/>
    <w:rPr>
      <w:rFonts w:hint="eastAsia"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5769</Words>
  <Characters>6152</Characters>
  <Lines>0</Lines>
  <Paragraphs>0</Paragraphs>
  <TotalTime>12</TotalTime>
  <ScaleCrop>false</ScaleCrop>
  <LinksUpToDate>false</LinksUpToDate>
  <CharactersWithSpaces>6191</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2022-12-21T08:26:00Z</dcterms:created>
  <dc:creator>mao</dc:creator>
  <cp:lastModifiedBy>lenovo</cp:lastModifiedBy>
  <cp:lastPrinted>2022-12-26T06:53:00Z</cp:lastPrinted>
  <dcterms:modified xsi:type="dcterms:W3CDTF">2024-09-26T06:21:20Z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7A9D0A66316D4545A9CC09680163B83D</vt:lpwstr>
  </property>
</Properties>
</file>