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sz w:val="56"/>
          <w:szCs w:val="56"/>
        </w:rPr>
      </w:pPr>
    </w:p>
    <w:p>
      <w:pPr>
        <w:pStyle w:val="17"/>
        <w:jc w:val="center"/>
        <w:rPr>
          <w:sz w:val="56"/>
          <w:szCs w:val="56"/>
        </w:rPr>
      </w:pPr>
    </w:p>
    <w:p>
      <w:pPr>
        <w:pStyle w:val="17"/>
        <w:jc w:val="center"/>
        <w:rPr>
          <w:sz w:val="84"/>
          <w:szCs w:val="84"/>
        </w:rPr>
      </w:pPr>
    </w:p>
    <w:p>
      <w:pPr>
        <w:pStyle w:val="17"/>
        <w:jc w:val="center"/>
        <w:rPr>
          <w:sz w:val="84"/>
          <w:szCs w:val="84"/>
        </w:rPr>
      </w:pPr>
    </w:p>
    <w:p>
      <w:pPr>
        <w:pStyle w:val="17"/>
        <w:jc w:val="center"/>
        <w:rPr>
          <w:sz w:val="84"/>
          <w:szCs w:val="84"/>
        </w:rPr>
      </w:pPr>
    </w:p>
    <w:p>
      <w:pPr>
        <w:pStyle w:val="17"/>
        <w:jc w:val="center"/>
        <w:rPr>
          <w:rFonts w:hint="eastAsia" w:ascii="方正小标宋简体" w:hAnsi="方正小标宋简体" w:eastAsia="方正小标宋简体" w:cs="方正小标宋简体"/>
          <w:b/>
          <w:bCs/>
          <w:color w:val="000000"/>
          <w:sz w:val="72"/>
          <w:szCs w:val="72"/>
        </w:rPr>
      </w:pPr>
      <w:r>
        <w:rPr>
          <w:rFonts w:hint="eastAsia" w:ascii="方正小标宋简体" w:hAnsi="方正小标宋简体" w:eastAsia="方正小标宋简体" w:cs="方正小标宋简体"/>
          <w:b/>
          <w:bCs/>
          <w:sz w:val="72"/>
          <w:szCs w:val="72"/>
        </w:rPr>
        <w:t>202</w:t>
      </w:r>
      <w:r>
        <w:rPr>
          <w:rFonts w:hint="eastAsia" w:ascii="方正小标宋简体" w:hAnsi="方正小标宋简体" w:eastAsia="方正小标宋简体" w:cs="方正小标宋简体"/>
          <w:b/>
          <w:bCs/>
          <w:sz w:val="72"/>
          <w:szCs w:val="72"/>
          <w:lang w:val="en-US" w:eastAsia="zh-CN"/>
        </w:rPr>
        <w:t>3</w:t>
      </w:r>
      <w:r>
        <w:rPr>
          <w:rFonts w:hint="eastAsia" w:ascii="方正小标宋简体" w:hAnsi="方正小标宋简体" w:eastAsia="方正小标宋简体" w:cs="方正小标宋简体"/>
          <w:b/>
          <w:bCs/>
          <w:sz w:val="72"/>
          <w:szCs w:val="72"/>
        </w:rPr>
        <w:t>年度</w:t>
      </w:r>
      <w:r>
        <w:rPr>
          <w:rFonts w:hint="eastAsia" w:ascii="方正小标宋简体" w:hAnsi="方正小标宋简体" w:eastAsia="方正小标宋简体" w:cs="方正小标宋简体"/>
          <w:b/>
          <w:bCs/>
          <w:color w:val="000000"/>
          <w:sz w:val="72"/>
          <w:szCs w:val="72"/>
        </w:rPr>
        <w:t>岳阳市智慧城管指挥</w:t>
      </w:r>
    </w:p>
    <w:p>
      <w:pPr>
        <w:pStyle w:val="17"/>
        <w:jc w:val="center"/>
        <w:rPr>
          <w:rFonts w:hint="eastAsia" w:ascii="方正小标宋简体" w:hAnsi="方正小标宋简体" w:eastAsia="方正小标宋简体" w:cs="方正小标宋简体"/>
          <w:b/>
          <w:bCs/>
          <w:sz w:val="72"/>
          <w:szCs w:val="72"/>
        </w:rPr>
      </w:pPr>
      <w:r>
        <w:rPr>
          <w:rFonts w:hint="eastAsia" w:ascii="方正小标宋简体" w:hAnsi="方正小标宋简体" w:eastAsia="方正小标宋简体" w:cs="方正小标宋简体"/>
          <w:b/>
          <w:bCs/>
          <w:color w:val="000000"/>
          <w:sz w:val="72"/>
          <w:szCs w:val="72"/>
        </w:rPr>
        <w:t>中心</w:t>
      </w:r>
      <w:r>
        <w:rPr>
          <w:rFonts w:hint="eastAsia" w:ascii="方正小标宋简体" w:hAnsi="方正小标宋简体" w:eastAsia="方正小标宋简体" w:cs="方正小标宋简体"/>
          <w:b/>
          <w:bCs/>
          <w:sz w:val="72"/>
          <w:szCs w:val="72"/>
        </w:rPr>
        <w:t>部门决算</w:t>
      </w:r>
    </w:p>
    <w:p>
      <w:pPr>
        <w:pStyle w:val="17"/>
        <w:jc w:val="center"/>
        <w:rPr>
          <w:rFonts w:hint="eastAsia" w:ascii="方正小标宋_GBK" w:hAnsi="方正小标宋_GBK" w:eastAsia="方正小标宋_GBK" w:cs="方正小标宋_GBK"/>
          <w:sz w:val="56"/>
          <w:szCs w:val="56"/>
        </w:rPr>
      </w:pPr>
    </w:p>
    <w:p>
      <w:pPr>
        <w:pStyle w:val="17"/>
        <w:jc w:val="center"/>
        <w:rPr>
          <w:sz w:val="56"/>
          <w:szCs w:val="56"/>
        </w:rPr>
      </w:pPr>
    </w:p>
    <w:p>
      <w:pPr>
        <w:pStyle w:val="17"/>
        <w:jc w:val="center"/>
        <w:rPr>
          <w:sz w:val="56"/>
          <w:szCs w:val="56"/>
        </w:rPr>
      </w:pPr>
    </w:p>
    <w:p>
      <w:pPr>
        <w:pStyle w:val="17"/>
        <w:jc w:val="center"/>
        <w:rPr>
          <w:sz w:val="56"/>
          <w:szCs w:val="56"/>
        </w:rPr>
      </w:pPr>
    </w:p>
    <w:p>
      <w:pPr>
        <w:pStyle w:val="17"/>
        <w:jc w:val="center"/>
        <w:rPr>
          <w:sz w:val="32"/>
          <w:szCs w:val="32"/>
        </w:rPr>
      </w:pPr>
    </w:p>
    <w:p>
      <w:pPr>
        <w:pStyle w:val="17"/>
        <w:jc w:val="center"/>
        <w:rPr>
          <w:sz w:val="32"/>
          <w:szCs w:val="32"/>
        </w:rPr>
      </w:pPr>
    </w:p>
    <w:p>
      <w:pPr>
        <w:pStyle w:val="17"/>
        <w:jc w:val="center"/>
        <w:rPr>
          <w:sz w:val="32"/>
          <w:szCs w:val="32"/>
        </w:rPr>
      </w:pPr>
    </w:p>
    <w:p>
      <w:pPr>
        <w:pStyle w:val="17"/>
        <w:jc w:val="center"/>
        <w:rPr>
          <w:sz w:val="32"/>
          <w:szCs w:val="32"/>
        </w:rPr>
      </w:pPr>
    </w:p>
    <w:p>
      <w:pPr>
        <w:pStyle w:val="17"/>
        <w:spacing w:line="500" w:lineRule="exact"/>
        <w:jc w:val="both"/>
        <w:rPr>
          <w:b/>
          <w:sz w:val="36"/>
          <w:szCs w:val="28"/>
        </w:rPr>
      </w:pPr>
    </w:p>
    <w:p>
      <w:pPr>
        <w:pStyle w:val="17"/>
        <w:spacing w:line="500" w:lineRule="exact"/>
        <w:jc w:val="center"/>
        <w:rPr>
          <w:rFonts w:hint="eastAsia"/>
          <w:b/>
          <w:sz w:val="36"/>
          <w:szCs w:val="28"/>
        </w:rPr>
      </w:pPr>
    </w:p>
    <w:p>
      <w:pPr>
        <w:pStyle w:val="17"/>
        <w:spacing w:line="500" w:lineRule="exact"/>
        <w:jc w:val="center"/>
        <w:rPr>
          <w:b/>
          <w:sz w:val="36"/>
          <w:szCs w:val="28"/>
        </w:rPr>
      </w:pPr>
      <w:r>
        <w:rPr>
          <w:rFonts w:hint="eastAsia"/>
          <w:b/>
          <w:sz w:val="36"/>
          <w:szCs w:val="28"/>
        </w:rPr>
        <w:t>目录</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color w:val="000000"/>
          <w:sz w:val="28"/>
          <w:szCs w:val="28"/>
        </w:rPr>
        <w:t>岳阳市智慧城管指挥中心</w:t>
      </w:r>
      <w:r>
        <w:rPr>
          <w:rFonts w:hint="eastAsia" w:ascii="黑体" w:hAnsi="黑体" w:eastAsia="黑体" w:cs="黑体"/>
          <w:b w:val="0"/>
          <w:bCs/>
          <w:sz w:val="28"/>
          <w:szCs w:val="28"/>
        </w:rPr>
        <w:t>单位概况</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7"/>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7"/>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7"/>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7"/>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7"/>
        <w:jc w:val="both"/>
        <w:rPr>
          <w:rFonts w:hint="eastAsia" w:ascii="方正小标宋_GBK" w:hAnsi="方正小标宋_GBK" w:eastAsia="方正小标宋_GBK" w:cs="方正小标宋_GBK"/>
          <w:sz w:val="48"/>
          <w:szCs w:val="48"/>
        </w:rPr>
      </w:pPr>
    </w:p>
    <w:p>
      <w:pPr>
        <w:pStyle w:val="17"/>
        <w:keepNext w:val="0"/>
        <w:keepLines w:val="0"/>
        <w:pageBreakBefore w:val="0"/>
        <w:widowControl w:val="0"/>
        <w:kinsoku/>
        <w:wordWrap/>
        <w:overflowPunct/>
        <w:topLinePunct w:val="0"/>
        <w:bidi w:val="0"/>
        <w:snapToGrid/>
        <w:spacing w:line="5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 xml:space="preserve">第一部分 </w:t>
      </w:r>
    </w:p>
    <w:p>
      <w:pPr>
        <w:pStyle w:val="17"/>
        <w:keepNext w:val="0"/>
        <w:keepLines w:val="0"/>
        <w:pageBreakBefore w:val="0"/>
        <w:widowControl w:val="0"/>
        <w:kinsoku/>
        <w:wordWrap/>
        <w:overflowPunct/>
        <w:topLinePunct w:val="0"/>
        <w:bidi w:val="0"/>
        <w:snapToGrid/>
        <w:spacing w:line="50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bidi w:val="0"/>
        <w:snapToGrid/>
        <w:spacing w:line="500" w:lineRule="exact"/>
        <w:jc w:val="center"/>
        <w:textAlignment w:val="auto"/>
        <w:rPr>
          <w:rFonts w:hint="eastAsia" w:ascii="方正小标宋_GBK" w:hAnsi="方正小标宋_GBK" w:eastAsia="方正小标宋_GBK" w:cs="方正小标宋_GBK"/>
          <w:sz w:val="84"/>
          <w:szCs w:val="84"/>
        </w:rPr>
      </w:pPr>
      <w:r>
        <w:rPr>
          <w:rFonts w:hint="eastAsia" w:ascii="方正小标宋简体" w:hAnsi="方正小标宋简体" w:eastAsia="方正小标宋简体" w:cs="方正小标宋简体"/>
          <w:b/>
          <w:bCs/>
          <w:color w:val="000000"/>
          <w:sz w:val="44"/>
          <w:szCs w:val="44"/>
        </w:rPr>
        <w:t>岳阳市智慧城管指挥中心</w:t>
      </w:r>
      <w:r>
        <w:rPr>
          <w:rFonts w:hint="eastAsia" w:ascii="方正小标宋简体" w:hAnsi="方正小标宋简体" w:eastAsia="方正小标宋简体" w:cs="方正小标宋简体"/>
          <w:b/>
          <w:bCs/>
          <w:sz w:val="44"/>
          <w:szCs w:val="44"/>
        </w:rPr>
        <w:t>单位概况</w:t>
      </w:r>
    </w:p>
    <w:p>
      <w:pPr>
        <w:pStyle w:val="6"/>
        <w:ind w:left="0" w:leftChars="0" w:firstLine="0" w:firstLineChars="0"/>
        <w:rPr>
          <w:rFonts w:hint="eastAsia" w:ascii="方正小标宋_GBK" w:hAnsi="方正小标宋_GBK" w:eastAsia="方正小标宋_GBK" w:cs="方正小标宋_GBK"/>
          <w:sz w:val="44"/>
          <w:szCs w:val="44"/>
        </w:rPr>
      </w:pPr>
    </w:p>
    <w:p>
      <w:pPr>
        <w:pStyle w:val="18"/>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贯彻执行国家和省有关数字化城市管理的法律法规；</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根据授权负责中心地区数字化城市管理监督、指挥、调度和协调工作；</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负责城市管理监督指挥系统市级平台的日常维护和管理；</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负责对各类城市管理信息的收集、分析和整理，为城市管理现状及市级责任部门、岳阳楼区政府、岳阳经济技术开发区管委会、湖南岳阳洞庭湖旅游度假区管委会和相关责任人履行城市管事职责和情况提供考核评价的依据；</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负责对数字化城市管理信息采集工作和平台受理工作进行监督；</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负责受理数字化城市管理的投诉、举报等有关工作；</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负责对县市区数字化城市管理工作的业务指导；</w:t>
      </w:r>
    </w:p>
    <w:p>
      <w:pPr>
        <w:widowControl/>
        <w:numPr>
          <w:ilvl w:val="0"/>
          <w:numId w:val="2"/>
        </w:numPr>
        <w:adjustRightInd/>
        <w:spacing w:line="60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完成市委、市政府和市城市管理局交办的其他工作。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bCs/>
          <w:kern w:val="0"/>
          <w:sz w:val="32"/>
          <w:szCs w:val="32"/>
        </w:rPr>
        <w:t>（一）内设机构设置。</w:t>
      </w:r>
      <w:r>
        <w:rPr>
          <w:rFonts w:hint="eastAsia" w:ascii="仿宋_GB2312" w:hAnsi="仿宋_GB2312" w:eastAsia="仿宋_GB2312" w:cs="仿宋_GB2312"/>
          <w:color w:val="000000"/>
          <w:sz w:val="32"/>
          <w:szCs w:val="32"/>
        </w:rPr>
        <w:t>岳阳市智慧城管指挥中心</w:t>
      </w:r>
      <w:r>
        <w:rPr>
          <w:rFonts w:hint="eastAsia" w:ascii="Times New Roman" w:hAnsi="Times New Roman" w:eastAsia="仿宋_GB2312" w:cs="仿宋_GB2312"/>
          <w:bCs/>
          <w:kern w:val="0"/>
          <w:sz w:val="32"/>
          <w:szCs w:val="32"/>
        </w:rPr>
        <w:t>内设机构包括：</w:t>
      </w:r>
      <w:r>
        <w:rPr>
          <w:rFonts w:hint="eastAsia" w:ascii="仿宋_GB2312" w:hAnsi="仿宋_GB2312" w:eastAsia="仿宋_GB2312" w:cs="仿宋_GB2312"/>
          <w:sz w:val="32"/>
          <w:szCs w:val="32"/>
        </w:rPr>
        <w:t>综合部、信息采集部、投诉受理部、技术保障部、网站管理部</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个职能部室。</w:t>
      </w:r>
    </w:p>
    <w:p>
      <w:pPr>
        <w:ind w:firstLine="640" w:firstLineChars="200"/>
        <w:jc w:val="left"/>
        <w:rPr>
          <w:rFonts w:ascii="仿宋_GB2312" w:eastAsia="仿宋_GB2312" w:hAnsiTheme="minorEastAsia"/>
          <w:sz w:val="28"/>
          <w:szCs w:val="32"/>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i w:val="0"/>
          <w:iCs w:val="0"/>
          <w:color w:val="auto"/>
          <w:sz w:val="32"/>
          <w:szCs w:val="32"/>
          <w:highlight w:val="white"/>
          <w:lang w:eastAsia="zh-CN"/>
        </w:rPr>
        <w:t>本单位无独立核算的下属单位，</w:t>
      </w:r>
      <w:r>
        <w:rPr>
          <w:rFonts w:hint="eastAsia" w:ascii="仿宋_GB2312" w:hAnsi="仿宋_GB2312" w:eastAsia="仿宋_GB2312" w:cs="仿宋_GB2312"/>
          <w:i w:val="0"/>
          <w:iCs w:val="0"/>
          <w:color w:val="auto"/>
          <w:sz w:val="32"/>
          <w:szCs w:val="32"/>
          <w:highlight w:val="white"/>
          <w:lang w:val="en-US" w:eastAsia="zh-CN"/>
        </w:rPr>
        <w:t>2023年度部门决算汇总公开单位仅包括</w:t>
      </w:r>
      <w:r>
        <w:rPr>
          <w:rFonts w:hint="eastAsia" w:ascii="仿宋_GB2312" w:hAnsi="仿宋_GB2312" w:eastAsia="仿宋_GB2312" w:cs="仿宋_GB2312"/>
          <w:color w:val="auto"/>
          <w:sz w:val="32"/>
          <w:szCs w:val="32"/>
        </w:rPr>
        <w:t>岳阳市智慧城管指挥中心</w:t>
      </w:r>
      <w:r>
        <w:rPr>
          <w:rFonts w:hint="eastAsia" w:ascii="仿宋_GB2312" w:hAnsi="仿宋_GB2312" w:eastAsia="仿宋_GB2312" w:cs="仿宋_GB2312"/>
          <w:i w:val="0"/>
          <w:iCs w:val="0"/>
          <w:color w:val="auto"/>
          <w:sz w:val="32"/>
          <w:szCs w:val="32"/>
          <w:highlight w:val="white"/>
          <w:lang w:val="en-US" w:eastAsia="zh-CN"/>
        </w:rPr>
        <w:t>本级</w:t>
      </w:r>
      <w:r>
        <w:rPr>
          <w:rFonts w:hint="eastAsia" w:ascii="仿宋_GB2312" w:hAnsi="仿宋_GB2312" w:eastAsia="仿宋_GB2312" w:cs="仿宋_GB2312"/>
          <w:i/>
          <w:iCs/>
          <w:color w:val="auto"/>
          <w:sz w:val="32"/>
          <w:szCs w:val="32"/>
          <w:highlight w:val="white"/>
        </w:rPr>
        <w:t>。</w:t>
      </w:r>
    </w:p>
    <w:p/>
    <w:p>
      <w:pPr>
        <w:pStyle w:val="17"/>
        <w:jc w:val="both"/>
        <w:rPr>
          <w:rFonts w:hint="eastAsia" w:ascii="方正小标宋_GBK" w:hAnsi="方正小标宋_GBK" w:eastAsia="方正小标宋_GBK" w:cs="方正小标宋_GBK"/>
          <w:sz w:val="48"/>
          <w:szCs w:val="48"/>
        </w:rPr>
      </w:pPr>
    </w:p>
    <w:p>
      <w:pPr>
        <w:pStyle w:val="17"/>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第二部分</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rPr>
        <w:t>部门决算表</w:t>
      </w:r>
    </w:p>
    <w:p>
      <w:pPr>
        <w:pStyle w:val="17"/>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（见附件）</w:t>
      </w:r>
    </w:p>
    <w:p>
      <w:pPr>
        <w:pStyle w:val="17"/>
        <w:jc w:val="center"/>
        <w:rPr>
          <w:rFonts w:hint="eastAsia" w:ascii="仿宋_GB2312" w:hAnsi="仿宋_GB2312" w:eastAsia="仿宋_GB2312" w:cs="仿宋_GB2312"/>
          <w:b w:val="0"/>
          <w:bCs w:val="0"/>
          <w:sz w:val="72"/>
          <w:szCs w:val="72"/>
          <w:lang w:eastAsia="zh-CN"/>
        </w:rPr>
      </w:pPr>
    </w:p>
    <w:p>
      <w:pPr>
        <w:pStyle w:val="17"/>
        <w:jc w:val="both"/>
        <w:rPr>
          <w:rFonts w:hint="eastAsia" w:ascii="方正小标宋_GBK" w:hAnsi="方正小标宋_GBK" w:eastAsia="方正小标宋_GBK" w:cs="方正小标宋_GBK"/>
          <w:sz w:val="72"/>
          <w:szCs w:val="72"/>
        </w:rPr>
      </w:pPr>
    </w:p>
    <w:p>
      <w:pPr>
        <w:pStyle w:val="17"/>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第三部分</w:t>
      </w:r>
    </w:p>
    <w:p>
      <w:pPr>
        <w:pStyle w:val="17"/>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简体" w:hAnsi="方正小标宋简体" w:eastAsia="方正小标宋简体" w:cs="方正小标宋简体"/>
          <w:b/>
          <w:bCs/>
          <w:sz w:val="44"/>
          <w:szCs w:val="44"/>
        </w:rPr>
      </w:pPr>
    </w:p>
    <w:p>
      <w:pPr>
        <w:pStyle w:val="17"/>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3</w:t>
      </w:r>
      <w:r>
        <w:rPr>
          <w:rFonts w:hint="eastAsia" w:ascii="方正小标宋简体" w:hAnsi="方正小标宋简体" w:eastAsia="方正小标宋简体" w:cs="方正小标宋简体"/>
          <w:b/>
          <w:bCs/>
          <w:sz w:val="44"/>
          <w:szCs w:val="44"/>
        </w:rPr>
        <w:t>年度部门决算情况说明</w:t>
      </w:r>
    </w:p>
    <w:p>
      <w:pPr>
        <w:pStyle w:val="17"/>
        <w:jc w:val="both"/>
        <w:rPr>
          <w:rFonts w:hint="eastAsia" w:ascii="方正小标宋_GBK" w:hAnsi="方正小标宋_GBK" w:eastAsia="方正小标宋_GBK" w:cs="方正小标宋_GBK"/>
          <w:sz w:val="48"/>
          <w:szCs w:val="48"/>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1300.19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44.59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3.55</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本年增加了城市管理考评、生活垃圾分类工作经费。</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1300.19</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1300.19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1300.19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416.39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32.03</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883.80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67.97</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7"/>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1300.19</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44.94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3.58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本年增加了城市管理考评、生活垃圾分类工作经费。</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FF0000"/>
          <w:sz w:val="32"/>
          <w:szCs w:val="32"/>
        </w:rPr>
      </w:pPr>
      <w:r>
        <w:rPr>
          <w:rFonts w:hint="eastAsia" w:ascii="黑体" w:hAnsi="黑体" w:eastAsia="黑体" w:cs="黑体"/>
          <w:b w:val="0"/>
          <w:bCs/>
          <w:color w:val="auto"/>
          <w:sz w:val="32"/>
          <w:szCs w:val="32"/>
        </w:rPr>
        <w:t>五、一般公共预算财政拨款支出决算情况说明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1300.19</w:t>
      </w:r>
      <w:r>
        <w:rPr>
          <w:rFonts w:hint="eastAsia" w:ascii="仿宋_GB2312" w:hAnsi="仿宋_GB2312" w:eastAsia="仿宋_GB2312" w:cs="仿宋_GB2312"/>
          <w:sz w:val="32"/>
          <w:szCs w:val="32"/>
        </w:rPr>
        <w:t>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44.94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3.58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本年增加了城市管理考评、生活垃圾分类工作经费。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7"/>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1300.19</w:t>
      </w:r>
      <w:r>
        <w:rPr>
          <w:rFonts w:hint="eastAsia" w:ascii="仿宋_GB2312" w:hAnsi="仿宋_GB2312" w:eastAsia="仿宋_GB2312" w:cs="仿宋_GB2312"/>
          <w:sz w:val="32"/>
          <w:szCs w:val="32"/>
        </w:rPr>
        <w:t>万元，主要用于以下方面：社会保障和就业（类）支出</w:t>
      </w:r>
      <w:r>
        <w:rPr>
          <w:rFonts w:hint="eastAsia" w:ascii="仿宋_GB2312" w:hAnsi="仿宋_GB2312" w:eastAsia="仿宋_GB2312" w:cs="仿宋_GB2312"/>
          <w:sz w:val="32"/>
          <w:szCs w:val="32"/>
          <w:lang w:val="en-US" w:eastAsia="zh-CN"/>
        </w:rPr>
        <w:t>30.48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2.34</w:t>
      </w:r>
      <w:r>
        <w:rPr>
          <w:rFonts w:hint="eastAsia" w:ascii="仿宋_GB2312" w:hAnsi="仿宋_GB2312" w:eastAsia="仿宋_GB2312" w:cs="仿宋_GB2312"/>
          <w:sz w:val="32"/>
          <w:szCs w:val="32"/>
        </w:rPr>
        <w:t>%；卫生健康（类）支出</w:t>
      </w:r>
      <w:r>
        <w:rPr>
          <w:rFonts w:hint="eastAsia" w:ascii="仿宋_GB2312" w:hAnsi="仿宋_GB2312" w:eastAsia="仿宋_GB2312" w:cs="仿宋_GB2312"/>
          <w:sz w:val="32"/>
          <w:szCs w:val="32"/>
          <w:lang w:val="en-US" w:eastAsia="zh-CN"/>
        </w:rPr>
        <w:t>23.24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1.79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城乡社区（类）支出</w:t>
      </w:r>
      <w:r>
        <w:rPr>
          <w:rFonts w:hint="eastAsia" w:ascii="仿宋_GB2312" w:hAnsi="仿宋_GB2312" w:eastAsia="仿宋_GB2312" w:cs="仿宋_GB2312"/>
          <w:sz w:val="32"/>
          <w:szCs w:val="32"/>
          <w:lang w:val="en-US" w:eastAsia="zh-CN"/>
        </w:rPr>
        <w:t>1217.16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93.61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住房保障（类）支出</w:t>
      </w:r>
      <w:r>
        <w:rPr>
          <w:rFonts w:hint="eastAsia" w:ascii="仿宋_GB2312" w:hAnsi="仿宋_GB2312" w:eastAsia="仿宋_GB2312" w:cs="仿宋_GB2312"/>
          <w:sz w:val="32"/>
          <w:szCs w:val="32"/>
          <w:lang w:val="en-US" w:eastAsia="zh-CN"/>
        </w:rPr>
        <w:t>29.31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2.26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1202.69</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1300.19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108.11</w:t>
      </w:r>
      <w:r>
        <w:rPr>
          <w:rFonts w:hint="eastAsia" w:ascii="仿宋_GB2312" w:hAnsi="仿宋_GB2312" w:eastAsia="仿宋_GB2312" w:cs="仿宋_GB2312"/>
          <w:sz w:val="32"/>
          <w:szCs w:val="32"/>
        </w:rPr>
        <w:t>%，其中：</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29.58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29.58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2、社会保障和就业支出（类）其他社会保障和就业支出（款）其他社会保障和就业支出（项）。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0.90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0.90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、卫生健康支出（类）行政事业单位医疗（款）行政单位医疗（项）。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23.24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23.24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、城乡社区支出（类）城乡社区管理事务（款）行政运行（项）。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297.66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294.98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99.10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于年初预算数的主要原因是</w:t>
      </w:r>
      <w:r>
        <w:rPr>
          <w:rFonts w:hint="default" w:ascii="仿宋_GB2312" w:hAnsi="仿宋_GB2312" w:eastAsia="仿宋_GB2312" w:cs="仿宋_GB2312"/>
          <w:sz w:val="32"/>
          <w:szCs w:val="32"/>
          <w:lang w:val="en"/>
        </w:rPr>
        <w:t>2023</w:t>
      </w:r>
      <w:r>
        <w:rPr>
          <w:rFonts w:hint="eastAsia" w:ascii="仿宋_GB2312" w:hAnsi="仿宋_GB2312" w:eastAsia="仿宋_GB2312" w:cs="仿宋_GB2312"/>
          <w:sz w:val="32"/>
          <w:szCs w:val="32"/>
          <w:lang w:val="en" w:eastAsia="zh-CN"/>
        </w:rPr>
        <w:t>年终预算一体化系统升级，暂停资金支付业务，部分资金未及时支付。</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、城乡社区支出（类）城乡社区管理事务（款）其他城乡社区管理事务支出（项）。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10.75</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年中财政增拨了部分人员经费。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、城乡社区支出（类）城乡社区规划与管理（款）城乡社区规划与管理（项）。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822.00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886.94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107.90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上年部分项目经费结转本年支付。</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、城乡社区支出（类）其他城乡社区支出（款）其他城乡社区支出（项）。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24.49</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年中财政增拨综合绩效奖部分人员经费。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、住房保障支出（类）住房改革支出（款）住房公积金（项）。</w:t>
      </w:r>
    </w:p>
    <w:p>
      <w:pPr>
        <w:pStyle w:val="17"/>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29.31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29.31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b w:val="0"/>
          <w:bCs/>
          <w:color w:val="auto"/>
          <w:kern w:val="0"/>
          <w:sz w:val="32"/>
          <w:szCs w:val="32"/>
          <w:lang w:val="en-US" w:eastAsia="zh-CN" w:bidi="ar-SA"/>
        </w:rPr>
        <w:t>我单位严格按预算执行决算。</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416.39</w:t>
      </w:r>
      <w:r>
        <w:rPr>
          <w:rFonts w:hint="eastAsia" w:ascii="仿宋_GB2312" w:hAnsi="仿宋_GB2312" w:eastAsia="仿宋_GB2312" w:cs="仿宋_GB2312"/>
          <w:sz w:val="32"/>
          <w:szCs w:val="32"/>
        </w:rPr>
        <w:t>万元，其中：</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380.48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91.38</w:t>
      </w:r>
      <w:r>
        <w:rPr>
          <w:rFonts w:hint="eastAsia" w:ascii="仿宋_GB2312" w:hAnsi="仿宋_GB2312" w:eastAsia="仿宋_GB2312" w:cs="仿宋_GB2312"/>
          <w:sz w:val="32"/>
          <w:szCs w:val="32"/>
        </w:rPr>
        <w:t>%,主要包括基本工资、津贴补贴、奖金、伙食补助费</w:t>
      </w:r>
      <w:r>
        <w:rPr>
          <w:rFonts w:ascii="微软雅黑" w:hAnsi="微软雅黑" w:eastAsia="微软雅黑" w:cs="微软雅黑"/>
          <w:i w:val="0"/>
          <w:iCs w:val="0"/>
          <w:caps w:val="0"/>
          <w:color w:val="000000"/>
          <w:spacing w:val="0"/>
          <w:sz w:val="27"/>
          <w:szCs w:val="27"/>
        </w:rPr>
        <w:t>、</w:t>
      </w:r>
      <w:r>
        <w:rPr>
          <w:rFonts w:hint="eastAsia" w:ascii="仿宋_GB2312" w:hAnsi="仿宋_GB2312" w:eastAsia="仿宋_GB2312" w:cs="仿宋_GB2312"/>
          <w:i w:val="0"/>
          <w:iCs w:val="0"/>
          <w:caps w:val="0"/>
          <w:color w:val="000000"/>
          <w:spacing w:val="0"/>
          <w:sz w:val="32"/>
          <w:szCs w:val="32"/>
        </w:rPr>
        <w:t>绩效工资、机关事业单位基本养老保险缴费、职工基本医疗保险缴费、其他社会保障缴费、住房公积金；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35.91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8.62</w:t>
      </w:r>
      <w:r>
        <w:rPr>
          <w:rFonts w:hint="eastAsia" w:ascii="仿宋_GB2312" w:hAnsi="仿宋_GB2312" w:eastAsia="仿宋_GB2312" w:cs="仿宋_GB2312"/>
          <w:sz w:val="32"/>
          <w:szCs w:val="32"/>
        </w:rPr>
        <w:t>%，主要包括办公费、印刷费、咨询费、</w:t>
      </w:r>
      <w:r>
        <w:rPr>
          <w:rFonts w:hint="eastAsia" w:ascii="仿宋_GB2312" w:hAnsi="仿宋_GB2312" w:eastAsia="仿宋_GB2312" w:cs="仿宋_GB2312"/>
          <w:i w:val="0"/>
          <w:iCs w:val="0"/>
          <w:caps w:val="0"/>
          <w:color w:val="000000"/>
          <w:spacing w:val="0"/>
          <w:sz w:val="32"/>
          <w:szCs w:val="32"/>
        </w:rPr>
        <w:t>邮电费、差旅费、</w:t>
      </w:r>
      <w:r>
        <w:rPr>
          <w:rFonts w:hint="eastAsia" w:ascii="仿宋_GB2312" w:hAnsi="仿宋_GB2312" w:eastAsia="仿宋_GB2312" w:cs="仿宋_GB2312"/>
          <w:i w:val="0"/>
          <w:iCs w:val="0"/>
          <w:caps w:val="0"/>
          <w:color w:val="000000"/>
          <w:spacing w:val="0"/>
          <w:sz w:val="32"/>
          <w:szCs w:val="32"/>
          <w:lang w:val="en-US" w:eastAsia="zh-CN"/>
        </w:rPr>
        <w:t>维修（护）费</w:t>
      </w:r>
      <w:r>
        <w:rPr>
          <w:rFonts w:hint="eastAsia" w:ascii="仿宋_GB2312" w:hAnsi="仿宋_GB2312" w:eastAsia="仿宋_GB2312" w:cs="仿宋_GB2312"/>
          <w:i w:val="0"/>
          <w:iCs w:val="0"/>
          <w:caps w:val="0"/>
          <w:color w:val="000000"/>
          <w:spacing w:val="0"/>
          <w:sz w:val="32"/>
          <w:szCs w:val="32"/>
        </w:rPr>
        <w:t>、工会经费、福利费、其他商品和服务支出</w:t>
      </w:r>
      <w:r>
        <w:rPr>
          <w:rFonts w:hint="eastAsia" w:ascii="仿宋_GB2312" w:hAnsi="仿宋_GB2312" w:eastAsia="仿宋_GB2312" w:cs="仿宋_GB2312"/>
          <w:b w:val="0"/>
          <w:bCs/>
          <w:sz w:val="32"/>
          <w:szCs w:val="32"/>
          <w:lang w:eastAsia="zh-CN"/>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b w:val="0"/>
          <w:bCs w:val="0"/>
          <w:color w:val="auto"/>
          <w:sz w:val="32"/>
          <w:szCs w:val="32"/>
        </w:rPr>
        <w:t xml:space="preserve"> </w:t>
      </w:r>
      <w:r>
        <w:rPr>
          <w:rFonts w:hint="eastAsia" w:ascii="仿宋_GB2312" w:hAnsi="仿宋_GB2312" w:eastAsia="仿宋_GB2312" w:cs="仿宋_GB2312"/>
          <w:b w:val="0"/>
          <w:bCs w:val="0"/>
          <w:i w:val="0"/>
          <w:iCs/>
          <w:color w:val="auto"/>
          <w:kern w:val="0"/>
          <w:sz w:val="32"/>
          <w:szCs w:val="32"/>
          <w:lang w:val="en-US" w:eastAsia="zh-CN" w:bidi="ar-SA"/>
        </w:rPr>
        <w:t>2023年度政府性基金预算财政拨款收入0万元；年初结转和结余0万元；支出0万元，其中基本支出0万元，项目支出0万元；年末结转和结余0万元。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i w:val="0"/>
          <w:iCs/>
          <w:color w:val="auto"/>
          <w:kern w:val="0"/>
          <w:sz w:val="32"/>
          <w:szCs w:val="32"/>
          <w:lang w:val="en-US" w:eastAsia="zh-CN" w:bidi="ar-SA"/>
        </w:rPr>
        <w:t>2023年度国有资本经营预算财政拨款收入0万元；年初结转和结余0万元；支出0万元，其中：基本支出0万元，项目支出0万元；年末结转和结余0万元。</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2023年度“三公”经费财政拨款支出预算为0万元，支出决算为0万元，决算数等于预算数。其中：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公务接待费支出预算为0万元，支出决算为0万元，决算数等于预算数，主要原因是严格执行中央八项规定；与上年一致，无增减变动，主要原因是按有关政策厉行节约，严控公务接待支出。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公务用车购置费支出预算为0万元，支出决算为0万元，决算数等于预算数，主要原因是我单位严格按预算执行决算；与上年一致，无增减变动，主要原因是两年均未购置公务用车。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公务用车运行维护费支出预算为0万元，支出决算为0万元，决算数等于预算数，主要原因是我单位严格按预算执行决算；与上年一致，无增减变动，主要原因是两年均无公务用车需要运行维护。 </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2023年度“三公”经费财政拨款支出决算中，公务接待费支出决算0万元，因公出国（境）费支出决算0万元，公务用车购置费及运行维护费支出决算0万元。其中：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1、因公出国（境）费支出决算为0万元，全年安排因公出国（境）团组0个，累计0人次，我单位2023年度无因公出国（境）费支出。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2、公务接待费支出决算为0万元，全年共接待来访团组0个、来宾0人次，我单位2023年度无公务接待费支出。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b w:val="0"/>
          <w:bCs/>
          <w:color w:val="auto"/>
          <w:kern w:val="0"/>
          <w:sz w:val="32"/>
          <w:szCs w:val="32"/>
          <w:lang w:val="en-US" w:eastAsia="zh-CN" w:bidi="ar-SA"/>
        </w:rPr>
        <w:t>3、公务用车购置费及运行维护费支出决算为0万元，其中：公务用车购置费0万元，当年没有购置公务用车。公务用车运行维护费0万元，截至2023年12月31日，我单位开支财政拨款的公务用车保有量为0辆。</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7"/>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i w:val="0"/>
          <w:iCs/>
          <w:color w:val="auto"/>
          <w:sz w:val="32"/>
          <w:szCs w:val="32"/>
          <w:lang w:val="en-US" w:eastAsia="zh-CN"/>
        </w:rPr>
        <w:t>单位为公益一类事业单位，按照机关运行经费的口径，本年度机关运行经费为0</w:t>
      </w:r>
      <w:r>
        <w:rPr>
          <w:rFonts w:hint="eastAsia" w:ascii="仿宋_GB2312" w:hAnsi="仿宋_GB2312" w:eastAsia="仿宋_GB2312" w:cs="仿宋_GB2312"/>
          <w:color w:val="auto"/>
          <w:sz w:val="32"/>
          <w:szCs w:val="32"/>
        </w:rPr>
        <w:t>。</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b w:val="0"/>
          <w:bCs w:val="0"/>
          <w:i w:val="0"/>
          <w:iCs w:val="0"/>
          <w:color w:val="auto"/>
          <w:kern w:val="0"/>
          <w:sz w:val="32"/>
          <w:szCs w:val="32"/>
          <w:lang w:val="en-US" w:eastAsia="zh-CN" w:bidi="ar-SA"/>
        </w:rPr>
        <w:t>本</w:t>
      </w:r>
      <w:bookmarkStart w:id="0" w:name="_GoBack"/>
      <w:bookmarkEnd w:id="0"/>
      <w:r>
        <w:rPr>
          <w:rFonts w:hint="eastAsia" w:ascii="仿宋_GB2312" w:hAnsi="仿宋_GB2312" w:eastAsia="仿宋_GB2312" w:cs="仿宋_GB2312"/>
          <w:b w:val="0"/>
          <w:bCs w:val="0"/>
          <w:i w:val="0"/>
          <w:iCs w:val="0"/>
          <w:color w:val="auto"/>
          <w:kern w:val="0"/>
          <w:sz w:val="32"/>
          <w:szCs w:val="32"/>
          <w:lang w:val="en-US" w:eastAsia="zh-CN" w:bidi="ar-SA"/>
        </w:rPr>
        <w:t>单位无会议费的预算和支出决算数；无培训费的预算和支出决算数；无举办节庆、晚会、论坛、赛事等活动的预算和支出决算数。</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7"/>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682.02</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19.03</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662.99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682.02</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682.02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2.79</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97.21</w:t>
      </w:r>
      <w:r>
        <w:rPr>
          <w:rFonts w:hint="eastAsia" w:ascii="仿宋_GB2312" w:hAnsi="仿宋_GB2312" w:eastAsia="仿宋_GB2312" w:cs="仿宋_GB2312"/>
          <w:color w:val="auto"/>
          <w:sz w:val="32"/>
          <w:szCs w:val="32"/>
        </w:rPr>
        <w:t>%。</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1300.19万元，政府性基金预算支出0万元，国有资本经营预算支出0万元。从评价情况来看，整体支出绩效评价中，2023年整体支出1300.19万元，其中：基本支出416.39万元，项目支出883.80万元，本单位整体支出绩效自评综合评分97.40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8个，共涉及资金883.80万元，占一般公共预算项目支出总额的100%。组织对政府性基金预算项目支出开展绩效自评，项目0个，共涉及资金0万元（由于政府性基金预算项目支出总额为0，故无法计算占政府性基金预算项目支出总额比重）。组织对国有资本经营预算项目支出开展绩效自评，项目0个，共涉及资金0万元（由于国有资本经营预算项目支出总额为0，故无法计算占国有资本经营预算项目支出总额的比重）。从评价情况来看，项目绩效自评得分均在94分以上，评价结果等次为优秀。</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根据年初设定的绩效目标，绩效自评得分为97.40分。全年预算数为1383.41 万元，执行数为1300.19万元，完成预算的93.99%。绩效目标完成情况：一是</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级智慧化城市管理系统的建设和日常维护管理工作</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市城市管理信息网和岳阳城管微信公众号的建设和运行管理工作</w:t>
      </w:r>
      <w:r>
        <w:rPr>
          <w:rFonts w:hint="eastAsia" w:ascii="仿宋_GB2312" w:hAnsi="仿宋_GB2312" w:eastAsia="仿宋_GB2312" w:cs="仿宋_GB2312"/>
          <w:sz w:val="32"/>
          <w:szCs w:val="32"/>
          <w:lang w:eastAsia="zh-CN"/>
        </w:rPr>
        <w:t>如期完成；</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市城区智慧化城市管理监督、指挥、调度和考核的事务性工作</w:t>
      </w:r>
      <w:r>
        <w:rPr>
          <w:rFonts w:hint="eastAsia" w:ascii="仿宋_GB2312" w:hAnsi="仿宋_GB2312" w:eastAsia="仿宋_GB2312" w:cs="仿宋_GB2312"/>
          <w:sz w:val="32"/>
          <w:szCs w:val="32"/>
          <w:lang w:eastAsia="zh-CN"/>
        </w:rPr>
        <w:t>，及时完成了</w:t>
      </w:r>
      <w:r>
        <w:rPr>
          <w:rFonts w:hint="eastAsia" w:ascii="仿宋_GB2312" w:hAnsi="仿宋_GB2312" w:eastAsia="仿宋_GB2312" w:cs="仿宋_GB2312"/>
          <w:sz w:val="32"/>
          <w:szCs w:val="32"/>
        </w:rPr>
        <w:t>城市管理各类信息的收集、分析和整理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四是及时</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办理城市管理问题投诉、举报和12345公众服务热线转办件的行政辅助性工作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五是</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市城区地下弱电管网和城市地下综合管廊专项规划编制、立法、项目建设的事务性工作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六是</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市城市管理和综合执法交办的其他工作。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从绩效评价总体情况来看，</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资金支出较规范，</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推</w:t>
      </w:r>
      <w:r>
        <w:rPr>
          <w:rFonts w:hint="eastAsia" w:ascii="仿宋_GB2312" w:hAnsi="仿宋_GB2312" w:eastAsia="仿宋_GB2312" w:cs="仿宋_GB2312"/>
          <w:sz w:val="32"/>
          <w:szCs w:val="32"/>
          <w:lang w:val="en-US" w:eastAsia="zh-CN"/>
        </w:rPr>
        <w:t>动了以精细城管“提质”、智慧城管“赋能”、人本城管“造福”、绿色城管“安居”、文化城管“铸魂”、平安城管“夯基”的工作目标，为城市管理相关单位提供了耳目和抓手作用，大大提升了城市管理工作效率，城市管理</w:t>
      </w:r>
      <w:r>
        <w:rPr>
          <w:rFonts w:hint="eastAsia" w:ascii="仿宋_GB2312" w:hAnsi="仿宋_GB2312" w:eastAsia="仿宋_GB2312" w:cs="仿宋_GB2312"/>
          <w:sz w:val="32"/>
          <w:szCs w:val="32"/>
        </w:rPr>
        <w:t>事业发展</w:t>
      </w:r>
      <w:r>
        <w:rPr>
          <w:rFonts w:hint="eastAsia" w:ascii="仿宋_GB2312" w:hAnsi="仿宋_GB2312" w:eastAsia="仿宋_GB2312" w:cs="仿宋_GB2312"/>
          <w:sz w:val="32"/>
          <w:szCs w:val="32"/>
          <w:lang w:val="en-US" w:eastAsia="zh-CN"/>
        </w:rPr>
        <w:t>再上新台阶，增加了市民的获得感和幸福感，得到了各级领导和市民的一致好评</w:t>
      </w:r>
      <w:r>
        <w:rPr>
          <w:rFonts w:hint="eastAsia" w:ascii="仿宋_GB2312" w:hAnsi="仿宋_GB2312" w:eastAsia="仿宋_GB2312" w:cs="仿宋_GB2312"/>
          <w:sz w:val="32"/>
          <w:szCs w:val="32"/>
        </w:rPr>
        <w:t>。</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主要问题及原因：一是</w:t>
      </w:r>
      <w:r>
        <w:rPr>
          <w:rFonts w:hint="eastAsia" w:ascii="仿宋_GB2312" w:eastAsia="仿宋_GB2312"/>
          <w:sz w:val="32"/>
          <w:szCs w:val="32"/>
        </w:rPr>
        <w:t>随着城市的发展和扩张，信息采集的面积越来越大，事部件也越来越多，信息采集员的负担也迅速增加。另外，人工工资和物价上涨，而专项经费未增加，因为待遇低任务重，导致采集员流动性大，从而影响信息采集整体采集质量</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_GB2312" w:eastAsia="仿宋_GB2312" w:cs="仿宋_GB2312"/>
          <w:sz w:val="32"/>
          <w:szCs w:val="32"/>
          <w:lang w:val="en-US" w:eastAsia="zh-CN"/>
        </w:rPr>
        <w:t>预算执行率有待进一步提升，主要原因为</w:t>
      </w:r>
      <w:r>
        <w:rPr>
          <w:rFonts w:hint="eastAsia" w:ascii="仿宋_GB2312" w:hAnsi="仿宋_GB2312" w:eastAsia="仿宋_GB2312" w:cs="仿宋_GB2312"/>
          <w:sz w:val="32"/>
          <w:szCs w:val="32"/>
          <w:lang w:eastAsia="zh-CN"/>
        </w:rPr>
        <w:t>预算一体化系统升级暂停支付业务，</w:t>
      </w:r>
      <w:r>
        <w:rPr>
          <w:rFonts w:hint="eastAsia" w:ascii="仿宋_GB2312" w:hAnsi="仿宋_GB2312" w:eastAsia="仿宋_GB2312" w:cs="仿宋_GB2312"/>
          <w:sz w:val="32"/>
          <w:szCs w:val="32"/>
        </w:rPr>
        <w:t>二期建设通讯网络运营费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软件</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一期网络运营费</w:t>
      </w:r>
      <w:r>
        <w:rPr>
          <w:rFonts w:hint="eastAsia" w:ascii="仿宋_GB2312" w:hAnsi="仿宋_GB2312" w:eastAsia="仿宋_GB2312" w:cs="仿宋_GB2312"/>
          <w:sz w:val="32"/>
          <w:szCs w:val="32"/>
          <w:lang w:val="en-US" w:eastAsia="zh-CN"/>
        </w:rPr>
        <w:t>项目部分费用未及时结算。三是</w:t>
      </w:r>
      <w:r>
        <w:rPr>
          <w:rFonts w:hint="eastAsia" w:ascii="仿宋" w:hAnsi="仿宋" w:eastAsia="仿宋" w:cs="仿宋"/>
          <w:b w:val="0"/>
          <w:bCs w:val="0"/>
          <w:kern w:val="2"/>
          <w:sz w:val="32"/>
          <w:szCs w:val="32"/>
          <w:lang w:val="en-US" w:eastAsia="zh-CN" w:bidi="ar-SA"/>
        </w:rPr>
        <w:t>智慧城管</w:t>
      </w:r>
      <w:r>
        <w:rPr>
          <w:rFonts w:hint="eastAsia" w:ascii="CESI仿宋-GB2312" w:hAnsi="CESI仿宋-GB2312" w:eastAsia="CESI仿宋-GB2312" w:cs="CESI仿宋-GB2312"/>
          <w:b w:val="0"/>
          <w:bCs w:val="0"/>
          <w:sz w:val="32"/>
          <w:szCs w:val="32"/>
          <w:lang w:val="en-US" w:eastAsia="zh-CN"/>
        </w:rPr>
        <w:t>系统运行风险不断增大，主要原因为</w:t>
      </w:r>
      <w:r>
        <w:rPr>
          <w:rFonts w:hint="eastAsia" w:ascii="仿宋" w:hAnsi="仿宋" w:eastAsia="仿宋" w:cs="仿宋"/>
          <w:b w:val="0"/>
          <w:bCs w:val="0"/>
          <w:kern w:val="2"/>
          <w:sz w:val="32"/>
          <w:szCs w:val="32"/>
          <w:lang w:val="en-US" w:eastAsia="zh-CN" w:bidi="ar-SA"/>
        </w:rPr>
        <w:t>系统硬件设备大部分已运行多年，存在一定安全隐患和风险</w:t>
      </w:r>
      <w:r>
        <w:rPr>
          <w:rFonts w:hint="eastAsia" w:ascii="仿宋_GB2312" w:hAnsi="仿宋_GB2312" w:eastAsia="仿宋_GB2312" w:cs="仿宋_GB2312"/>
          <w:b w:val="0"/>
          <w:bCs w:val="0"/>
          <w:color w:val="000000"/>
          <w:kern w:val="0"/>
          <w:sz w:val="32"/>
          <w:szCs w:val="32"/>
          <w:lang w:val="en-US" w:eastAsia="zh-CN" w:bidi="ar-SA"/>
        </w:rPr>
        <w:t>。</w:t>
      </w:r>
    </w:p>
    <w:p>
      <w:pPr>
        <w:pStyle w:val="2"/>
        <w:keepNext w:val="0"/>
        <w:keepLines w:val="0"/>
        <w:pageBreakBefore w:val="0"/>
        <w:numPr>
          <w:ilvl w:val="0"/>
          <w:numId w:val="0"/>
        </w:numPr>
        <w:wordWrap/>
        <w:overflowPunct/>
        <w:topLinePunct w:val="0"/>
        <w:bidi w:val="0"/>
        <w:spacing w:line="60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b w:val="0"/>
          <w:bCs w:val="0"/>
          <w:color w:val="000000"/>
          <w:kern w:val="0"/>
          <w:sz w:val="32"/>
          <w:szCs w:val="32"/>
          <w:lang w:val="en-US" w:eastAsia="zh-CN" w:bidi="ar-SA"/>
        </w:rPr>
        <w:t>下一步改进措施：一是</w:t>
      </w:r>
      <w:r>
        <w:rPr>
          <w:rFonts w:hint="eastAsia" w:ascii="仿宋_GB2312" w:hAnsi="楷体" w:eastAsia="仿宋_GB2312"/>
          <w:sz w:val="32"/>
          <w:szCs w:val="32"/>
          <w:lang w:val="en-US" w:eastAsia="zh-CN"/>
        </w:rPr>
        <w:t>进一步丰富信息采集方式，迅速、准确、高效收集各类城市管理信息，并缓解信息采集压力</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_GB2312" w:eastAsia="仿宋_GB2312" w:cs="仿宋_GB2312"/>
          <w:b w:val="0"/>
          <w:bCs w:val="0"/>
          <w:color w:val="auto"/>
          <w:sz w:val="32"/>
          <w:szCs w:val="32"/>
          <w:lang w:val="en-US" w:eastAsia="zh-CN"/>
        </w:rPr>
        <w:t>加强单位内部部门间沟通，合理预测项目实施进度，根据进度及时申请结算项目资金，提高资金支付效率；三是加强平台日常维护与升级管理，适时更新系统硬件设备，有效防范</w:t>
      </w:r>
      <w:r>
        <w:rPr>
          <w:rFonts w:hint="eastAsia" w:ascii="仿宋" w:hAnsi="仿宋" w:eastAsia="仿宋" w:cs="仿宋"/>
          <w:b w:val="0"/>
          <w:bCs w:val="0"/>
          <w:kern w:val="2"/>
          <w:sz w:val="32"/>
          <w:szCs w:val="32"/>
          <w:lang w:val="en-US" w:eastAsia="zh-CN" w:bidi="ar-SA"/>
        </w:rPr>
        <w:t>安全隐患和风险</w:t>
      </w:r>
      <w:r>
        <w:rPr>
          <w:rFonts w:hint="eastAsia" w:cs="仿宋"/>
          <w:b w:val="0"/>
          <w:bCs w:val="0"/>
          <w:kern w:val="2"/>
          <w:sz w:val="32"/>
          <w:szCs w:val="32"/>
          <w:lang w:val="en-US" w:eastAsia="zh-CN" w:bidi="ar-SA"/>
        </w:rPr>
        <w:t>。</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7"/>
        <w:jc w:val="both"/>
        <w:rPr>
          <w:rFonts w:hint="eastAsia" w:ascii="方正小标宋_GBK" w:hAnsi="方正小标宋_GBK" w:eastAsia="方正小标宋_GBK" w:cs="方正小标宋_GBK"/>
          <w:sz w:val="44"/>
          <w:szCs w:val="44"/>
        </w:rPr>
      </w:pPr>
    </w:p>
    <w:p>
      <w:pPr>
        <w:pStyle w:val="17"/>
        <w:jc w:val="center"/>
      </w:pPr>
      <w:r>
        <w:rPr>
          <w:rFonts w:hint="eastAsia" w:ascii="方正小标宋简体" w:hAnsi="方正小标宋简体" w:eastAsia="方正小标宋简体" w:cs="方正小标宋简体"/>
          <w:b/>
          <w:bCs/>
          <w:sz w:val="44"/>
          <w:szCs w:val="44"/>
        </w:rPr>
        <w:t>第四部分</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color w:val="000000"/>
          <w:kern w:val="0"/>
          <w:sz w:val="44"/>
          <w:szCs w:val="44"/>
        </w:rPr>
        <w:t>名词解释</w:t>
      </w:r>
    </w:p>
    <w:p/>
    <w:p>
      <w:pPr>
        <w:pStyle w:val="11"/>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
      <w:pPr>
        <w:pStyle w:val="2"/>
      </w:pPr>
    </w:p>
    <w:p>
      <w:pPr>
        <w:pStyle w:val="17"/>
        <w:ind w:firstLine="3080" w:firstLineChars="700"/>
        <w:jc w:val="both"/>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第</w:t>
      </w:r>
      <w:r>
        <w:rPr>
          <w:rFonts w:hint="eastAsia" w:ascii="方正小标宋简体" w:hAnsi="方正小标宋简体" w:eastAsia="方正小标宋简体" w:cs="方正小标宋简体"/>
          <w:b/>
          <w:bCs/>
          <w:sz w:val="44"/>
          <w:szCs w:val="44"/>
          <w:lang w:eastAsia="zh-CN"/>
        </w:rPr>
        <w:t>五</w:t>
      </w:r>
      <w:r>
        <w:rPr>
          <w:rFonts w:hint="eastAsia" w:ascii="方正小标宋简体" w:hAnsi="方正小标宋简体" w:eastAsia="方正小标宋简体" w:cs="方正小标宋简体"/>
          <w:b/>
          <w:bCs/>
          <w:sz w:val="44"/>
          <w:szCs w:val="44"/>
        </w:rPr>
        <w:t>部分</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lang w:eastAsia="zh-CN"/>
        </w:rPr>
        <w:t>附</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18030">
    <w:altName w:val="URW Book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5B6E6"/>
    <w:multiLevelType w:val="singleLevel"/>
    <w:tmpl w:val="0025B6E6"/>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BlMjkxOGJkZTY2YWVjYTkxNWZjODEzNjkwZD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59301C"/>
    <w:rsid w:val="01B91D0C"/>
    <w:rsid w:val="01DD75E6"/>
    <w:rsid w:val="01F176F8"/>
    <w:rsid w:val="02BF15A4"/>
    <w:rsid w:val="04B862AB"/>
    <w:rsid w:val="053C0C8A"/>
    <w:rsid w:val="055A55B4"/>
    <w:rsid w:val="059958AD"/>
    <w:rsid w:val="06C857E7"/>
    <w:rsid w:val="07D478A0"/>
    <w:rsid w:val="083640B7"/>
    <w:rsid w:val="08BA6A96"/>
    <w:rsid w:val="08C24A73"/>
    <w:rsid w:val="097C01EF"/>
    <w:rsid w:val="0A2368BD"/>
    <w:rsid w:val="0A51342A"/>
    <w:rsid w:val="0A8455AD"/>
    <w:rsid w:val="0AD16319"/>
    <w:rsid w:val="0BCF0AAA"/>
    <w:rsid w:val="107C0AD5"/>
    <w:rsid w:val="10BD35C7"/>
    <w:rsid w:val="12583BA5"/>
    <w:rsid w:val="128B14A3"/>
    <w:rsid w:val="129465AA"/>
    <w:rsid w:val="13BA5B9C"/>
    <w:rsid w:val="13FB7F63"/>
    <w:rsid w:val="158E72E0"/>
    <w:rsid w:val="18136AFE"/>
    <w:rsid w:val="18C9062F"/>
    <w:rsid w:val="195645B9"/>
    <w:rsid w:val="1A057D8D"/>
    <w:rsid w:val="1A4A39F2"/>
    <w:rsid w:val="1B4F3E91"/>
    <w:rsid w:val="1D350989"/>
    <w:rsid w:val="1D793DB8"/>
    <w:rsid w:val="1D97DEFF"/>
    <w:rsid w:val="1DB93368"/>
    <w:rsid w:val="1DFF72E5"/>
    <w:rsid w:val="1EFC6F07"/>
    <w:rsid w:val="1F0527A6"/>
    <w:rsid w:val="1F3F6307"/>
    <w:rsid w:val="1F4D0006"/>
    <w:rsid w:val="20E64474"/>
    <w:rsid w:val="21787096"/>
    <w:rsid w:val="22177787"/>
    <w:rsid w:val="22AC03C2"/>
    <w:rsid w:val="235A6A54"/>
    <w:rsid w:val="239A1BA6"/>
    <w:rsid w:val="255120D8"/>
    <w:rsid w:val="262275D1"/>
    <w:rsid w:val="270D0281"/>
    <w:rsid w:val="27B33BC4"/>
    <w:rsid w:val="290A0F1C"/>
    <w:rsid w:val="2B2D0EF2"/>
    <w:rsid w:val="2E440A0E"/>
    <w:rsid w:val="2FC35981"/>
    <w:rsid w:val="2FDF85B8"/>
    <w:rsid w:val="2FFFEE04"/>
    <w:rsid w:val="30823A8E"/>
    <w:rsid w:val="31777E1D"/>
    <w:rsid w:val="31C95635"/>
    <w:rsid w:val="31D12F09"/>
    <w:rsid w:val="327F0285"/>
    <w:rsid w:val="338E26F1"/>
    <w:rsid w:val="33B757FC"/>
    <w:rsid w:val="34DF85B0"/>
    <w:rsid w:val="377D6D5D"/>
    <w:rsid w:val="39074B30"/>
    <w:rsid w:val="39DC5FBD"/>
    <w:rsid w:val="3B262E22"/>
    <w:rsid w:val="3B8F36BC"/>
    <w:rsid w:val="3C8A7F52"/>
    <w:rsid w:val="3CA803D8"/>
    <w:rsid w:val="3D187A09"/>
    <w:rsid w:val="3D2C2DB7"/>
    <w:rsid w:val="3DEC3EE6"/>
    <w:rsid w:val="3EA62904"/>
    <w:rsid w:val="3EDE7FF0"/>
    <w:rsid w:val="40F956A6"/>
    <w:rsid w:val="41235825"/>
    <w:rsid w:val="427775F2"/>
    <w:rsid w:val="42AB29D0"/>
    <w:rsid w:val="43505326"/>
    <w:rsid w:val="441D78FE"/>
    <w:rsid w:val="442962A2"/>
    <w:rsid w:val="45AA6F6F"/>
    <w:rsid w:val="490948F4"/>
    <w:rsid w:val="491FF225"/>
    <w:rsid w:val="4C237A7B"/>
    <w:rsid w:val="4C667968"/>
    <w:rsid w:val="4CFA4C80"/>
    <w:rsid w:val="4D602609"/>
    <w:rsid w:val="4D811490"/>
    <w:rsid w:val="4EB64BD7"/>
    <w:rsid w:val="4F2F6737"/>
    <w:rsid w:val="4FFD214C"/>
    <w:rsid w:val="5352765A"/>
    <w:rsid w:val="54493DF7"/>
    <w:rsid w:val="55DE2790"/>
    <w:rsid w:val="5777D4F5"/>
    <w:rsid w:val="57DB4303"/>
    <w:rsid w:val="583D5F38"/>
    <w:rsid w:val="59D15132"/>
    <w:rsid w:val="59DD8326"/>
    <w:rsid w:val="5AC4067B"/>
    <w:rsid w:val="5B24736C"/>
    <w:rsid w:val="5BA81D4B"/>
    <w:rsid w:val="5C1C635A"/>
    <w:rsid w:val="5DEF592A"/>
    <w:rsid w:val="5EAB1D7E"/>
    <w:rsid w:val="5F5024DD"/>
    <w:rsid w:val="5F8F167A"/>
    <w:rsid w:val="5F9B1FEC"/>
    <w:rsid w:val="5FC6BB1E"/>
    <w:rsid w:val="5FF720F1"/>
    <w:rsid w:val="613C71BD"/>
    <w:rsid w:val="61A94127"/>
    <w:rsid w:val="61C52C5F"/>
    <w:rsid w:val="63425CDB"/>
    <w:rsid w:val="63780255"/>
    <w:rsid w:val="639F1C85"/>
    <w:rsid w:val="63B23767"/>
    <w:rsid w:val="657F3B1C"/>
    <w:rsid w:val="66091638"/>
    <w:rsid w:val="67FF5C0B"/>
    <w:rsid w:val="6A462E5B"/>
    <w:rsid w:val="6A9C6F1F"/>
    <w:rsid w:val="6BAA4A2F"/>
    <w:rsid w:val="6BFFF014"/>
    <w:rsid w:val="6C47110C"/>
    <w:rsid w:val="6CADCBEC"/>
    <w:rsid w:val="6D0D7C60"/>
    <w:rsid w:val="6D543AE1"/>
    <w:rsid w:val="6E5A5127"/>
    <w:rsid w:val="6EFC0924"/>
    <w:rsid w:val="6FAA79E8"/>
    <w:rsid w:val="6FB74722"/>
    <w:rsid w:val="6FC9CA8E"/>
    <w:rsid w:val="6FEF8B7E"/>
    <w:rsid w:val="71970440"/>
    <w:rsid w:val="71A6591B"/>
    <w:rsid w:val="72361A07"/>
    <w:rsid w:val="72F13B80"/>
    <w:rsid w:val="737D59BA"/>
    <w:rsid w:val="737F32B1"/>
    <w:rsid w:val="739E5AB6"/>
    <w:rsid w:val="742D0BE7"/>
    <w:rsid w:val="75994786"/>
    <w:rsid w:val="75DA08FB"/>
    <w:rsid w:val="777697D4"/>
    <w:rsid w:val="77C37683"/>
    <w:rsid w:val="77D24288"/>
    <w:rsid w:val="7936EFA6"/>
    <w:rsid w:val="79BC6C95"/>
    <w:rsid w:val="79F471B5"/>
    <w:rsid w:val="79FA77BE"/>
    <w:rsid w:val="79FF515B"/>
    <w:rsid w:val="7A1E525A"/>
    <w:rsid w:val="7C4F7213"/>
    <w:rsid w:val="7CD662C0"/>
    <w:rsid w:val="7E9E1962"/>
    <w:rsid w:val="7E9F11B4"/>
    <w:rsid w:val="7F2C21C7"/>
    <w:rsid w:val="7F37EC1E"/>
    <w:rsid w:val="7F7DCD9D"/>
    <w:rsid w:val="7F970A6F"/>
    <w:rsid w:val="7FC1FFF3"/>
    <w:rsid w:val="7FC69637"/>
    <w:rsid w:val="7FD05249"/>
    <w:rsid w:val="7FDF8620"/>
    <w:rsid w:val="7FF24E19"/>
    <w:rsid w:val="7FF2EF9F"/>
    <w:rsid w:val="7FFB242F"/>
    <w:rsid w:val="7FFDB408"/>
    <w:rsid w:val="7FFE4EEB"/>
    <w:rsid w:val="8DBE235F"/>
    <w:rsid w:val="95FB2B98"/>
    <w:rsid w:val="9A639BC2"/>
    <w:rsid w:val="9FF7D786"/>
    <w:rsid w:val="ABBFB23D"/>
    <w:rsid w:val="AFCBA252"/>
    <w:rsid w:val="BECB242F"/>
    <w:rsid w:val="BFEE9FF8"/>
    <w:rsid w:val="C3B4DA5A"/>
    <w:rsid w:val="CBFF70E0"/>
    <w:rsid w:val="CF6F1A65"/>
    <w:rsid w:val="CFF50B82"/>
    <w:rsid w:val="CFFFAD89"/>
    <w:rsid w:val="D1BEBE24"/>
    <w:rsid w:val="DFF9047A"/>
    <w:rsid w:val="DFFA0D78"/>
    <w:rsid w:val="DFFE359E"/>
    <w:rsid w:val="DFFE4FFD"/>
    <w:rsid w:val="DFFFB973"/>
    <w:rsid w:val="E5F847FB"/>
    <w:rsid w:val="EABEF557"/>
    <w:rsid w:val="EEABED75"/>
    <w:rsid w:val="F56FDF51"/>
    <w:rsid w:val="F6B69F17"/>
    <w:rsid w:val="F77F1D61"/>
    <w:rsid w:val="F7FED3A9"/>
    <w:rsid w:val="F8C9DB26"/>
    <w:rsid w:val="F97E8EAE"/>
    <w:rsid w:val="FA3F835A"/>
    <w:rsid w:val="FB36E1A6"/>
    <w:rsid w:val="FB3BE134"/>
    <w:rsid w:val="FCFF4275"/>
    <w:rsid w:val="FD7974CC"/>
    <w:rsid w:val="FD7FEEEA"/>
    <w:rsid w:val="FDF5224E"/>
    <w:rsid w:val="FDFFB577"/>
    <w:rsid w:val="FEEA50FE"/>
    <w:rsid w:val="FF6F899C"/>
    <w:rsid w:val="FF7D47A9"/>
    <w:rsid w:val="FFCF21CB"/>
    <w:rsid w:val="FFFF1C8B"/>
    <w:rsid w:val="FFFFA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cs="???-18030"/>
      <w:kern w:val="0"/>
    </w:rPr>
  </w:style>
  <w:style w:type="paragraph" w:styleId="4">
    <w:name w:val="toa heading"/>
    <w:basedOn w:val="1"/>
    <w:next w:val="1"/>
    <w:unhideWhenUsed/>
    <w:qFormat/>
    <w:uiPriority w:val="99"/>
    <w:pPr>
      <w:spacing w:before="120" w:after="200" w:line="276" w:lineRule="auto"/>
    </w:pPr>
    <w:rPr>
      <w:rFonts w:hint="default"/>
      <w:sz w:val="24"/>
      <w:szCs w:val="24"/>
    </w:r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toc 5"/>
    <w:basedOn w:val="1"/>
    <w:next w:val="1"/>
    <w:qFormat/>
    <w:uiPriority w:val="0"/>
    <w:pPr>
      <w:ind w:left="1680" w:leftChars="800"/>
    </w:pPr>
  </w:style>
  <w:style w:type="paragraph" w:styleId="8">
    <w:name w:val="Balloon Text"/>
    <w:basedOn w:val="1"/>
    <w:link w:val="19"/>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6"/>
    <w:semiHidden/>
    <w:qFormat/>
    <w:uiPriority w:val="0"/>
    <w:pPr>
      <w:snapToGrid w:val="0"/>
      <w:jc w:val="left"/>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4"/>
    <w:link w:val="8"/>
    <w:semiHidden/>
    <w:qFormat/>
    <w:uiPriority w:val="99"/>
    <w:rPr>
      <w:sz w:val="18"/>
      <w:szCs w:val="18"/>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21"/>
    <w:basedOn w:val="14"/>
    <w:qFormat/>
    <w:uiPriority w:val="0"/>
    <w:rPr>
      <w:rFonts w:hint="eastAsia" w:ascii="宋体" w:hAnsi="宋体" w:eastAsia="宋体" w:cs="宋体"/>
      <w:color w:val="000000"/>
      <w:sz w:val="24"/>
      <w:szCs w:val="24"/>
      <w:u w:val="none"/>
    </w:rPr>
  </w:style>
  <w:style w:type="character" w:customStyle="1" w:styleId="22">
    <w:name w:val="font1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5532</Words>
  <Characters>5984</Characters>
  <Lines>63</Lines>
  <Paragraphs>18</Paragraphs>
  <TotalTime>4</TotalTime>
  <ScaleCrop>false</ScaleCrop>
  <LinksUpToDate>false</LinksUpToDate>
  <CharactersWithSpaces>6017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2020-07-09T02:32:00Z</dcterms:created>
  <dc:creator>李航 null</dc:creator>
  <cp:lastModifiedBy>TCB003</cp:lastModifiedBy>
  <cp:lastPrinted>2024-08-09T10:20:00Z</cp:lastPrinted>
  <dcterms:modified xsi:type="dcterms:W3CDTF">2024-09-19T09:58:56Z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98623D6660B449428EB8E073C6C952EA</vt:lpwstr>
  </property>
</Properties>
</file>