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6"/>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23</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84.62%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4.02</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3.50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3.48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3.50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3.48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3.50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0.54</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101.13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52.09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346"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101.14</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52.09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办案费支出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2.80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环境监察、监测等运行经费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101.14</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37.90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环境监测、监控及监察能力建设</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11.39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34.83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45.24</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46.53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27.72</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32.77</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35.03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4.47</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3.50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3.50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79.25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139.3</w:t>
            </w: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105.15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251.99</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311.59</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6"/>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岳阳市生态环境局云溪分局</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261.99</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363.68</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363.68</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358.46</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其中：基本支出：311.59</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项目支出：52.09</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5.22</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1、盯住问题重点，持续抓好整改销号；2、严格执法，加大企业监督力度，严厉打击环境违法行为，确保企业稳定达标排放；3、深入打好污染防治攻坚战，确保辖区环境质量持续向好</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已完成100%</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69"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定期进行水质监测</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次</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每月</w:t>
            </w:r>
            <w:r>
              <w:rPr>
                <w:rFonts w:hint="eastAsia" w:ascii="仿宋_GB2312" w:hAnsi="仿宋_GB2312" w:eastAsia="仿宋_GB2312" w:cs="仿宋_GB2312"/>
                <w:color w:val="000000"/>
                <w:sz w:val="20"/>
                <w:szCs w:val="20"/>
                <w:highlight w:val="none"/>
                <w:lang w:val="en-US" w:eastAsia="zh-CN"/>
              </w:rPr>
              <w:t>1次</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开展长江入河排污口整改工作</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个</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7个</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督促</w:t>
            </w:r>
            <w:r>
              <w:rPr>
                <w:rFonts w:hint="eastAsia" w:ascii="仿宋_GB2312" w:hAnsi="仿宋_GB2312" w:eastAsia="仿宋_GB2312" w:cs="仿宋_GB2312"/>
                <w:color w:val="000000"/>
                <w:sz w:val="20"/>
                <w:szCs w:val="20"/>
                <w:highlight w:val="none"/>
                <w:lang w:eastAsia="zh-CN"/>
              </w:rPr>
              <w:t>企业治气方面</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家</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32家</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长江、双花水库等考核断面水质优良率</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空气质量达标</w:t>
            </w:r>
            <w:r>
              <w:rPr>
                <w:rFonts w:hint="eastAsia" w:ascii="仿宋_GB2312" w:hAnsi="仿宋_GB2312" w:eastAsia="仿宋_GB2312" w:cs="仿宋_GB2312"/>
                <w:color w:val="000000"/>
                <w:sz w:val="20"/>
                <w:szCs w:val="20"/>
                <w:highlight w:val="none"/>
                <w:lang w:eastAsia="zh-CN"/>
              </w:rPr>
              <w:t>优良率</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≥85%</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86.4%</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违法举报奖励制度落实情况</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次</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3次</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在规定时间内</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2023年度</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2023年度</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在预算内</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363.68万元</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363.68万元</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widowControl/>
              <w:spacing w:line="240" w:lineRule="exact"/>
              <w:jc w:val="left"/>
              <w:rPr>
                <w:rFonts w:hint="eastAsia" w:ascii="仿宋_GB2312" w:hAnsi="仿宋_GB2312" w:eastAsia="仿宋_GB2312" w:cs="仿宋_GB2312"/>
                <w:color w:val="000000"/>
                <w:sz w:val="20"/>
                <w:szCs w:val="20"/>
                <w:highlight w:val="none"/>
              </w:rPr>
            </w:pP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经济水平得以保持稳定发展</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稳定发展</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稳定发展</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提升了公众环保意识</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有所提升</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有所提升</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生态环境考核</w:t>
            </w:r>
            <w:r>
              <w:rPr>
                <w:rFonts w:hint="eastAsia" w:ascii="仿宋_GB2312" w:hAnsi="仿宋_GB2312" w:eastAsia="仿宋_GB2312" w:cs="仿宋_GB2312"/>
                <w:color w:val="000000"/>
                <w:sz w:val="20"/>
                <w:szCs w:val="20"/>
                <w:highlight w:val="none"/>
                <w:lang w:eastAsia="zh-CN"/>
              </w:rPr>
              <w:t>达标率</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≥90%</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90%</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绿色发展稳步推进</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效益明显</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效益明显</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服务对象满意度</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≥95%</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99.70</w:t>
            </w:r>
            <w:r>
              <w:rPr>
                <w:rFonts w:hint="eastAsia" w:ascii="仿宋_GB2312" w:hAnsi="仿宋_GB2312" w:eastAsia="仿宋_GB2312" w:cs="仿宋_GB2312"/>
                <w:color w:val="000000"/>
                <w:sz w:val="20"/>
                <w:szCs w:val="20"/>
                <w:highlight w:val="none"/>
                <w:lang w:eastAsia="zh-CN"/>
              </w:rPr>
              <w:t>%</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 xml:space="preserve">填表人：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6"/>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环境监察、监测等运行经费</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岳阳市生态环境局</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岳阳市生态环境局云溪分局</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0.00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sz w:val="20"/>
                <w:szCs w:val="20"/>
                <w:highlight w:val="none"/>
                <w:lang w:val="en-US" w:eastAsia="zh-CN"/>
              </w:rPr>
              <w:t>37.90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sz w:val="20"/>
                <w:szCs w:val="20"/>
                <w:highlight w:val="none"/>
                <w:lang w:val="en-US" w:eastAsia="zh-CN"/>
              </w:rPr>
              <w:t>37.90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0.00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37.90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37.90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目标1、日常环境监管、执法工作；</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目标2、委托第三方进行执法性监督监测；</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目标3、环保迎检、应急处置经费；</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目标4、节能环保宣传费用。</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已完成</w:t>
            </w:r>
            <w:r>
              <w:rPr>
                <w:rFonts w:hint="eastAsia" w:ascii="仿宋_GB2312" w:hAnsi="仿宋_GB2312" w:eastAsia="仿宋_GB2312" w:cs="仿宋_GB2312"/>
                <w:color w:val="000000"/>
                <w:sz w:val="20"/>
                <w:szCs w:val="20"/>
                <w:highlight w:val="none"/>
                <w:lang w:val="en-US" w:eastAsia="zh-CN"/>
              </w:rPr>
              <w:t>100%</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强力开展各项专项行动</w:t>
            </w:r>
            <w:r>
              <w:rPr>
                <w:rFonts w:hint="eastAsia" w:ascii="仿宋_GB2312" w:hAnsi="仿宋_GB2312" w:eastAsia="仿宋_GB2312" w:cs="仿宋_GB2312"/>
                <w:color w:val="000000"/>
                <w:sz w:val="20"/>
                <w:szCs w:val="20"/>
                <w:highlight w:val="none"/>
                <w:lang w:eastAsia="zh-CN"/>
              </w:rPr>
              <w:t>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rPr>
            </w:pPr>
            <w:r>
              <w:rPr>
                <w:rFonts w:hint="eastAsia" w:ascii="Arial" w:eastAsiaTheme="minorEastAsia"/>
                <w:color w:val="000000" w:themeColor="text1"/>
                <w:spacing w:val="0"/>
                <w:sz w:val="21"/>
                <w:szCs w:val="21"/>
                <w:lang w:val="en-US" w:eastAsia="zh-CN"/>
                <w14:textFill>
                  <w14:solidFill>
                    <w14:schemeClr w14:val="tx1"/>
                  </w14:solidFill>
                </w14:textFill>
              </w:rPr>
              <w:t>≥</w:t>
            </w:r>
            <w:r>
              <w:rPr>
                <w:rFonts w:hint="eastAsia" w:ascii="仿宋_GB2312" w:hAnsi="仿宋_GB2312" w:eastAsia="仿宋_GB2312" w:cs="仿宋_GB2312"/>
                <w:color w:val="000000"/>
                <w:sz w:val="20"/>
                <w:szCs w:val="20"/>
                <w:highlight w:val="none"/>
                <w:lang w:val="en-US" w:eastAsia="zh-CN"/>
              </w:rPr>
              <w:t>98%</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98%</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各种整治符合环保标准</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完成主要污染物减排目标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完成主要污染物减排目标</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在规定时间内</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2023年度</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2023年度</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在预算内</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37.89万元</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37.89万元</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实现节能减排，减少环保治理经费</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有所改善</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有所改善</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改善</w:t>
            </w:r>
            <w:r>
              <w:rPr>
                <w:rFonts w:hint="eastAsia" w:ascii="仿宋_GB2312" w:hAnsi="仿宋_GB2312" w:eastAsia="仿宋_GB2312" w:cs="仿宋_GB2312"/>
                <w:color w:val="000000"/>
                <w:sz w:val="20"/>
                <w:szCs w:val="20"/>
                <w:highlight w:val="none"/>
              </w:rPr>
              <w:t>达到环境质量控制目标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有所改善</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有所改善</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促进环境质量认知度</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有所促进</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有所促进</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绿色发展稳步推进</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效益明显</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效益明显</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服务对象满意度</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≥95%</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99.70</w:t>
            </w:r>
            <w:r>
              <w:rPr>
                <w:rFonts w:hint="eastAsia" w:ascii="仿宋_GB2312" w:hAnsi="仿宋_GB2312" w:eastAsia="仿宋_GB2312" w:cs="仿宋_GB2312"/>
                <w:color w:val="000000"/>
                <w:sz w:val="20"/>
                <w:szCs w:val="20"/>
                <w:highlight w:val="none"/>
                <w:lang w:eastAsia="zh-CN"/>
              </w:rPr>
              <w:t>%</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年度岳阳市生态环境局云溪分局</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年度岳阳市生态环境局云溪分局</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部门基本情况</w:t>
      </w:r>
    </w:p>
    <w:p>
      <w:pPr>
        <w:keepNext w:val="0"/>
        <w:keepLines w:val="0"/>
        <w:pageBreakBefore w:val="0"/>
        <w:kinsoku/>
        <w:wordWrap/>
        <w:overflowPunct/>
        <w:topLinePunct w:val="0"/>
        <w:autoSpaceDE/>
        <w:autoSpaceDN/>
        <w:bidi w:val="0"/>
        <w:adjustRightInd/>
        <w:snapToGrid/>
        <w:spacing w:line="640" w:lineRule="exact"/>
        <w:ind w:firstLine="643" w:firstLineChars="200"/>
        <w:jc w:val="both"/>
        <w:textAlignment w:val="auto"/>
        <w:rPr>
          <w:rFonts w:hint="eastAsia" w:ascii="Times New Roman" w:hAnsi="Times New Roman" w:eastAsia="楷体_GB2312" w:cs="Times New Roman"/>
          <w:b/>
          <w:kern w:val="0"/>
          <w:sz w:val="32"/>
          <w:szCs w:val="32"/>
          <w:highlight w:val="none"/>
          <w:lang w:val="en-US" w:eastAsia="zh-CN" w:bidi="ar-SA"/>
        </w:rPr>
      </w:pPr>
      <w:r>
        <w:rPr>
          <w:rFonts w:hint="eastAsia" w:ascii="Times New Roman" w:hAnsi="Times New Roman" w:eastAsia="楷体_GB2312" w:cs="Times New Roman"/>
          <w:b/>
          <w:kern w:val="0"/>
          <w:sz w:val="32"/>
          <w:szCs w:val="32"/>
          <w:highlight w:val="none"/>
          <w:lang w:val="en-US" w:eastAsia="zh-CN" w:bidi="ar-SA"/>
        </w:rPr>
        <w:t>（一）职能职责</w:t>
      </w:r>
    </w:p>
    <w:p>
      <w:pPr>
        <w:keepNext w:val="0"/>
        <w:keepLines w:val="0"/>
        <w:pageBreakBefore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sz w:val="32"/>
        </w:rPr>
      </w:pPr>
      <w:r>
        <w:rPr>
          <w:rFonts w:hint="eastAsia" w:ascii="仿宋_GB2312" w:hAnsi="仿宋_GB2312" w:eastAsia="仿宋_GB2312"/>
          <w:sz w:val="32"/>
          <w:lang w:val="en-US" w:eastAsia="zh-CN"/>
        </w:rPr>
        <w:t>1、</w:t>
      </w:r>
      <w:r>
        <w:rPr>
          <w:rFonts w:hint="default" w:ascii="仿宋_GB2312" w:hAnsi="仿宋_GB2312" w:eastAsia="仿宋_GB2312"/>
          <w:sz w:val="32"/>
        </w:rPr>
        <w:t>受市生态环境局委托，承担辖区内的生态环境相关工作；承担市生态环境局和区委、区政府交办的其他任务。</w:t>
      </w:r>
    </w:p>
    <w:p>
      <w:pPr>
        <w:keepNext w:val="0"/>
        <w:keepLines w:val="0"/>
        <w:pageBreakBefore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sz w:val="32"/>
        </w:rPr>
      </w:pPr>
      <w:r>
        <w:rPr>
          <w:rFonts w:hint="eastAsia" w:ascii="仿宋_GB2312" w:hAnsi="仿宋_GB2312" w:eastAsia="仿宋_GB2312"/>
          <w:sz w:val="32"/>
          <w:lang w:val="en-US" w:eastAsia="zh-CN"/>
        </w:rPr>
        <w:t>2、</w:t>
      </w:r>
      <w:r>
        <w:rPr>
          <w:rFonts w:hint="default" w:ascii="仿宋_GB2312" w:hAnsi="仿宋_GB2312" w:eastAsia="仿宋_GB2312"/>
          <w:sz w:val="32"/>
        </w:rPr>
        <w:t>负责本辖区内重点污染源在线监控系统现场监督管理；负责受理和办理生态环境保护举报（信访），负责生态环境信访维稳事件的现场调查处置工作；负责环境区级执法事项违法案件调查处理；负责组织协调生态环境保护区级跨部门联合执法行动。</w:t>
      </w:r>
    </w:p>
    <w:p>
      <w:pPr>
        <w:pStyle w:val="4"/>
        <w:ind w:firstLine="640" w:firstLineChars="200"/>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3、负责本辖区生态环境质量监测、执法监测、污染源监测和应急监测；负责辖区内生态文明示范区创建。</w:t>
      </w:r>
    </w:p>
    <w:p>
      <w:pPr>
        <w:numPr>
          <w:ilvl w:val="0"/>
          <w:numId w:val="0"/>
        </w:numPr>
        <w:spacing w:line="600" w:lineRule="exact"/>
        <w:ind w:firstLine="643" w:firstLineChars="200"/>
        <w:rPr>
          <w:rFonts w:hint="eastAsia" w:ascii="Times New Roman" w:hAnsi="Times New Roman" w:eastAsia="楷体_GB2312" w:cs="Times New Roman"/>
          <w:b/>
          <w:kern w:val="0"/>
          <w:sz w:val="32"/>
          <w:szCs w:val="32"/>
          <w:highlight w:val="none"/>
          <w:lang w:val="en-US" w:eastAsia="zh-CN" w:bidi="ar-SA"/>
        </w:rPr>
      </w:pPr>
      <w:r>
        <w:rPr>
          <w:rFonts w:hint="eastAsia" w:ascii="Times New Roman" w:hAnsi="Times New Roman" w:eastAsia="楷体_GB2312" w:cs="Times New Roman"/>
          <w:b/>
          <w:kern w:val="0"/>
          <w:sz w:val="32"/>
          <w:szCs w:val="32"/>
          <w:lang w:val="en-US" w:eastAsia="zh-CN" w:bidi="ar-SA"/>
        </w:rPr>
        <w:t>（二）</w:t>
      </w:r>
      <w:r>
        <w:rPr>
          <w:rFonts w:hint="eastAsia" w:ascii="Times New Roman" w:hAnsi="Times New Roman" w:eastAsia="楷体_GB2312" w:cs="Times New Roman"/>
          <w:b/>
          <w:kern w:val="0"/>
          <w:sz w:val="32"/>
          <w:szCs w:val="32"/>
          <w:highlight w:val="none"/>
          <w:lang w:val="en-US" w:eastAsia="zh-CN" w:bidi="ar-SA"/>
        </w:rPr>
        <w:t>机构设置</w:t>
      </w:r>
    </w:p>
    <w:p>
      <w:pPr>
        <w:ind w:firstLine="640" w:firstLineChars="200"/>
        <w:rPr>
          <w:rFonts w:hint="default" w:eastAsia="宋体"/>
          <w:lang w:val="en-US" w:eastAsia="zh-CN"/>
        </w:rPr>
      </w:pPr>
      <w:r>
        <w:rPr>
          <w:rFonts w:hint="default" w:ascii="仿宋_GB2312" w:hAnsi="仿宋_GB2312" w:eastAsia="仿宋_GB2312"/>
          <w:sz w:val="32"/>
        </w:rPr>
        <w:t>岳阳市生态环境局</w:t>
      </w:r>
      <w:r>
        <w:rPr>
          <w:rFonts w:hint="eastAsia" w:ascii="仿宋_GB2312" w:hAnsi="仿宋_GB2312" w:eastAsia="仿宋_GB2312"/>
          <w:sz w:val="32"/>
          <w:lang w:val="en-US" w:eastAsia="zh-CN"/>
        </w:rPr>
        <w:t>2023年机关核定</w:t>
      </w:r>
      <w:r>
        <w:rPr>
          <w:rFonts w:hint="default" w:ascii="仿宋_GB2312" w:hAnsi="仿宋_GB2312" w:eastAsia="仿宋_GB2312"/>
          <w:sz w:val="32"/>
        </w:rPr>
        <w:t>编制数</w:t>
      </w:r>
      <w:r>
        <w:rPr>
          <w:rFonts w:hint="eastAsia" w:ascii="仿宋_GB2312" w:hAnsi="仿宋_GB2312" w:eastAsia="仿宋_GB2312"/>
          <w:sz w:val="32"/>
          <w:lang w:val="en-US" w:eastAsia="zh-CN"/>
        </w:rPr>
        <w:t>13</w:t>
      </w:r>
      <w:r>
        <w:rPr>
          <w:rFonts w:hint="default" w:ascii="仿宋_GB2312" w:hAnsi="仿宋_GB2312" w:eastAsia="仿宋_GB2312"/>
          <w:sz w:val="32"/>
        </w:rPr>
        <w:t>人</w:t>
      </w:r>
      <w:r>
        <w:rPr>
          <w:rFonts w:hint="eastAsia" w:ascii="仿宋_GB2312" w:hAnsi="仿宋_GB2312" w:eastAsia="仿宋_GB2312"/>
          <w:sz w:val="32"/>
          <w:lang w:eastAsia="zh-CN"/>
        </w:rPr>
        <w:t>，实有人数</w:t>
      </w:r>
      <w:r>
        <w:rPr>
          <w:rFonts w:hint="eastAsia" w:ascii="仿宋_GB2312" w:hAnsi="仿宋_GB2312" w:eastAsia="仿宋_GB2312"/>
          <w:sz w:val="32"/>
          <w:lang w:val="en-US" w:eastAsia="zh-CN"/>
        </w:rPr>
        <w:t>11人，空编2人，大队编制数10人，实有人数3人，空编7人。</w:t>
      </w:r>
      <w:r>
        <w:rPr>
          <w:rFonts w:hint="default" w:ascii="仿宋_GB2312" w:hAnsi="仿宋_GB2312" w:eastAsia="仿宋_GB2312"/>
          <w:sz w:val="32"/>
        </w:rPr>
        <w:t>离退休人员</w:t>
      </w:r>
      <w:r>
        <w:rPr>
          <w:rFonts w:hint="eastAsia" w:ascii="仿宋_GB2312" w:hAnsi="仿宋_GB2312" w:eastAsia="仿宋_GB2312"/>
          <w:sz w:val="32"/>
          <w:lang w:val="en-US" w:eastAsia="zh-CN"/>
        </w:rPr>
        <w:t>8</w:t>
      </w:r>
      <w:r>
        <w:rPr>
          <w:rFonts w:hint="default" w:ascii="仿宋_GB2312" w:hAnsi="仿宋_GB2312" w:eastAsia="仿宋_GB2312"/>
          <w:sz w:val="32"/>
        </w:rPr>
        <w:t>人。</w:t>
      </w:r>
    </w:p>
    <w:p>
      <w:pPr>
        <w:pStyle w:val="9"/>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9"/>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default" w:ascii="Times New Roman" w:hAnsi="Times New Roman" w:eastAsia="楷体_GB2312" w:cs="Times New Roman"/>
          <w:b/>
          <w:sz w:val="32"/>
          <w:szCs w:val="32"/>
          <w:highlight w:val="none"/>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2023年基本支出预算数251.99万元，实际支出决算数306.38万元。其中：人员经费261.84万元，主要包括：基本工资、津贴补贴、奖金、伙食补助、机关事业单位基本养老保险缴费、职工基本医疗保险缴费、其他社会保障缴费、住房公积金等、其他工资福利支出、退休费、医疗费补助、奖励金、其他对个人和家庭的补助；公用经费44.54万元，主要包括：办公费、印刷费、咨询费、水费、电费、邮电费、物业管理费、差旅费、维修费、专用燃料费、劳务费、委托业务费、工会经费、福利费、公务用车运行维护费、其他交通费用、其他商品和服务支出等。</w:t>
      </w:r>
    </w:p>
    <w:p>
      <w:pPr>
        <w:pStyle w:val="9"/>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（二）项目支出情况</w:t>
      </w:r>
    </w:p>
    <w:p>
      <w:pPr>
        <w:pStyle w:val="9"/>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sz w:val="32"/>
          <w:szCs w:val="32"/>
          <w:highlight w:val="none"/>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2023年项目支出预算数10.00万元，实际支出决算数52.09万元，用于办案费支出，环境监测、监控及监察能力建设，环境监察、监测等运行经费支出。</w:t>
      </w:r>
    </w:p>
    <w:p>
      <w:pPr>
        <w:pStyle w:val="9"/>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三、政府性基金预算支出情况</w:t>
      </w:r>
    </w:p>
    <w:p>
      <w:pPr>
        <w:pStyle w:val="9"/>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FangSong_GB2312" w:hAnsi="FangSong_GB2312" w:eastAsia="FangSong_GB2312" w:cs="FangSong_GB2312"/>
          <w:color w:val="000000" w:themeColor="text1"/>
          <w:sz w:val="32"/>
          <w:szCs w:val="32"/>
          <w14:textFill>
            <w14:solidFill>
              <w14:schemeClr w14:val="tx1"/>
            </w14:solidFill>
          </w14:textFill>
        </w:rPr>
        <w:t>202</w:t>
      </w:r>
      <w:r>
        <w:rPr>
          <w:rFonts w:hint="eastAsia" w:ascii="FangSong_GB2312" w:hAnsi="FangSong_GB2312" w:eastAsia="FangSong_GB2312" w:cs="FangSong_GB2312"/>
          <w:color w:val="000000" w:themeColor="text1"/>
          <w:sz w:val="32"/>
          <w:szCs w:val="32"/>
          <w:lang w:val="en-US" w:eastAsia="zh-CN"/>
          <w14:textFill>
            <w14:solidFill>
              <w14:schemeClr w14:val="tx1"/>
            </w14:solidFill>
          </w14:textFill>
        </w:rPr>
        <w:t>3</w:t>
      </w:r>
      <w:r>
        <w:rPr>
          <w:rFonts w:hint="eastAsia" w:ascii="FangSong_GB2312" w:hAnsi="FangSong_GB2312" w:eastAsia="FangSong_GB2312" w:cs="FangSong_GB2312"/>
          <w:color w:val="000000" w:themeColor="text1"/>
          <w:sz w:val="32"/>
          <w:szCs w:val="32"/>
          <w14:textFill>
            <w14:solidFill>
              <w14:schemeClr w14:val="tx1"/>
            </w14:solidFill>
          </w14:textFill>
        </w:rPr>
        <w:t>年度本单位无政府性基金安排的支出。</w:t>
      </w:r>
    </w:p>
    <w:p>
      <w:pPr>
        <w:pStyle w:val="9"/>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四、国有资本经营预算支出情况</w:t>
      </w:r>
    </w:p>
    <w:p>
      <w:pPr>
        <w:pStyle w:val="9"/>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FangSong_GB2312" w:hAnsi="FangSong_GB2312" w:eastAsia="FangSong_GB2312" w:cs="FangSong_GB2312"/>
          <w:color w:val="000000" w:themeColor="text1"/>
          <w:sz w:val="32"/>
          <w:szCs w:val="32"/>
          <w14:textFill>
            <w14:solidFill>
              <w14:schemeClr w14:val="tx1"/>
            </w14:solidFill>
          </w14:textFill>
        </w:rPr>
        <w:t>202</w:t>
      </w:r>
      <w:r>
        <w:rPr>
          <w:rFonts w:hint="eastAsia" w:ascii="FangSong_GB2312" w:hAnsi="FangSong_GB2312" w:eastAsia="FangSong_GB2312" w:cs="FangSong_GB2312"/>
          <w:color w:val="000000" w:themeColor="text1"/>
          <w:sz w:val="32"/>
          <w:szCs w:val="32"/>
          <w:lang w:val="en-US" w:eastAsia="zh-CN"/>
          <w14:textFill>
            <w14:solidFill>
              <w14:schemeClr w14:val="tx1"/>
            </w14:solidFill>
          </w14:textFill>
        </w:rPr>
        <w:t>3</w:t>
      </w:r>
      <w:r>
        <w:rPr>
          <w:rFonts w:hint="eastAsia" w:ascii="FangSong_GB2312" w:hAnsi="FangSong_GB2312" w:eastAsia="FangSong_GB2312" w:cs="FangSong_GB2312"/>
          <w:color w:val="000000" w:themeColor="text1"/>
          <w:sz w:val="32"/>
          <w:szCs w:val="32"/>
          <w14:textFill>
            <w14:solidFill>
              <w14:schemeClr w14:val="tx1"/>
            </w14:solidFill>
          </w14:textFill>
        </w:rPr>
        <w:t>年度本单位无国有资本经营预算支出。</w:t>
      </w:r>
    </w:p>
    <w:p>
      <w:pPr>
        <w:pStyle w:val="9"/>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五、社会保险基金预算支出情况</w:t>
      </w:r>
    </w:p>
    <w:p>
      <w:pPr>
        <w:pStyle w:val="9"/>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FangSong_GB2312" w:hAnsi="FangSong_GB2312" w:eastAsia="FangSong_GB2312" w:cs="FangSong_GB2312"/>
          <w:color w:val="000000" w:themeColor="text1"/>
          <w:sz w:val="32"/>
          <w:szCs w:val="32"/>
          <w14:textFill>
            <w14:solidFill>
              <w14:schemeClr w14:val="tx1"/>
            </w14:solidFill>
          </w14:textFill>
        </w:rPr>
        <w:t>202</w:t>
      </w:r>
      <w:r>
        <w:rPr>
          <w:rFonts w:hint="eastAsia" w:ascii="FangSong_GB2312" w:hAnsi="FangSong_GB2312" w:eastAsia="FangSong_GB2312" w:cs="FangSong_GB2312"/>
          <w:color w:val="000000" w:themeColor="text1"/>
          <w:sz w:val="32"/>
          <w:szCs w:val="32"/>
          <w:lang w:val="en-US" w:eastAsia="zh-CN"/>
          <w14:textFill>
            <w14:solidFill>
              <w14:schemeClr w14:val="tx1"/>
            </w14:solidFill>
          </w14:textFill>
        </w:rPr>
        <w:t>3</w:t>
      </w:r>
      <w:r>
        <w:rPr>
          <w:rFonts w:hint="eastAsia" w:ascii="FangSong_GB2312" w:hAnsi="FangSong_GB2312" w:eastAsia="FangSong_GB2312" w:cs="FangSong_GB2312"/>
          <w:color w:val="000000" w:themeColor="text1"/>
          <w:sz w:val="32"/>
          <w:szCs w:val="32"/>
          <w14:textFill>
            <w14:solidFill>
              <w14:schemeClr w14:val="tx1"/>
            </w14:solidFill>
          </w14:textFill>
        </w:rPr>
        <w:t>年度本单位无社会保险基金预算支出。</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单位各项项目资金其主要用途是确保单位的正常运转，促进各项工作任务顺利完成。在人员经费支出、公共支出严格执行区委区政府的各项制度；在项目经费的使用上，在保证各项任务顺利完成的同时，严格落实厉行节约的原则；三公经费的使用严格控制在预算申报的范围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楷体_GB2312" w:hAnsi="楷体_GB2312" w:eastAsia="楷体_GB2312" w:cs="楷体_GB2312"/>
          <w:b/>
          <w:bCs/>
          <w:kern w:val="2"/>
          <w:sz w:val="32"/>
          <w:szCs w:val="32"/>
          <w:lang w:val="en-US" w:eastAsia="zh-CN"/>
        </w:rPr>
      </w:pPr>
      <w:r>
        <w:rPr>
          <w:rFonts w:hint="eastAsia" w:ascii="楷体_GB2312" w:hAnsi="楷体_GB2312" w:eastAsia="楷体_GB2312" w:cs="楷体_GB2312"/>
          <w:b/>
          <w:bCs/>
          <w:kern w:val="2"/>
          <w:sz w:val="32"/>
          <w:szCs w:val="32"/>
          <w:lang w:val="en-US" w:eastAsia="zh-CN"/>
        </w:rPr>
        <w:t>（一）全面落实2023年《政府工作报告》目标任务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kern w:val="2"/>
          <w:sz w:val="32"/>
          <w:szCs w:val="32"/>
          <w:lang w:val="en-US" w:eastAsia="zh-CN"/>
        </w:rPr>
      </w:pPr>
      <w:r>
        <w:rPr>
          <w:rFonts w:hint="eastAsia" w:ascii="楷体_GB2312" w:hAnsi="楷体_GB2312" w:eastAsia="楷体_GB2312" w:cs="楷体_GB2312"/>
          <w:b/>
          <w:bCs/>
          <w:kern w:val="2"/>
          <w:sz w:val="32"/>
          <w:szCs w:val="32"/>
          <w:lang w:val="en-US" w:eastAsia="zh-CN" w:bidi="ar-SA"/>
        </w:rPr>
        <w:t>1.长江、双花水库等考核断面水质优良率方面。</w:t>
      </w:r>
      <w:r>
        <w:rPr>
          <w:rFonts w:hint="eastAsia" w:ascii="仿宋_GB2312" w:eastAsia="仿宋_GB2312" w:hAnsiTheme="minorHAnsi" w:cstheme="minorBidi"/>
          <w:kern w:val="2"/>
          <w:sz w:val="32"/>
          <w:szCs w:val="32"/>
        </w:rPr>
        <w:t>202</w:t>
      </w:r>
      <w:r>
        <w:rPr>
          <w:rFonts w:hint="eastAsia" w:ascii="仿宋_GB2312" w:eastAsia="仿宋_GB2312" w:hAnsiTheme="minorHAnsi" w:cstheme="minorBidi"/>
          <w:kern w:val="2"/>
          <w:sz w:val="32"/>
          <w:szCs w:val="32"/>
          <w:lang w:val="en-US" w:eastAsia="zh-CN"/>
        </w:rPr>
        <w:t>3</w:t>
      </w:r>
      <w:r>
        <w:rPr>
          <w:rFonts w:hint="eastAsia" w:ascii="仿宋_GB2312" w:eastAsia="仿宋_GB2312" w:hAnsiTheme="minorHAnsi" w:cstheme="minorBidi"/>
          <w:kern w:val="2"/>
          <w:sz w:val="32"/>
          <w:szCs w:val="32"/>
        </w:rPr>
        <w:t>年</w:t>
      </w:r>
      <w:r>
        <w:rPr>
          <w:rFonts w:hint="eastAsia" w:ascii="仿宋_GB2312" w:eastAsia="仿宋_GB2312" w:hAnsiTheme="minorHAnsi" w:cstheme="minorBidi"/>
          <w:kern w:val="2"/>
          <w:sz w:val="32"/>
          <w:szCs w:val="32"/>
          <w:lang w:val="en-US" w:eastAsia="zh-CN"/>
        </w:rPr>
        <w:t>以来</w:t>
      </w:r>
      <w:r>
        <w:rPr>
          <w:rFonts w:hint="eastAsia" w:ascii="仿宋_GB2312" w:eastAsia="仿宋_GB2312" w:hAnsiTheme="minorHAnsi" w:cstheme="minorBidi"/>
          <w:kern w:val="2"/>
          <w:sz w:val="32"/>
          <w:szCs w:val="32"/>
        </w:rPr>
        <w:t>，我区地表水考核断面</w:t>
      </w:r>
      <w:r>
        <w:rPr>
          <w:rFonts w:hint="eastAsia" w:ascii="仿宋_GB2312" w:eastAsia="仿宋_GB2312" w:hAnsiTheme="minorHAnsi" w:cstheme="minorBidi"/>
          <w:kern w:val="2"/>
          <w:sz w:val="32"/>
          <w:szCs w:val="32"/>
          <w:lang w:val="en-US" w:eastAsia="zh-CN"/>
        </w:rPr>
        <w:t>总体</w:t>
      </w:r>
      <w:r>
        <w:rPr>
          <w:rFonts w:hint="eastAsia" w:ascii="仿宋_GB2312" w:eastAsia="仿宋_GB2312" w:hAnsiTheme="minorHAnsi" w:cstheme="minorBidi"/>
          <w:kern w:val="2"/>
          <w:sz w:val="32"/>
          <w:szCs w:val="32"/>
        </w:rPr>
        <w:t>水质达标率为100%，长江陆城断面、</w:t>
      </w:r>
      <w:r>
        <w:rPr>
          <w:rFonts w:hint="eastAsia" w:ascii="仿宋_GB2312" w:eastAsia="仿宋_GB2312" w:hAnsiTheme="minorHAnsi" w:cstheme="minorBidi"/>
          <w:kern w:val="2"/>
          <w:sz w:val="32"/>
          <w:szCs w:val="32"/>
          <w:lang w:val="en-US" w:eastAsia="zh-CN"/>
        </w:rPr>
        <w:t>城陵矶断面以及</w:t>
      </w:r>
      <w:r>
        <w:rPr>
          <w:rFonts w:hint="eastAsia" w:ascii="仿宋_GB2312" w:hAnsi="宋体" w:eastAsia="仿宋_GB2312" w:cs="宋体"/>
          <w:kern w:val="2"/>
          <w:sz w:val="32"/>
          <w:szCs w:val="32"/>
        </w:rPr>
        <w:t>县级</w:t>
      </w:r>
      <w:r>
        <w:rPr>
          <w:rFonts w:hint="eastAsia" w:ascii="仿宋_GB2312" w:hAnsi="宋体" w:eastAsia="仿宋_GB2312" w:cs="宋体"/>
          <w:kern w:val="2"/>
          <w:sz w:val="32"/>
          <w:szCs w:val="32"/>
          <w:lang w:val="en-US" w:eastAsia="zh-CN"/>
        </w:rPr>
        <w:t>备用</w:t>
      </w:r>
      <w:r>
        <w:rPr>
          <w:rFonts w:hint="eastAsia" w:ascii="仿宋_GB2312" w:hAnsi="宋体" w:eastAsia="仿宋_GB2312" w:cs="宋体"/>
          <w:kern w:val="2"/>
          <w:sz w:val="32"/>
          <w:szCs w:val="32"/>
        </w:rPr>
        <w:t>饮用水水源地双花水库水质</w:t>
      </w:r>
      <w:r>
        <w:rPr>
          <w:rFonts w:hint="eastAsia" w:ascii="仿宋_GB2312" w:eastAsia="仿宋_GB2312" w:hAnsiTheme="minorHAnsi" w:cstheme="minorBidi"/>
          <w:kern w:val="2"/>
          <w:sz w:val="32"/>
          <w:szCs w:val="32"/>
        </w:rPr>
        <w:t>长期稳</w:t>
      </w:r>
      <w:r>
        <w:rPr>
          <w:rFonts w:hint="eastAsia" w:ascii="仿宋_GB2312" w:hAnsi="Times New Roman" w:eastAsia="仿宋_GB2312" w:cs="Times New Roman"/>
          <w:kern w:val="2"/>
          <w:sz w:val="32"/>
          <w:szCs w:val="32"/>
        </w:rPr>
        <w:t>定在</w:t>
      </w:r>
      <w:r>
        <w:rPr>
          <w:rFonts w:hint="eastAsia" w:ascii="仿宋_GB2312" w:hAnsi="Times New Roman" w:eastAsia="仿宋_GB2312" w:cs="Times New Roman"/>
          <w:kern w:val="2"/>
          <w:sz w:val="32"/>
          <w:szCs w:val="32"/>
          <w:lang w:val="en-US" w:eastAsia="zh-CN"/>
        </w:rPr>
        <w:t>二</w:t>
      </w:r>
      <w:r>
        <w:rPr>
          <w:rFonts w:hint="eastAsia" w:ascii="仿宋_GB2312" w:hAnsi="Times New Roman" w:eastAsia="仿宋_GB2312" w:cs="Times New Roman"/>
          <w:kern w:val="2"/>
          <w:sz w:val="32"/>
          <w:szCs w:val="32"/>
        </w:rPr>
        <w:t>类</w:t>
      </w:r>
      <w:r>
        <w:rPr>
          <w:rFonts w:hint="eastAsia" w:ascii="仿宋_GB2312" w:hAnsi="Times New Roman" w:eastAsia="仿宋_GB2312" w:cs="Times New Roman"/>
          <w:kern w:val="2"/>
          <w:sz w:val="32"/>
          <w:szCs w:val="32"/>
          <w:lang w:val="en-US" w:eastAsia="zh-CN"/>
        </w:rPr>
        <w:t>标准</w:t>
      </w:r>
      <w:r>
        <w:rPr>
          <w:rFonts w:hint="eastAsia" w:ascii="仿宋_GB2312" w:hAnsi="仿宋_GB2312" w:eastAsia="仿宋_GB2312" w:cs="仿宋_GB2312"/>
          <w:kern w:val="2"/>
          <w:sz w:val="32"/>
          <w:szCs w:val="32"/>
          <w:lang w:val="en-US" w:eastAsia="zh-CN"/>
        </w:rPr>
        <w:t>，芭蕉湖断面水质基本达到三类标准</w:t>
      </w:r>
      <w:r>
        <w:rPr>
          <w:rFonts w:hint="eastAsia" w:ascii="仿宋_GB2312" w:eastAsia="仿宋_GB2312" w:hAnsiTheme="minorHAnsi" w:cstheme="minorBidi"/>
          <w:kern w:val="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kern w:val="2"/>
          <w:sz w:val="32"/>
          <w:szCs w:val="32"/>
          <w:lang w:val="en-US" w:eastAsia="zh-CN"/>
        </w:rPr>
      </w:pPr>
      <w:r>
        <w:rPr>
          <w:rFonts w:hint="eastAsia" w:ascii="楷体_GB2312" w:hAnsi="楷体_GB2312" w:eastAsia="楷体_GB2312" w:cs="楷体_GB2312"/>
          <w:b/>
          <w:bCs/>
          <w:kern w:val="2"/>
          <w:sz w:val="32"/>
          <w:szCs w:val="32"/>
          <w:lang w:val="en-US" w:eastAsia="zh-CN" w:bidi="ar-SA"/>
        </w:rPr>
        <w:t>2.洞庭湖总磷污染控制与削减攻坚行动开展方面。</w:t>
      </w:r>
      <w:r>
        <w:rPr>
          <w:rFonts w:hint="eastAsia" w:ascii="仿宋_GB2312" w:hAnsi="仿宋_GB2312" w:eastAsia="仿宋_GB2312" w:cs="仿宋_GB2312"/>
          <w:kern w:val="2"/>
          <w:sz w:val="32"/>
          <w:szCs w:val="32"/>
          <w:lang w:val="en-US" w:eastAsia="zh-CN"/>
        </w:rPr>
        <w:t>高新区智慧园区平台提质改造项目建设已基本完成，正协调园区企业接入各自信息，并对园区公共区域端口进行联网通电工作。</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kern w:val="2"/>
          <w:sz w:val="32"/>
          <w:szCs w:val="32"/>
          <w:lang w:val="en-US" w:eastAsia="zh-CN"/>
        </w:rPr>
      </w:pPr>
      <w:r>
        <w:rPr>
          <w:rFonts w:hint="eastAsia" w:ascii="楷体_GB2312" w:hAnsi="楷体_GB2312" w:eastAsia="楷体_GB2312" w:cs="楷体_GB2312"/>
          <w:b/>
          <w:bCs/>
          <w:kern w:val="2"/>
          <w:sz w:val="32"/>
          <w:szCs w:val="32"/>
          <w:lang w:val="en-US" w:eastAsia="zh-CN" w:bidi="ar-SA"/>
        </w:rPr>
        <w:t>3.空气质量达标方面。</w:t>
      </w:r>
      <w:r>
        <w:rPr>
          <w:rFonts w:hint="eastAsia" w:ascii="仿宋_GB2312" w:hAnsi="仿宋_GB2312" w:eastAsia="仿宋_GB2312" w:cs="仿宋_GB2312"/>
          <w:kern w:val="2"/>
          <w:sz w:val="32"/>
          <w:szCs w:val="32"/>
          <w:lang w:val="en-US" w:eastAsia="zh-CN"/>
        </w:rPr>
        <w:t>截至2023年11月，我区城区空气质量优良率为86.4%，PM2.5、PM10平均浓度分别为32微克/立方米、53微克/立方米，各主要污染因子均达到国家二级标准。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kern w:val="2"/>
          <w:sz w:val="32"/>
          <w:szCs w:val="32"/>
          <w:lang w:val="en-US" w:eastAsia="zh-CN"/>
        </w:rPr>
      </w:pPr>
      <w:r>
        <w:rPr>
          <w:rFonts w:hint="eastAsia" w:ascii="楷体_GB2312" w:hAnsi="楷体_GB2312" w:eastAsia="楷体_GB2312" w:cs="楷体_GB2312"/>
          <w:b/>
          <w:bCs/>
          <w:kern w:val="2"/>
          <w:sz w:val="32"/>
          <w:szCs w:val="32"/>
          <w:lang w:val="en-US" w:eastAsia="zh-CN" w:bidi="ar-SA"/>
        </w:rPr>
        <w:t>4.生态环境违法举报奖励制度建立与落实情况。</w:t>
      </w:r>
      <w:r>
        <w:rPr>
          <w:rFonts w:hint="eastAsia" w:ascii="仿宋_GB2312" w:hAnsi="仿宋_GB2312" w:eastAsia="仿宋_GB2312" w:cs="仿宋_GB2312"/>
          <w:kern w:val="2"/>
          <w:sz w:val="32"/>
          <w:szCs w:val="32"/>
          <w:lang w:val="en-US" w:eastAsia="zh-CN"/>
        </w:rPr>
        <w:t>严格贯彻落实好市局《关于印发&lt;岳阳市生态环境违法行为举报奖励办法&gt;的通知》文件要求，今年已发放3起有奖举报奖金2000元。下步将进一步加大宣传力度，确保奖励办法落实落地落细。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default" w:ascii="楷体_GB2312" w:hAnsi="楷体_GB2312" w:eastAsia="楷体_GB2312" w:cs="楷体_GB2312"/>
          <w:b/>
          <w:bCs/>
          <w:kern w:val="2"/>
          <w:sz w:val="32"/>
          <w:szCs w:val="32"/>
          <w:lang w:val="en-US" w:eastAsia="zh-CN"/>
        </w:rPr>
      </w:pPr>
      <w:r>
        <w:rPr>
          <w:rFonts w:hint="eastAsia" w:ascii="楷体_GB2312" w:hAnsi="楷体_GB2312" w:eastAsia="楷体_GB2312" w:cs="楷体_GB2312"/>
          <w:b/>
          <w:bCs/>
          <w:kern w:val="2"/>
          <w:sz w:val="32"/>
          <w:szCs w:val="32"/>
          <w:lang w:val="en-US" w:eastAsia="zh-CN"/>
        </w:rPr>
        <w:t>（二）持续深入开展污染防治攻坚战</w:t>
      </w:r>
    </w:p>
    <w:p>
      <w:pPr>
        <w:pStyle w:val="5"/>
        <w:keepNext w:val="0"/>
        <w:keepLines w:val="0"/>
        <w:pageBreakBefore w:val="0"/>
        <w:widowControl w:val="0"/>
        <w:kinsoku/>
        <w:wordWrap/>
        <w:overflowPunct/>
        <w:topLinePunct w:val="0"/>
        <w:autoSpaceDE/>
        <w:autoSpaceDN/>
        <w:bidi w:val="0"/>
        <w:adjustRightInd/>
        <w:snapToGrid/>
        <w:spacing w:after="0" w:afterLines="0" w:line="600" w:lineRule="exact"/>
        <w:ind w:left="0" w:leftChars="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kern w:val="2"/>
          <w:sz w:val="32"/>
          <w:szCs w:val="32"/>
          <w:lang w:val="en-US" w:eastAsia="zh-CN" w:bidi="ar-SA"/>
        </w:rPr>
        <w:t>污染防治攻坚战“夏季攻势”方面。“夏季攻势”任务清单</w:t>
      </w:r>
      <w:r>
        <w:rPr>
          <w:rFonts w:hint="eastAsia" w:ascii="仿宋_GB2312" w:hAnsi="仿宋_GB2312" w:eastAsia="仿宋_GB2312" w:cs="仿宋_GB2312"/>
          <w:b w:val="0"/>
          <w:bCs w:val="0"/>
          <w:color w:val="auto"/>
          <w:sz w:val="32"/>
          <w:szCs w:val="32"/>
          <w:highlight w:val="none"/>
          <w:lang w:val="en-US" w:eastAsia="zh-CN"/>
        </w:rPr>
        <w:t>共5大类51项工作任务，</w:t>
      </w:r>
      <w:r>
        <w:rPr>
          <w:rFonts w:hint="eastAsia" w:ascii="仿宋_GB2312" w:hAnsi="仿宋_GB2312" w:eastAsia="仿宋_GB2312" w:cs="仿宋_GB2312"/>
          <w:sz w:val="32"/>
          <w:szCs w:val="32"/>
          <w:lang w:val="en-US" w:eastAsia="zh-CN"/>
        </w:rPr>
        <w:t>已全面完成整改销号。</w:t>
      </w:r>
      <w:r>
        <w:rPr>
          <w:rFonts w:hint="eastAsia" w:ascii="楷体_GB2312" w:hAnsi="楷体_GB2312" w:eastAsia="楷体_GB2312" w:cs="楷体_GB2312"/>
          <w:b/>
          <w:bCs/>
          <w:kern w:val="2"/>
          <w:sz w:val="32"/>
          <w:szCs w:val="32"/>
          <w:lang w:val="en-US" w:eastAsia="zh-CN" w:bidi="ar-SA"/>
        </w:rPr>
        <w:t>治水方面。</w:t>
      </w:r>
      <w:r>
        <w:rPr>
          <w:rFonts w:hint="eastAsia" w:ascii="仿宋_GB2312" w:hAnsi="仿宋_GB2312" w:eastAsia="仿宋_GB2312" w:cs="仿宋_GB2312"/>
          <w:sz w:val="32"/>
          <w:szCs w:val="32"/>
          <w:lang w:val="en-US" w:eastAsia="zh-CN"/>
        </w:rPr>
        <w:t>对全区13条重要河湖定期进行水质监测，河湖水质均稳定在三类水质；扎实开展长江入河排污口整改工作。</w:t>
      </w:r>
      <w:r>
        <w:rPr>
          <w:rFonts w:hint="eastAsia" w:ascii="楷体_GB2312" w:hAnsi="楷体_GB2312" w:eastAsia="楷体_GB2312" w:cs="楷体_GB2312"/>
          <w:b/>
          <w:bCs/>
          <w:kern w:val="2"/>
          <w:sz w:val="32"/>
          <w:szCs w:val="32"/>
          <w:lang w:val="en-US" w:eastAsia="zh-CN" w:bidi="ar-SA"/>
        </w:rPr>
        <w:t>治气方面。</w:t>
      </w:r>
      <w:r>
        <w:rPr>
          <w:rFonts w:hint="eastAsia" w:ascii="仿宋_GB2312" w:hAnsi="仿宋_GB2312" w:eastAsia="仿宋_GB2312" w:cs="仿宋_GB2312"/>
          <w:sz w:val="32"/>
          <w:szCs w:val="32"/>
          <w:lang w:val="en-US" w:eastAsia="zh-CN"/>
        </w:rPr>
        <w:t>强化重点时段重点区域洒水频次，督促重点企业完成挥发性有机物泄漏检测与修复工作；开展</w:t>
      </w:r>
      <w:r>
        <w:rPr>
          <w:rStyle w:val="10"/>
          <w:rFonts w:hint="eastAsia" w:ascii="仿宋_GB2312" w:hAnsi="仿宋_GB2312" w:eastAsia="仿宋_GB2312" w:cs="仿宋_GB2312"/>
          <w:b w:val="0"/>
          <w:i w:val="0"/>
          <w:caps w:val="0"/>
          <w:color w:val="000000"/>
          <w:spacing w:val="0"/>
          <w:w w:val="100"/>
          <w:sz w:val="32"/>
          <w:szCs w:val="32"/>
          <w:lang w:val="en-US" w:eastAsia="zh-CN"/>
        </w:rPr>
        <w:t>大气污染防治特护期执法专项检查，并及时整治。</w:t>
      </w:r>
      <w:r>
        <w:rPr>
          <w:rFonts w:hint="eastAsia" w:ascii="楷体_GB2312" w:hAnsi="楷体_GB2312" w:eastAsia="楷体_GB2312" w:cs="楷体_GB2312"/>
          <w:b/>
          <w:bCs/>
          <w:kern w:val="2"/>
          <w:sz w:val="32"/>
          <w:szCs w:val="32"/>
          <w:lang w:val="en-US" w:eastAsia="zh-CN" w:bidi="ar-SA"/>
        </w:rPr>
        <w:t>治土方面。</w:t>
      </w:r>
      <w:r>
        <w:rPr>
          <w:rFonts w:hint="eastAsia" w:ascii="仿宋_GB2312" w:hAnsi="仿宋_GB2312" w:eastAsia="仿宋_GB2312" w:cs="仿宋_GB2312"/>
          <w:sz w:val="32"/>
          <w:szCs w:val="32"/>
          <w:lang w:val="en-US" w:eastAsia="zh-CN"/>
        </w:rPr>
        <w:t>配合开展企业用地土壤污染状况调查，督促重点企业完成地块布点采样方案编制，并通过市级审查；绿色化改造项目已完成改造进度50%以上。</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afterLines="0" w:line="600" w:lineRule="exact"/>
        <w:ind w:left="0" w:leftChars="0"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kern w:val="0"/>
          <w:sz w:val="32"/>
          <w:szCs w:val="32"/>
          <w:lang w:val="en-US" w:eastAsia="zh-CN" w:bidi="ar-SA"/>
        </w:rPr>
        <w:t>（三）</w:t>
      </w:r>
      <w:r>
        <w:rPr>
          <w:rFonts w:hint="eastAsia" w:ascii="楷体_GB2312" w:hAnsi="楷体_GB2312" w:eastAsia="楷体_GB2312" w:cs="楷体_GB2312"/>
          <w:b/>
          <w:bCs/>
          <w:sz w:val="32"/>
          <w:szCs w:val="32"/>
          <w:lang w:val="en-US" w:eastAsia="zh-CN"/>
        </w:rPr>
        <w:t>着重狠抓生态环境监管执法</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方正小标宋简体" w:hAnsi="方正小标宋简体" w:eastAsia="方正小标宋简体" w:cs="方正小标宋简体"/>
          <w:b w:val="0"/>
          <w:bCs w:val="0"/>
          <w:kern w:val="2"/>
          <w:sz w:val="44"/>
          <w:szCs w:val="44"/>
          <w:lang w:val="en-US" w:eastAsia="zh-CN"/>
        </w:rPr>
      </w:pPr>
      <w:r>
        <w:rPr>
          <w:rFonts w:hint="eastAsia" w:ascii="仿宋_GB2312" w:hAnsi="仿宋_GB2312" w:eastAsia="仿宋_GB2312" w:cs="仿宋_GB2312"/>
          <w:sz w:val="32"/>
          <w:szCs w:val="32"/>
          <w:lang w:val="en-US" w:eastAsia="zh-CN"/>
        </w:rPr>
        <w:t>积极推进“双随机”执法机制，深化生态环境领域行刑衔接，坚决打击环境违法犯罪行为，</w:t>
      </w:r>
      <w:r>
        <w:rPr>
          <w:rFonts w:hint="eastAsia" w:ascii="仿宋_GB2312" w:hAnsi="Times New Roman" w:eastAsia="仿宋_GB2312" w:cs="Times New Roman"/>
          <w:kern w:val="2"/>
          <w:sz w:val="32"/>
          <w:szCs w:val="32"/>
          <w:lang w:val="en-US" w:eastAsia="zh-CN" w:bidi="ar-SA"/>
        </w:rPr>
        <w:t>严格落实信访工作机制，及时答复率100%，群众满意率99.7%，</w:t>
      </w:r>
      <w:r>
        <w:rPr>
          <w:rFonts w:hint="eastAsia" w:ascii="仿宋_GB2312" w:hAnsi="仿宋_GB2312" w:eastAsia="仿宋_GB2312" w:cs="仿宋_GB2312"/>
          <w:kern w:val="2"/>
          <w:sz w:val="32"/>
          <w:szCs w:val="32"/>
          <w:lang w:val="en-US" w:eastAsia="zh-CN"/>
        </w:rPr>
        <w:t>切实解决了一批群众困扰的生态环境问题。</w:t>
      </w:r>
    </w:p>
    <w:p>
      <w:pPr>
        <w:pStyle w:val="9"/>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（一）预算编制有待加强，存在追加经费较多现象，预算编制的精确性有待进一步提高。</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（二）绩效管理的运用意识有待提高。针对这些不足，我单位将积极采取改进措施，持续改进，不断规范和强化管理。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cs="Times New Roman"/>
          <w:sz w:val="32"/>
          <w:szCs w:val="32"/>
          <w:lang w:val="en-US" w:eastAsia="zh-CN"/>
        </w:rPr>
      </w:pP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三）</w:t>
      </w:r>
      <w:r>
        <w:rPr>
          <w:rFonts w:hint="eastAsia" w:ascii="Times New Roman" w:hAnsi="Times New Roman" w:eastAsia="仿宋_GB2312" w:cs="Times New Roman"/>
          <w:sz w:val="32"/>
          <w:szCs w:val="32"/>
          <w:highlight w:val="none"/>
          <w:lang w:val="en-US" w:eastAsia="zh-CN"/>
        </w:rPr>
        <w:t>生态环境治理能力有短板。</w:t>
      </w:r>
      <w:r>
        <w:rPr>
          <w:rFonts w:hint="eastAsia" w:ascii="仿宋_GB2312" w:eastAsia="仿宋_GB2312"/>
          <w:b/>
          <w:bCs/>
          <w:sz w:val="32"/>
          <w:szCs w:val="32"/>
          <w:lang w:val="en-US" w:eastAsia="zh-CN"/>
        </w:rPr>
        <w:t>一</w:t>
      </w:r>
      <w:r>
        <w:rPr>
          <w:rFonts w:hint="eastAsia" w:ascii="Times New Roman" w:hAnsi="Times New Roman" w:eastAsia="仿宋_GB2312" w:cs="Times New Roman"/>
          <w:sz w:val="32"/>
          <w:szCs w:val="32"/>
          <w:highlight w:val="none"/>
          <w:lang w:val="en-US" w:eastAsia="zh-CN"/>
        </w:rPr>
        <w:t>是工</w:t>
      </w:r>
      <w:r>
        <w:rPr>
          <w:rFonts w:hint="eastAsia" w:ascii="仿宋_GB2312" w:eastAsia="仿宋_GB2312"/>
          <w:sz w:val="32"/>
          <w:szCs w:val="32"/>
          <w:lang w:val="en-US" w:eastAsia="zh-CN"/>
        </w:rPr>
        <w:t>作力量长期短缺。生态环境执法人员少，目前全局共有编制23人，其中机关13人，执法大队10人，目前在编在岗共计14人，执法人员仅3人，空编7人，且受生态环境领域垂改未完成影响，已近5年未招录新进</w:t>
      </w:r>
      <w:r>
        <w:rPr>
          <w:rFonts w:hint="eastAsia" w:ascii="仿宋_GB2312" w:eastAsia="仿宋_GB2312" w:cs="Times New Roman"/>
          <w:sz w:val="32"/>
          <w:szCs w:val="32"/>
          <w:lang w:val="en-US" w:eastAsia="zh-CN"/>
        </w:rPr>
        <w:t>公务员。二是环境管理水平有待提高。装备资金缺口大，尚无法匹配执法规范化建设有关要求，环境执法现代化、科技化、数字化水平有待提升。三是统筹推进突出环境问题整改能力有欠缺。区生环委会及其办公室尚未配备专门办公地点、办公人员及办公经费，目前仅靠环保一家，推动整改工作力度不够、推进缓慢。</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rPr>
      </w:pPr>
      <w:r>
        <w:rPr>
          <w:rFonts w:hint="default" w:ascii="仿宋_GB2312" w:eastAsia="仿宋_GB2312" w:cs="Times New Roman"/>
          <w:sz w:val="32"/>
          <w:szCs w:val="32"/>
          <w:lang w:val="en-US" w:eastAsia="zh-CN"/>
        </w:rPr>
        <w:t>（</w:t>
      </w:r>
      <w:r>
        <w:rPr>
          <w:rFonts w:hint="eastAsia" w:ascii="仿宋_GB2312" w:eastAsia="仿宋_GB2312" w:cs="Times New Roman"/>
          <w:sz w:val="32"/>
          <w:szCs w:val="32"/>
          <w:lang w:val="en-US" w:eastAsia="zh-CN"/>
        </w:rPr>
        <w:t>四）环境质量改善基础不牢固。高新区</w:t>
      </w:r>
      <w:r>
        <w:rPr>
          <w:rFonts w:hint="eastAsia" w:ascii="仿宋_GB2312" w:eastAsia="仿宋_GB2312"/>
          <w:sz w:val="32"/>
          <w:szCs w:val="32"/>
          <w:lang w:val="en-US" w:eastAsia="zh-CN"/>
        </w:rPr>
        <w:t>环保基础设施有短板，雨水管网不规范、环保管理检查力度不够、配套污水处理能力不足等问题依然突出；区域内偶发性异味扰民问题依然存在，城区及周边危货车辆敞盖运输时有发生，监管及系统治理力度有待加强；天顺化工、青山油剂等历史遗留污染地块修复所需资金缺口大、治理难度较大。</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八、下一步改进措施</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（一）严格按照《中华人民共和国预算法》及相关制度，根据本单位实际情况并结合以前年度支出情况，综合考虑相关因素，申报年初预算，提高单位预算编制水平。</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（二）定期对绩效目标执行进度进行监控，及时掌握资金支付进度，确保财政资金发挥效益。</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（三）</w:t>
      </w:r>
      <w:r>
        <w:rPr>
          <w:rFonts w:hint="default"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2024年，我分局将深入贯彻落实习近平新时代中国特色社会主义思想和党的二十大会议精神，紧紧围绕省、市、区环保工作部署，永不懈怠，一往无前，谋深谋实，推动我区生态环境工作取得新成效，为加快打造中部地区最大石化产业基地彰显新作为、贡献新力量。</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1.突出问题整改，提升环境风险防控能力。</w:t>
      </w:r>
      <w:r>
        <w:rPr>
          <w:rFonts w:hint="eastAsia" w:ascii="仿宋_GB2312" w:hAnsi="仿宋_GB2312" w:eastAsia="仿宋_GB2312" w:cs="仿宋_GB2312"/>
          <w:sz w:val="32"/>
          <w:szCs w:val="32"/>
          <w:lang w:val="en-US" w:eastAsia="zh-CN"/>
        </w:rPr>
        <w:t>充分发挥区生环委及办公室牵头抓总作用，压紧压实生环委各成员单位职责职能，制定专项方案、厘清职权职责、明确时限要求、严格督促督导、强化跟踪落实，确保各突出环境问题整改销号高质高效、清仓见底。同时，进一步强化对过来中央、省级生态环境保护督察、长江经济带生态环境警示片、污染防治攻坚战等交办问题整改完成情况“回头看”，严防问题反弹，保障区域生态环境安全稳定。</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2.突出污染防治，改善生态环境质量。</w:t>
      </w:r>
      <w:r>
        <w:rPr>
          <w:rFonts w:hint="eastAsia" w:ascii="楷体_GB2312" w:hAnsi="楷体_GB2312" w:eastAsia="楷体_GB2312" w:cs="楷体_GB2312"/>
          <w:b w:val="0"/>
          <w:bCs w:val="0"/>
          <w:sz w:val="32"/>
          <w:szCs w:val="32"/>
          <w:lang w:val="en-US" w:eastAsia="zh-CN"/>
        </w:rPr>
        <w:t>一是要重拳治</w:t>
      </w:r>
      <w:r>
        <w:rPr>
          <w:rFonts w:hint="eastAsia" w:ascii="楷体_GB2312" w:hAnsi="楷体_GB2312" w:eastAsia="楷体_GB2312" w:cs="楷体_GB2312"/>
          <w:sz w:val="32"/>
          <w:szCs w:val="32"/>
          <w:lang w:val="en-US" w:eastAsia="zh-CN"/>
        </w:rPr>
        <w:t>水</w:t>
      </w:r>
      <w:r>
        <w:rPr>
          <w:rFonts w:hint="eastAsia" w:ascii="仿宋_GB2312" w:hAnsi="仿宋_GB2312" w:eastAsia="仿宋_GB2312" w:cs="仿宋_GB2312"/>
          <w:sz w:val="32"/>
          <w:szCs w:val="32"/>
          <w:lang w:val="en-US" w:eastAsia="zh-CN"/>
        </w:rPr>
        <w:t>，以陆城断面、双花水库等国控断面达标为治水核心，以13条区级河、湖水质改善为治水重点，注重科学治理、协同治理相结合，打好碧水保卫战。</w:t>
      </w:r>
      <w:r>
        <w:rPr>
          <w:rFonts w:hint="eastAsia" w:ascii="楷体_GB2312" w:hAnsi="楷体_GB2312" w:eastAsia="楷体_GB2312" w:cs="楷体_GB2312"/>
          <w:b w:val="0"/>
          <w:bCs w:val="0"/>
          <w:sz w:val="32"/>
          <w:szCs w:val="32"/>
          <w:lang w:val="en-US" w:eastAsia="zh-CN"/>
        </w:rPr>
        <w:t>二是要铁腕治气，</w:t>
      </w:r>
      <w:r>
        <w:rPr>
          <w:rFonts w:hint="eastAsia" w:ascii="仿宋_GB2312" w:hAnsi="仿宋_GB2312" w:eastAsia="仿宋_GB2312" w:cs="仿宋_GB2312"/>
          <w:sz w:val="32"/>
          <w:szCs w:val="32"/>
          <w:lang w:val="en-US" w:eastAsia="zh-CN"/>
        </w:rPr>
        <w:t>强化挥发性有机物和氮氧化物协同减排，完成重点行业、企业VOCs治理项目。</w:t>
      </w:r>
      <w:r>
        <w:rPr>
          <w:rFonts w:hint="eastAsia" w:ascii="楷体_GB2312" w:hAnsi="楷体_GB2312" w:eastAsia="楷体_GB2312" w:cs="楷体_GB2312"/>
          <w:b w:val="0"/>
          <w:bCs w:val="0"/>
          <w:sz w:val="32"/>
          <w:szCs w:val="32"/>
          <w:lang w:val="en-US" w:eastAsia="zh-CN"/>
        </w:rPr>
        <w:t>三是要强力治废，</w:t>
      </w:r>
      <w:r>
        <w:rPr>
          <w:rFonts w:hint="eastAsia" w:ascii="仿宋_GB2312" w:hAnsi="仿宋_GB2312" w:eastAsia="仿宋_GB2312" w:cs="仿宋_GB2312"/>
          <w:sz w:val="32"/>
          <w:szCs w:val="32"/>
          <w:lang w:val="en-US" w:eastAsia="zh-CN"/>
        </w:rPr>
        <w:t>强化“管固废保安全”理念，深入开展固危废监管专项行动，持续提升固体废物、危险废物规范化管理水平。</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3.突出绿色发展，筑牢生态环境屏障。</w:t>
      </w:r>
      <w:r>
        <w:rPr>
          <w:rFonts w:hint="eastAsia" w:ascii="仿宋_GB2312" w:hAnsi="仿宋_GB2312" w:eastAsia="仿宋_GB2312" w:cs="仿宋_GB2312"/>
          <w:sz w:val="32"/>
          <w:szCs w:val="32"/>
          <w:lang w:val="en-US" w:eastAsia="zh-CN"/>
        </w:rPr>
        <w:t>扎实推进碳达峰碳中和，积极推动工业领域碳达峰目标尽快实现，切实实现“减污降碳”协同增效。全面落实三线一单要求，严格执行约束性指标，严控“两高”项目盲目发展。持续深化环保服务高质量发展，进一步优化环评审批，积极推动省、市重点项目早日落地实施。</w:t>
      </w:r>
    </w:p>
    <w:p>
      <w:pPr>
        <w:pStyle w:val="5"/>
        <w:keepNext w:val="0"/>
        <w:keepLines w:val="0"/>
        <w:pageBreakBefore w:val="0"/>
        <w:widowControl w:val="0"/>
        <w:kinsoku/>
        <w:wordWrap/>
        <w:overflowPunct/>
        <w:topLinePunct w:val="0"/>
        <w:autoSpaceDE/>
        <w:autoSpaceDN/>
        <w:bidi w:val="0"/>
        <w:adjustRightInd/>
        <w:snapToGrid/>
        <w:spacing w:line="580" w:lineRule="exact"/>
        <w:ind w:left="0" w:leftChars="0" w:firstLine="643" w:firstLineChars="200"/>
        <w:textAlignment w:val="auto"/>
        <w:rPr>
          <w:rFonts w:hint="default"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楷体_GB2312" w:hAnsi="楷体_GB2312" w:eastAsia="楷体_GB2312" w:cs="楷体_GB2312"/>
          <w:b/>
          <w:bCs/>
          <w:kern w:val="2"/>
          <w:sz w:val="32"/>
          <w:szCs w:val="32"/>
          <w:lang w:val="en-US" w:eastAsia="zh-CN" w:bidi="ar-SA"/>
        </w:rPr>
        <w:t>4.突出执法监管，保障生态环境安全。</w:t>
      </w:r>
      <w:r>
        <w:rPr>
          <w:rFonts w:hint="eastAsia" w:ascii="仿宋_GB2312" w:hAnsi="仿宋_GB2312" w:eastAsia="仿宋_GB2312" w:cs="仿宋_GB2312"/>
          <w:sz w:val="32"/>
          <w:szCs w:val="32"/>
          <w:lang w:val="en-US" w:eastAsia="zh-CN"/>
        </w:rPr>
        <w:t>严厉打击环境违法行为，严格落实“双随机”监管机制，以“不姑息”“零容忍”的态度，对环境违法问题敢于动真碰硬，对涉嫌环境犯罪的及时移送公安部门处理，切实维护环境安全和稳定，确保不发生较大以上突发环境事件。加大生态环境工作宣传力度，结合“六五”环境日和低碳日活动主题，充分利用区电视台新闻媒体、网络平台和电子屏等活动阵地开展多形式的线上线下宣传活动，让我区生态环境工作持续改善的理念逐步深入人心，提升人民群众对生态环境的满意度和获得感。</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绩效自评结果可以进一步规范财政资金管理，强化部门绩效和责任意识，切实提高财政资金使用效益，同时编制下一年的部门预算可以参考绩效自评结果，以提高预算编制的精准性。已按相关要求及时进行预决算公开及整体支出绩效自评的公开。</w:t>
      </w: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default" w:ascii="Times New Roman" w:hAnsi="Times New Roman" w:eastAsia="仿宋_GB2312" w:cs="Times New Roman"/>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bookmarkStart w:id="0" w:name="_GoBack"/>
      <w:bookmarkEnd w:id="0"/>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FangSong_GB2312">
    <w:altName w:val="仿宋_GB2312"/>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FB6ADB"/>
    <w:multiLevelType w:val="singleLevel"/>
    <w:tmpl w:val="56FB6AD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59886344"/>
    <w:rsid w:val="045C354F"/>
    <w:rsid w:val="08251CBA"/>
    <w:rsid w:val="091C14FF"/>
    <w:rsid w:val="0C0D1227"/>
    <w:rsid w:val="0C7B02EA"/>
    <w:rsid w:val="0ECC180D"/>
    <w:rsid w:val="0F2C7FC2"/>
    <w:rsid w:val="11A309FE"/>
    <w:rsid w:val="11BD3153"/>
    <w:rsid w:val="1561296E"/>
    <w:rsid w:val="1703785A"/>
    <w:rsid w:val="201523AC"/>
    <w:rsid w:val="22791318"/>
    <w:rsid w:val="25056E93"/>
    <w:rsid w:val="267E2607"/>
    <w:rsid w:val="285C501C"/>
    <w:rsid w:val="28DE1ED5"/>
    <w:rsid w:val="2B68125F"/>
    <w:rsid w:val="2C124050"/>
    <w:rsid w:val="2C7D37B3"/>
    <w:rsid w:val="2D7501E6"/>
    <w:rsid w:val="2DAF3E40"/>
    <w:rsid w:val="2F6A44C2"/>
    <w:rsid w:val="2F756F0F"/>
    <w:rsid w:val="32496BD1"/>
    <w:rsid w:val="34BE74FA"/>
    <w:rsid w:val="34FF423F"/>
    <w:rsid w:val="35BC17F0"/>
    <w:rsid w:val="38685317"/>
    <w:rsid w:val="38A26A7B"/>
    <w:rsid w:val="3D033860"/>
    <w:rsid w:val="3F785B42"/>
    <w:rsid w:val="40AE4348"/>
    <w:rsid w:val="443F7874"/>
    <w:rsid w:val="49DF06E9"/>
    <w:rsid w:val="4B647BC0"/>
    <w:rsid w:val="4C03387D"/>
    <w:rsid w:val="4C0B1536"/>
    <w:rsid w:val="4F147B4F"/>
    <w:rsid w:val="503264DF"/>
    <w:rsid w:val="50854E71"/>
    <w:rsid w:val="519A258E"/>
    <w:rsid w:val="555467FF"/>
    <w:rsid w:val="55986DE4"/>
    <w:rsid w:val="55FB4FCC"/>
    <w:rsid w:val="59886344"/>
    <w:rsid w:val="5ACB1A0A"/>
    <w:rsid w:val="5C8D6B1A"/>
    <w:rsid w:val="5E483371"/>
    <w:rsid w:val="5E7F5C28"/>
    <w:rsid w:val="5EA05BE0"/>
    <w:rsid w:val="5F3F6522"/>
    <w:rsid w:val="5F69359F"/>
    <w:rsid w:val="609C042D"/>
    <w:rsid w:val="66C00C96"/>
    <w:rsid w:val="69FF19FF"/>
    <w:rsid w:val="6CAE6A95"/>
    <w:rsid w:val="6D7B106D"/>
    <w:rsid w:val="73584555"/>
    <w:rsid w:val="73CC2623"/>
    <w:rsid w:val="75E33C54"/>
    <w:rsid w:val="7728743C"/>
    <w:rsid w:val="7AF366E7"/>
    <w:rsid w:val="7B636094"/>
    <w:rsid w:val="7C3116D5"/>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宋体" w:cs="Times New Roman"/>
      <w:kern w:val="0"/>
      <w:sz w:val="28"/>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Body Text Indent"/>
    <w:basedOn w:val="1"/>
    <w:qFormat/>
    <w:uiPriority w:val="0"/>
    <w:pPr>
      <w:spacing w:after="120" w:afterLines="0" w:afterAutospacing="0"/>
      <w:ind w:left="420" w:leftChars="200"/>
    </w:pPr>
  </w:style>
  <w:style w:type="paragraph" w:styleId="4">
    <w:name w:val="footer"/>
    <w:basedOn w:val="1"/>
    <w:next w:val="1"/>
    <w:qFormat/>
    <w:uiPriority w:val="0"/>
    <w:pPr>
      <w:tabs>
        <w:tab w:val="center" w:pos="4153"/>
        <w:tab w:val="right" w:pos="8306"/>
      </w:tabs>
      <w:snapToGrid w:val="0"/>
      <w:jc w:val="left"/>
    </w:pPr>
    <w:rPr>
      <w:sz w:val="18"/>
    </w:rPr>
  </w:style>
  <w:style w:type="paragraph" w:styleId="5">
    <w:name w:val="Body Text First Indent 2"/>
    <w:basedOn w:val="3"/>
    <w:qFormat/>
    <w:uiPriority w:val="0"/>
    <w:pPr>
      <w:ind w:firstLine="420" w:firstLineChars="200"/>
    </w:pPr>
  </w:style>
  <w:style w:type="paragraph" w:customStyle="1" w:styleId="8">
    <w:name w:val="列出段落1"/>
    <w:basedOn w:val="1"/>
    <w:qFormat/>
    <w:uiPriority w:val="34"/>
    <w:pPr>
      <w:ind w:firstLine="420" w:firstLineChars="200"/>
    </w:pPr>
  </w:style>
  <w:style w:type="paragraph" w:styleId="9">
    <w:name w:val="List Paragraph"/>
    <w:basedOn w:val="1"/>
    <w:qFormat/>
    <w:uiPriority w:val="99"/>
    <w:pPr>
      <w:ind w:firstLine="420" w:firstLineChars="200"/>
    </w:pPr>
    <w:rPr>
      <w:rFonts w:ascii="Calibri" w:hAnsi="Calibri"/>
      <w:szCs w:val="22"/>
    </w:rPr>
  </w:style>
  <w:style w:type="character" w:customStyle="1" w:styleId="10">
    <w:name w:val="NormalCharacter"/>
    <w:qFormat/>
    <w:uiPriority w:val="0"/>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5997</Words>
  <Characters>6549</Characters>
  <Lines>0</Lines>
  <Paragraphs>0</Paragraphs>
  <TotalTime>0</TotalTime>
  <ScaleCrop>false</ScaleCrop>
  <LinksUpToDate>false</LinksUpToDate>
  <CharactersWithSpaces>6719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Gat</cp:lastModifiedBy>
  <dcterms:modified xsi:type="dcterms:W3CDTF">2024-06-27T04:17:24Z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6182D3A10D564617983F46DEE354AEAF</vt:lpwstr>
  </property>
</Properties>
</file>