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4"/>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125</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91</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72.80%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23.76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33.50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48.00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20.11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45.06</w:t>
            </w:r>
          </w:p>
        </w:tc>
      </w:tr>
      <w:tr>
        <w:tblPrEx>
          <w:tblCellMar>
            <w:top w:w="0" w:type="dxa"/>
            <w:left w:w="108" w:type="dxa"/>
            <w:bottom w:w="0" w:type="dxa"/>
            <w:right w:w="108" w:type="dxa"/>
          </w:tblCellMar>
        </w:tblPrEx>
        <w:trPr>
          <w:trHeight w:val="384"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2.12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29.82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17.99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15.24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3.65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3.50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2.94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991.36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418.86</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330.48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800" w:firstLineChars="400"/>
              <w:jc w:val="both"/>
              <w:rPr>
                <w:rFonts w:hint="eastAsia" w:ascii="仿宋_GB2312" w:hAnsi="仿宋_GB2312" w:eastAsia="仿宋_GB2312" w:cs="仿宋_GB2312"/>
                <w:sz w:val="20"/>
                <w:szCs w:val="20"/>
                <w:highlight w:val="none"/>
              </w:rPr>
            </w:pPr>
            <w:r>
              <w:rPr>
                <w:rFonts w:hint="eastAsia" w:ascii="仿宋_GB2312" w:hAnsi="宋体" w:eastAsia="仿宋_GB2312" w:cs="仿宋_GB2312"/>
                <w:i w:val="0"/>
                <w:color w:val="000000"/>
                <w:kern w:val="0"/>
                <w:sz w:val="20"/>
                <w:szCs w:val="20"/>
                <w:u w:val="none"/>
                <w:lang w:val="en-US" w:eastAsia="zh-CN" w:bidi="ar"/>
              </w:rPr>
              <w:t>市场监管执法经费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660.88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418.86</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215.28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272.88</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257.68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18.57</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190.25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188.62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28.10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34.00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36.41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1.28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2.50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1.73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231.13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619.80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513.19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142.41</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宋体" w:eastAsia="仿宋_GB2312" w:cs="仿宋_GB2312"/>
                <w:i w:val="0"/>
                <w:color w:val="000000"/>
                <w:kern w:val="0"/>
                <w:sz w:val="20"/>
                <w:szCs w:val="20"/>
                <w:u w:val="none"/>
                <w:lang w:val="en-US" w:eastAsia="zh-CN" w:bidi="ar"/>
              </w:rPr>
              <w:t>严格控制“三公”经费</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4"/>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岳阳市市场监管综合行政执法支队</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1587.24</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2148.51</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2148.51</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xml:space="preserve">  其中：  一般公共预算：2136.73</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sz w:val="20"/>
                <w:szCs w:val="20"/>
                <w:highlight w:val="none"/>
              </w:rPr>
              <w:t>1729.65</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sz w:val="20"/>
                <w:szCs w:val="20"/>
                <w:highlight w:val="none"/>
              </w:rPr>
              <w:t>418.86</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11.78</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xml:space="preserve">1.建立和完善市场监管、知识产权综合执法及稽查办案的制度措施并组织实施。组织指导查处市场主体准入、生产、经营、交易中的有关违法行为和案件查办工作。督办、组织查办影响较大和跨区域的大案要案。  </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2.查处权限内食品生产、流通环节和餐饮等领域违法行为。</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3.查处权限内药品、医疗器械、化妆品、保健食品、特殊医学用途配方食品、婴幼儿配方食品、食盐质量等领域违法行为。</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4.查处权限内质量、计量、标准化、认证认可、检验检测和涉及特种设备等领域违法行为。</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5.查处权限内价格收费违法、不正当竞争、电子商务违法、违法直销、传销、虚假宣传、侵犯商标专利知识产权和制售假冒伪劣商品等违法行为。</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xml:space="preserve">6.全面推行行政执法公示制度、执法全过程记录制度、重大执法决定法制审核制度；建立统一指挥、跨区域协作、部门配合、整体联动的市场监管综合行政执法工作机制，完善行政执法与刑事司法相衔接的协调机制。                                                                          </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7.对县（市、区）市场监管综合行政执法工作进行指导、协调、监督和考核。</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2023年，以民生领域“铁拳”行动为抓手，落实打好“发展六仗”，全市共查办案件2312件，移送公安30起，罚没合计3043万元，省市场监管局和省公安厅挂牌督办9起，发布岳阳市民生领域“铁拳”行动典型案例10起，入选省局“铁拳”行动典型案例6起，入选全省药品监管典型案例2起。其中，市局立案52起，非税入库851万元。</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trHeight w:val="278"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非税收入</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≥800万元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851万元</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立案</w:t>
            </w:r>
            <w:r>
              <w:rPr>
                <w:rFonts w:hint="eastAsia" w:ascii="仿宋_GB2312" w:hAnsi="仿宋_GB2312" w:eastAsia="仿宋_GB2312" w:cs="仿宋_GB2312"/>
                <w:color w:val="000000"/>
                <w:sz w:val="20"/>
                <w:szCs w:val="20"/>
                <w:highlight w:val="none"/>
                <w:lang w:eastAsia="zh-CN"/>
              </w:rPr>
              <w:t>数量</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rPr>
            </w:pPr>
            <w:r>
              <w:rPr>
                <w:rFonts w:hint="eastAsia" w:ascii="仿宋_GB2312" w:hAnsi="宋体" w:eastAsia="仿宋_GB2312" w:cs="仿宋_GB2312"/>
                <w:i w:val="0"/>
                <w:color w:val="000000"/>
                <w:kern w:val="0"/>
                <w:sz w:val="20"/>
                <w:szCs w:val="20"/>
                <w:u w:val="none"/>
                <w:lang w:val="en-US" w:eastAsia="zh-CN" w:bidi="ar"/>
              </w:rPr>
              <w:t>≥50起</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52起</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成品油市场整治方面</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持续形成我市成品油市场整治高压态势</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持续形成我市成品油市场整治高压态势</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打击药械领域违法行为方面</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药械化监督抽样完成率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严守食品安全底线</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召集大型食品企业座谈</w:t>
            </w:r>
            <w:r>
              <w:rPr>
                <w:rFonts w:hint="eastAsia" w:ascii="仿宋_GB2312" w:hAnsi="宋体" w:eastAsia="仿宋_GB2312" w:cs="仿宋_GB2312"/>
                <w:i w:val="0"/>
                <w:color w:val="000000"/>
                <w:kern w:val="0"/>
                <w:sz w:val="20"/>
                <w:szCs w:val="20"/>
                <w:u w:val="none"/>
                <w:lang w:val="en-US" w:eastAsia="zh-CN" w:bidi="ar"/>
              </w:rPr>
              <w:t>≥5家</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9家</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在规定时间内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2023年度</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2023年度</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default" w:ascii="仿宋_GB2312" w:hAnsi="仿宋_GB2312" w:eastAsia="仿宋_GB2312" w:cs="仿宋_GB2312"/>
                <w:b/>
                <w:bCs/>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default" w:ascii="仿宋_GB2312" w:hAnsi="仿宋_GB2312" w:eastAsia="仿宋_GB2312" w:cs="仿宋_GB2312"/>
                <w:b/>
                <w:bCs/>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b/>
                <w:bCs/>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color w:val="000000"/>
                <w:kern w:val="0"/>
                <w:sz w:val="20"/>
                <w:szCs w:val="20"/>
                <w:u w:val="none"/>
                <w:lang w:val="en-US" w:eastAsia="zh-CN" w:bidi="ar"/>
              </w:rPr>
              <w:t>总支出控制在预算之内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sz w:val="20"/>
                <w:szCs w:val="20"/>
                <w:highlight w:val="none"/>
              </w:rPr>
              <w:t>2148.51</w:t>
            </w:r>
            <w:r>
              <w:rPr>
                <w:rFonts w:hint="eastAsia" w:ascii="仿宋_GB2312" w:hAnsi="仿宋_GB2312" w:eastAsia="仿宋_GB2312" w:cs="仿宋_GB2312"/>
                <w:sz w:val="20"/>
                <w:szCs w:val="20"/>
                <w:highlight w:val="none"/>
                <w:lang w:eastAsia="zh-CN"/>
              </w:rPr>
              <w:t>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rPr>
              <w:t>2148.51</w:t>
            </w:r>
            <w:r>
              <w:rPr>
                <w:rFonts w:hint="eastAsia" w:ascii="仿宋_GB2312" w:hAnsi="仿宋_GB2312" w:eastAsia="仿宋_GB2312" w:cs="仿宋_GB2312"/>
                <w:sz w:val="20"/>
                <w:szCs w:val="20"/>
                <w:highlight w:val="none"/>
                <w:lang w:eastAsia="zh-CN"/>
              </w:rPr>
              <w:t>万元</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经济效</w:t>
            </w:r>
          </w:p>
          <w:p>
            <w:pPr>
              <w:widowControl/>
              <w:spacing w:line="240" w:lineRule="exact"/>
              <w:jc w:val="center"/>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保障岳阳市经济发展</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有所保障</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有所保障</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维护市容市貌 </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市容市貌整洁</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市容市貌整洁</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保障市民生活环境</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生活环境舒适</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生活环境舒适</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防止</w:t>
            </w:r>
            <w:r>
              <w:rPr>
                <w:rFonts w:hint="eastAsia" w:ascii="仿宋_GB2312" w:hAnsi="仿宋_GB2312" w:eastAsia="仿宋_GB2312" w:cs="仿宋_GB2312"/>
                <w:color w:val="000000"/>
                <w:sz w:val="20"/>
                <w:szCs w:val="20"/>
                <w:highlight w:val="none"/>
                <w:lang w:eastAsia="zh-CN"/>
              </w:rPr>
              <w:t>城</w:t>
            </w:r>
            <w:r>
              <w:rPr>
                <w:rFonts w:hint="eastAsia" w:ascii="仿宋_GB2312" w:hAnsi="仿宋_GB2312" w:eastAsia="仿宋_GB2312" w:cs="仿宋_GB2312"/>
                <w:color w:val="000000"/>
                <w:sz w:val="20"/>
                <w:szCs w:val="20"/>
                <w:highlight w:val="none"/>
              </w:rPr>
              <w:t>区水质污染</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防止城区污水源出现</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防止城区污水源出现</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防止城区空气污染</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防止城区空气污染源出现</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防止城区空气污染源出现</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2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color w:val="000000"/>
                <w:kern w:val="0"/>
                <w:sz w:val="20"/>
                <w:szCs w:val="20"/>
                <w:u w:val="none"/>
                <w:lang w:val="en-US" w:eastAsia="zh-CN" w:bidi="ar"/>
              </w:rPr>
              <w:t>建立良好市场秩序</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可持续</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可持续</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33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服务对象满意度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80%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87%</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4"/>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市场监管执法专项</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岳阳市市场</w:t>
            </w:r>
            <w:r>
              <w:rPr>
                <w:rFonts w:hint="eastAsia" w:ascii="仿宋_GB2312" w:hAnsi="仿宋_GB2312" w:eastAsia="仿宋_GB2312" w:cs="仿宋_GB2312"/>
                <w:color w:val="000000"/>
                <w:sz w:val="20"/>
                <w:szCs w:val="20"/>
                <w:highlight w:val="none"/>
                <w:lang w:eastAsia="zh-CN"/>
              </w:rPr>
              <w:t>监督管理局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岳阳市市场监管综合行政执法支队</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418.86</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418.86</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0.00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418.86</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418.86</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1.查处权限内食品生产、流通环节和餐饮等领域违法行为。</w:t>
            </w:r>
          </w:p>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2.查处权限内药品、医疗器械、化妆品、保健食品、特殊医学用途配方食品、婴幼儿配方食品、食盐质量等领域违法行为。</w:t>
            </w:r>
          </w:p>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3.查处权限内质量、计量、标准化、认证认可、检验检测和涉及特种设备等领域违法行为。</w:t>
            </w:r>
          </w:p>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4.查处权限内价格收费违法、不正当竞争、电子商务违法、违法直销、传销、虚假宣传、侵犯商标专利知识产权和制售假冒伪劣商品等违法行为。</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1、成品油市场计量作弊乱象整治工作成效得到肯定和批示。</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2、严厉打击不正当竞争工作取得成效，如查处商业贿赂行为、上报侵权查处、打击网络刷单、打击传销。</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3</w:t>
            </w: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eastAsia="zh-CN"/>
              </w:rPr>
              <w:t>打击药械领域违法行为方面。开展药品安全行动共立案</w:t>
            </w:r>
            <w:r>
              <w:rPr>
                <w:rFonts w:hint="eastAsia" w:ascii="仿宋_GB2312" w:hAnsi="仿宋_GB2312" w:eastAsia="仿宋_GB2312" w:cs="仿宋_GB2312"/>
                <w:color w:val="000000"/>
                <w:sz w:val="20"/>
                <w:szCs w:val="20"/>
                <w:highlight w:val="none"/>
                <w:lang w:val="en-US" w:eastAsia="zh-CN"/>
              </w:rPr>
              <w:t>12起，移交公安机关1起。开展医疗美容整治，查</w:t>
            </w:r>
            <w:r>
              <w:rPr>
                <w:rFonts w:hint="eastAsia" w:ascii="仿宋_GB2312" w:hAnsi="仿宋_GB2312" w:eastAsia="仿宋_GB2312" w:cs="仿宋_GB2312"/>
                <w:color w:val="000000"/>
                <w:sz w:val="20"/>
                <w:szCs w:val="20"/>
                <w:highlight w:val="none"/>
              </w:rPr>
              <w:t>办的某医疗美容有限责任公司涉嫌使用假药案被省药监局和省公安厅联合挂牌督办。</w:t>
            </w:r>
            <w:r>
              <w:rPr>
                <w:rFonts w:hint="eastAsia" w:ascii="仿宋_GB2312" w:hAnsi="仿宋_GB2312" w:eastAsia="仿宋_GB2312" w:cs="仿宋_GB2312"/>
                <w:color w:val="000000"/>
                <w:sz w:val="20"/>
                <w:szCs w:val="20"/>
                <w:highlight w:val="none"/>
                <w:lang w:eastAsia="zh-CN"/>
              </w:rPr>
              <w:t>开展大型设备类医疗器械整治，查办1起使用无合格证明文件X射线管组件案，该案被湖南省药监局评为2023年湖南省药品监管领域典型案例。</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4</w:t>
            </w: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eastAsia="zh-CN"/>
              </w:rPr>
              <w:t>开展食品安全检查，引导食品产业发展。</w:t>
            </w:r>
          </w:p>
          <w:p>
            <w:pPr>
              <w:pStyle w:val="2"/>
              <w:ind w:left="0" w:leftChars="0" w:firstLine="0" w:firstLineChars="0"/>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5、开展产品质量计量检查，开展重点工程防水材料检查、“短斤少两”计量检查。</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各项查办案件数量</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≥50件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SA"/>
              </w:rPr>
              <w:t>52件</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各类专项整治行动</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color w:val="000000"/>
                <w:kern w:val="0"/>
                <w:sz w:val="20"/>
                <w:szCs w:val="20"/>
                <w:u w:val="none"/>
                <w:lang w:val="en-US" w:eastAsia="zh-CN" w:bidi="ar"/>
              </w:rPr>
              <w:t>≥12次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约</w:t>
            </w:r>
            <w:r>
              <w:rPr>
                <w:rFonts w:hint="eastAsia" w:ascii="仿宋_GB2312" w:hAnsi="仿宋_GB2312" w:eastAsia="仿宋_GB2312" w:cs="仿宋_GB2312"/>
                <w:color w:val="000000"/>
                <w:sz w:val="20"/>
                <w:szCs w:val="20"/>
                <w:highlight w:val="none"/>
                <w:lang w:val="en-US" w:eastAsia="zh-CN"/>
              </w:rPr>
              <w:t>100次</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bookmarkStart w:id="0" w:name="_GoBack"/>
            <w:bookmarkEnd w:id="0"/>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食品抽样检测</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default" w:ascii="仿宋_GB2312" w:hAnsi="仿宋_GB2312" w:eastAsia="仿宋_GB2312" w:cs="仿宋_GB2312"/>
                <w:color w:val="000000"/>
                <w:sz w:val="20"/>
                <w:szCs w:val="20"/>
                <w:highlight w:val="none"/>
                <w:lang w:eastAsia="zh-CN"/>
              </w:rPr>
              <w:t>10</w:t>
            </w:r>
            <w:r>
              <w:rPr>
                <w:rFonts w:hint="eastAsia" w:ascii="仿宋_GB2312" w:hAnsi="仿宋_GB2312" w:eastAsia="仿宋_GB2312" w:cs="仿宋_GB2312"/>
                <w:color w:val="000000"/>
                <w:sz w:val="20"/>
                <w:szCs w:val="20"/>
                <w:highlight w:val="none"/>
                <w:lang w:val="en-US" w:eastAsia="zh-CN"/>
              </w:rPr>
              <w:t>批</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药械化监督抽样</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185批</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重大执法决定法制审核</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≥90%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≥90%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药械化监督抽样</w:t>
            </w:r>
            <w:r>
              <w:rPr>
                <w:rFonts w:hint="eastAsia" w:ascii="仿宋_GB2312" w:hAnsi="仿宋_GB2312" w:eastAsia="仿宋_GB2312" w:cs="仿宋_GB2312"/>
                <w:color w:val="000000"/>
                <w:sz w:val="20"/>
                <w:szCs w:val="20"/>
                <w:highlight w:val="none"/>
                <w:lang w:eastAsia="zh-CN"/>
              </w:rPr>
              <w:t>完成率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发现违法行为立即行动</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SA"/>
              </w:rPr>
              <w:t>即时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即时</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项目完成时间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项目支出控制在预算内</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SA"/>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促进市场经济良性发展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促进</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促进</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加大违法行为打击力度，减少各领域违法行为，保障市场安全</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SA"/>
              </w:rPr>
              <w:t>有效保障</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SA"/>
              </w:rPr>
              <w:t>有效保障</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color w:val="000000"/>
                <w:kern w:val="0"/>
                <w:sz w:val="20"/>
                <w:szCs w:val="20"/>
                <w:u w:val="none"/>
                <w:lang w:val="en-US" w:eastAsia="zh-CN" w:bidi="ar"/>
              </w:rPr>
              <w:t>营造依法行政环境</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良好</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良好</w:t>
            </w:r>
          </w:p>
        </w:tc>
        <w:tc>
          <w:tcPr>
            <w:tcW w:w="82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对生态环境无负面影响</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无负面影响</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无负面影响</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建立良好市场秩序</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良好</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良好</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企业满意度</w:t>
            </w:r>
          </w:p>
        </w:tc>
        <w:tc>
          <w:tcPr>
            <w:tcW w:w="1134"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≥80%</w:t>
            </w:r>
          </w:p>
        </w:tc>
        <w:tc>
          <w:tcPr>
            <w:tcW w:w="1134"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≥80%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群众满意度</w:t>
            </w:r>
          </w:p>
        </w:tc>
        <w:tc>
          <w:tcPr>
            <w:tcW w:w="1134"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≥80%</w:t>
            </w:r>
          </w:p>
        </w:tc>
        <w:tc>
          <w:tcPr>
            <w:tcW w:w="1134"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≥80%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年度岳阳市市场监管综合行政执法支队整体支出绩效自评报告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年度岳阳市市场监管综合行政执法支队整体支出绩效自评报告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 xml:space="preserve">一、单位基本情况  </w:t>
      </w:r>
    </w:p>
    <w:p>
      <w:pPr>
        <w:keepNext w:val="0"/>
        <w:keepLines w:val="0"/>
        <w:pageBreakBefore w:val="0"/>
        <w:numPr>
          <w:ilvl w:val="0"/>
          <w:numId w:val="0"/>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kern w:val="0"/>
          <w:sz w:val="32"/>
          <w:szCs w:val="32"/>
          <w:highlight w:val="none"/>
          <w:lang w:val="en-US" w:eastAsia="zh-CN" w:bidi="ar-SA"/>
        </w:rPr>
      </w:pPr>
      <w:r>
        <w:rPr>
          <w:rFonts w:hint="default" w:ascii="Times New Roman" w:hAnsi="Times New Roman" w:eastAsia="楷体_GB2312" w:cs="Times New Roman"/>
          <w:b/>
          <w:kern w:val="0"/>
          <w:sz w:val="32"/>
          <w:szCs w:val="32"/>
          <w:highlight w:val="none"/>
          <w:lang w:val="en-US" w:eastAsia="zh-CN" w:bidi="ar-SA"/>
        </w:rPr>
        <w:t>（一）职能职责</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color w:val="auto"/>
          <w:spacing w:val="0"/>
          <w:kern w:val="0"/>
          <w:position w:val="0"/>
          <w:sz w:val="32"/>
          <w:szCs w:val="32"/>
          <w:highlight w:val="none"/>
          <w:lang w:val="en-US" w:eastAsia="zh-CN" w:bidi="ar-SA"/>
        </w:rPr>
      </w:pPr>
      <w:r>
        <w:rPr>
          <w:rFonts w:hint="default" w:ascii="仿宋_GB2312" w:hAnsi="仿宋_GB2312" w:eastAsia="仿宋_GB2312" w:cs="仿宋_GB2312"/>
          <w:color w:val="auto"/>
          <w:spacing w:val="0"/>
          <w:kern w:val="0"/>
          <w:position w:val="0"/>
          <w:sz w:val="32"/>
          <w:szCs w:val="32"/>
          <w:highlight w:val="none"/>
          <w:lang w:val="en-US" w:eastAsia="zh-CN" w:bidi="ar-SA"/>
        </w:rPr>
        <w:t xml:space="preserve">履行法律、法规及规章赋予市场监管行政强制、行政处罚及与执法相关的行政检查等职能，依法查处和纠正食品、药品、化妆品、保健食品、医疗器械、特种设备、工业产品、价格收费、商务粮食、商标专利、知识产权、市场计量、市场交易、网络商品交易、不正当竞争、直销、传销、合同、广告等相关领域违法行为。 </w:t>
      </w:r>
    </w:p>
    <w:p>
      <w:pPr>
        <w:keepNext w:val="0"/>
        <w:keepLines w:val="0"/>
        <w:pageBreakBefore w:val="0"/>
        <w:numPr>
          <w:ilvl w:val="0"/>
          <w:numId w:val="0"/>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kern w:val="0"/>
          <w:sz w:val="32"/>
          <w:szCs w:val="32"/>
          <w:highlight w:val="none"/>
          <w:lang w:val="en-US" w:eastAsia="zh-CN" w:bidi="ar-SA"/>
        </w:rPr>
      </w:pPr>
      <w:r>
        <w:rPr>
          <w:rFonts w:hint="default" w:ascii="Times New Roman" w:hAnsi="Times New Roman" w:eastAsia="楷体_GB2312" w:cs="Times New Roman"/>
          <w:b/>
          <w:kern w:val="0"/>
          <w:sz w:val="32"/>
          <w:szCs w:val="32"/>
          <w:highlight w:val="none"/>
          <w:lang w:val="en-US" w:eastAsia="zh-CN" w:bidi="ar-SA"/>
        </w:rPr>
        <w:t xml:space="preserve"> （二）机构设置</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color w:val="auto"/>
          <w:spacing w:val="0"/>
          <w:kern w:val="0"/>
          <w:position w:val="0"/>
          <w:sz w:val="32"/>
          <w:szCs w:val="32"/>
          <w:highlight w:val="none"/>
          <w:lang w:val="en-US" w:eastAsia="zh-CN" w:bidi="ar-SA"/>
        </w:rPr>
      </w:pPr>
      <w:r>
        <w:rPr>
          <w:rFonts w:hint="default" w:ascii="仿宋_GB2312" w:hAnsi="仿宋_GB2312" w:eastAsia="仿宋_GB2312" w:cs="仿宋_GB2312"/>
          <w:color w:val="auto"/>
          <w:spacing w:val="0"/>
          <w:kern w:val="0"/>
          <w:position w:val="0"/>
          <w:sz w:val="32"/>
          <w:szCs w:val="32"/>
          <w:highlight w:val="none"/>
          <w:lang w:val="en-US" w:eastAsia="zh-CN" w:bidi="ar-SA"/>
        </w:rPr>
        <w:t>内设：综合科、后勤装备科、协调科、财务科、人事科五个机构，法制大队、直属一大队、直属二大队、直属三大队、直属四大队、直属五大队、直属六大队、直属七大队、直属八大队九个大队。</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color w:val="auto"/>
          <w:spacing w:val="0"/>
          <w:kern w:val="0"/>
          <w:position w:val="0"/>
          <w:sz w:val="32"/>
          <w:szCs w:val="32"/>
          <w:highlight w:val="none"/>
          <w:lang w:val="en-US" w:eastAsia="zh-CN" w:bidi="ar-SA"/>
        </w:rPr>
      </w:pPr>
      <w:r>
        <w:rPr>
          <w:rFonts w:hint="default" w:ascii="仿宋_GB2312" w:hAnsi="仿宋_GB2312" w:eastAsia="仿宋_GB2312" w:cs="仿宋_GB2312"/>
          <w:color w:val="auto"/>
          <w:spacing w:val="0"/>
          <w:kern w:val="0"/>
          <w:position w:val="0"/>
          <w:sz w:val="32"/>
          <w:szCs w:val="32"/>
          <w:highlight w:val="none"/>
          <w:lang w:val="en-US" w:eastAsia="zh-CN" w:bidi="ar-SA"/>
        </w:rPr>
        <w:t>截至202</w:t>
      </w:r>
      <w:r>
        <w:rPr>
          <w:rFonts w:hint="eastAsia" w:ascii="仿宋_GB2312" w:hAnsi="仿宋_GB2312" w:eastAsia="仿宋_GB2312" w:cs="仿宋_GB2312"/>
          <w:color w:val="auto"/>
          <w:spacing w:val="0"/>
          <w:kern w:val="0"/>
          <w:position w:val="0"/>
          <w:sz w:val="32"/>
          <w:szCs w:val="32"/>
          <w:highlight w:val="none"/>
          <w:lang w:val="en-US" w:eastAsia="zh-CN" w:bidi="ar-SA"/>
        </w:rPr>
        <w:t>3</w:t>
      </w:r>
      <w:r>
        <w:rPr>
          <w:rFonts w:hint="default" w:ascii="仿宋_GB2312" w:hAnsi="仿宋_GB2312" w:eastAsia="仿宋_GB2312" w:cs="仿宋_GB2312"/>
          <w:color w:val="auto"/>
          <w:spacing w:val="0"/>
          <w:kern w:val="0"/>
          <w:position w:val="0"/>
          <w:sz w:val="32"/>
          <w:szCs w:val="32"/>
          <w:highlight w:val="none"/>
          <w:lang w:val="en-US" w:eastAsia="zh-CN" w:bidi="ar-SA"/>
        </w:rPr>
        <w:t>年12月31日，共有在编人员9</w:t>
      </w:r>
      <w:r>
        <w:rPr>
          <w:rFonts w:hint="eastAsia" w:ascii="仿宋_GB2312" w:hAnsi="仿宋_GB2312" w:eastAsia="仿宋_GB2312" w:cs="仿宋_GB2312"/>
          <w:color w:val="auto"/>
          <w:spacing w:val="0"/>
          <w:kern w:val="0"/>
          <w:position w:val="0"/>
          <w:sz w:val="32"/>
          <w:szCs w:val="32"/>
          <w:highlight w:val="none"/>
          <w:lang w:val="en-US" w:eastAsia="zh-CN" w:bidi="ar-SA"/>
        </w:rPr>
        <w:t>1</w:t>
      </w:r>
      <w:r>
        <w:rPr>
          <w:rFonts w:hint="default" w:ascii="仿宋_GB2312" w:hAnsi="仿宋_GB2312" w:eastAsia="仿宋_GB2312" w:cs="仿宋_GB2312"/>
          <w:color w:val="auto"/>
          <w:spacing w:val="0"/>
          <w:kern w:val="0"/>
          <w:position w:val="0"/>
          <w:sz w:val="32"/>
          <w:szCs w:val="32"/>
          <w:highlight w:val="none"/>
          <w:lang w:val="en-US" w:eastAsia="zh-CN" w:bidi="ar-SA"/>
        </w:rPr>
        <w:t>人，退休人员</w:t>
      </w:r>
      <w:r>
        <w:rPr>
          <w:rFonts w:hint="eastAsia" w:ascii="仿宋_GB2312" w:hAnsi="仿宋_GB2312" w:eastAsia="仿宋_GB2312" w:cs="仿宋_GB2312"/>
          <w:color w:val="auto"/>
          <w:spacing w:val="0"/>
          <w:kern w:val="0"/>
          <w:position w:val="0"/>
          <w:sz w:val="32"/>
          <w:szCs w:val="32"/>
          <w:highlight w:val="none"/>
          <w:lang w:val="en-US" w:eastAsia="zh-CN" w:bidi="ar-SA"/>
        </w:rPr>
        <w:t>16</w:t>
      </w:r>
      <w:r>
        <w:rPr>
          <w:rFonts w:hint="default" w:ascii="仿宋_GB2312" w:hAnsi="仿宋_GB2312" w:eastAsia="仿宋_GB2312" w:cs="仿宋_GB2312"/>
          <w:color w:val="auto"/>
          <w:spacing w:val="0"/>
          <w:kern w:val="0"/>
          <w:position w:val="0"/>
          <w:sz w:val="32"/>
          <w:szCs w:val="32"/>
          <w:highlight w:val="none"/>
          <w:lang w:val="en-US" w:eastAsia="zh-CN" w:bidi="ar-SA"/>
        </w:rPr>
        <w:t>人。</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7"/>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color w:val="auto"/>
          <w:sz w:val="32"/>
          <w:szCs w:val="32"/>
          <w:highlight w:val="none"/>
        </w:rPr>
      </w:pPr>
      <w:r>
        <w:rPr>
          <w:rFonts w:hint="eastAsia" w:ascii="仿宋_GB2312" w:hAnsi="仿宋_GB2312" w:eastAsia="仿宋_GB2312" w:cs="仿宋_GB2312"/>
          <w:color w:val="auto"/>
          <w:spacing w:val="0"/>
          <w:position w:val="0"/>
          <w:sz w:val="32"/>
          <w:szCs w:val="32"/>
          <w:highlight w:val="none"/>
          <w:lang w:val="en-US" w:eastAsia="zh-CN"/>
        </w:rPr>
        <w:t>2023年基本支出预算数1587.24万元，实际支出决算数1729.65万元。其中：人员经费1471.97万元，主要包括：基本工资、津贴补贴、奖金、伙食补助、绩效工资、机关事业单位基本养老保险缴费、职工基本医疗保险缴费住房公积金等；退休费、抚恤金、医疗费补助、其他对个人和家庭的补助；公用经费257.68万元，主要包括：办公费、印刷费、水费、电费、邮电费、物业管理费、差旅费、维修费、培训费、公务接待费、劳务费、委托业务费、工会经费、福利费、公务用车运行维护费、其他交通费用、其他商品和服务支出等。</w:t>
      </w:r>
    </w:p>
    <w:p>
      <w:pPr>
        <w:pStyle w:val="7"/>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（二）项目支出情况</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color w:val="auto"/>
          <w:sz w:val="32"/>
          <w:szCs w:val="32"/>
          <w:highlight w:val="none"/>
        </w:rPr>
      </w:pPr>
      <w:r>
        <w:rPr>
          <w:rFonts w:hint="eastAsia" w:ascii="仿宋_GB2312" w:hAnsi="仿宋_GB2312" w:eastAsia="仿宋_GB2312" w:cs="仿宋_GB2312"/>
          <w:color w:val="auto"/>
          <w:spacing w:val="0"/>
          <w:position w:val="0"/>
          <w:sz w:val="32"/>
          <w:szCs w:val="32"/>
          <w:highlight w:val="none"/>
          <w:lang w:val="en-US" w:eastAsia="zh-CN"/>
        </w:rPr>
        <w:t>2023年项目支出预算数0.00万元，实际支出决算数418.86万元，用于市场监管执法专项支出。</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年度本单位无政府性基金安排的支出。</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四、国有资本经营预算支出情况</w:t>
      </w:r>
    </w:p>
    <w:p>
      <w:pPr>
        <w:ind w:firstLine="640" w:firstLineChars="200"/>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年度本单位无国有资本经营预算支出。</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五、社会保险基金预算支出情况</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年度本单位无社会保险基金预算支出。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2023年，以民生领域“铁拳”行动为抓手，落实打好“发展六仗”，全市共查办案件2312件，移送公安30起，罚没合计3043万元，省市场监管局和省公安厅挂牌督办9起，发布岳阳市民生领域“铁拳”行动典型案例10起，入选省局“铁拳”行动典型案例6起，入选全省药品监管典型案例2起。其中，市局立案52起，非税入库851万元。</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一）成品油市场整治方面。调派专人参与全市成品油市场“打非治违”百日攻坚，协助查获8起违法违规经营成品油案件，移送公安4起，刑事拘留10余人。综合分析350余起消费者、油品企业及行业协会关于成品油的投诉热点，持续深入摸排，出动执法人员305人次，集中组织二、五、八大队开展成品油专项行动12次。11月30日，联合市公安局、司法机构出动执法人员50余人，突击查处两处加油站，通宵达旦连续作战，成功发现问题线索2起。今年来，抽样送检成品油32批次，共查办岳阳某公司涉嫌销售不合格汽油案、湖南某公司涉嫌无证生产、销售车用汽油案及岳阳某公司经开区兴盛加油站涉嫌破坏计量器具案等5起，办结2022年成品油作弊案4起，指导县区局查办计量案件4起，罚没金额200余万，持续形成我市成品油市场整治高压态势。</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二）严厉打击不正当竞争方面。一是查处商业贿赂行为。对岳阳宝鑫医药公司涉嫌商业贿赂案的查处工作，罚没20.35万元；二是查处商标侵权行为。对东风湖湘鄂鸿兴水产、渔政码头等8处市场开展商标侵权突击检查，立案5起，没收船用机油255桶，罚没65568元；三是在网络刷单炒信领域有新突破。联合公安连夜查处2起网络水军操盘窝点，涉案手机2000余台，台式电脑5台，罚没8.5万元。四是打击传销取得重大突破。成立“云创空间专案组”，对长沙灵之慧健康科技有限公司涉嫌传销开展为期2个多月的连续跟踪调查，执法人员不分白天黑夜，不分节假日，多地来回办案取证，申请法院紧急冻结资产2000万元，目前案件正在收尾。五是投诉举报处置有力。对我市旅游车队研学旅行运力协调工作小组涉嫌不正当竞争行为，约谈5家旅游运输公司，取消了价格串通同盟。对岳阳利都中环名座楼盘涉嫌虚假宣传行为责令整改。对我市洗涤行业协会价格串通涨价举报问题责令整改。对你美医疗美容整形医院质价不符进行核查，退还举报人1万多元。</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三）打击药械领域违法行为方面。查办案件18起，移送公安机关2起，行业禁止、处罚到人2起，罚没合计112.87万元。完成药械化监督抽样共185批，完成率100%。一是深入开展药品安全巩固提升行动。以疫苗、血液制品、精麻药品、特殊药品、第一类医疗器械、特殊化妆品为重点产品开展专项检查，共立案12起，移送公安机关1起。二是深入开展医疗美容专项整治行动。结合央视3·15晚会曝光的医疗美容行业乱象，第一时间组织行动，检查医疗美容机构8家，发现问题线索2起，立案1件，移交区局案件线索1起，移送公安机关1起。查办的某医疗美容有限责任公司涉嫌使用假药案被省药监局和省公安厅联合挂牌督办。三是开展大型设备类医疗器械专项整治。针对目前设备类医疗器械维修管理混乱问题组织开展专项整治，查办1起使用无合格证明文件X射线管组件案，处罚34.2万元，该案被湖南省药监局评为2023年湖南省药品监管领域典型案例。</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四）安全领域执法方面。一是严守食品安全底线。开展制止餐饮浪费专项行动，围绕快餐店、火锅店、学校食堂等重要环节，落实执法者普法责任，共检查餐饮商户25家，学校食堂8家。深入各大粮食生产加工企业开展大米专项检查，立案2起。对食品安全违法行为立案10起，抽样检测10批次，核查投诉举报6起。召集9家大型食品企业座谈，强化主体责任，支持引导食品产业发展。二是开展特种设备安全检查。共检查企业16家，出动执法人员84人次，下达监察指令书5份，印发安全宣传册860份，做到标本兼治。查办江苏某检测有限公司涉嫌未按安全技术规范的要求进行检测等系列案件4起，罚没52万元。三是开展产品质量计量检查。对1家防水材料生产企业和2个重点工程使用的防水材料进行了执法检查，抽取防水卷材6批次，立案3起，相关提案的回复得到市人大市政协代表高度赞扬。重点开展“短斤少两”计量检查，对市区1500辆电动自行车和安全帽进行安全检查，对电力系统4300个绝缘体的安全性能进行检查，办理消防产品和家用电器举报移送案件4起，对中南市场3个洗涤用品仓库和5家经销商进行排查，检查发现整改问题103个，移送华容、汨罗问题线索3起。</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五）烟酒市场整治方面。联合岳阳楼区市场监管局、岳阳市公安局食药环支队捣毁制售假酒窝点2个，抓获犯罪嫌疑人3名，查获进口假酒680瓶，国产假酒1260瓶，货值56万元，立案2起，移送公安2起。全市市场监管系统联合烟草部门开展烟草整治行动62次，单独开展烟草市场整治50次，检查烟草经营户658户，立案23起，取缔整改无证经营户35户</w:t>
      </w:r>
      <w:r>
        <w:rPr>
          <w:rFonts w:hint="eastAsia"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其中移送公安机关1起。</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六）价格监管执法方面。先后开展了协会收费检查、银行价格收费、教育收费、医疗服务收费、殡葬价格收费、节假日及重大活动期间价格收费等多项执法检查，共计检查市职业技术学院、市民族职业学院等2所高职院校，市血防医院、市中医院、市妇幼等3家医院，市审计协会等4家协会，白鹤公墓等2家殡葬单位，市工商银行、市农商行等2家银行。共查办岳阳市水务集团、市人防办、岳阳市十五中学等超标准收费、自立项目收费等案件3起，没收违规收取费用172万元，合计罚没219万元。</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七）开展长江禁捕打非断链行动。派专人参与市禁捕退捕工作专班，联合公安、农村农业部门开展为期2个月的专项整治行动。今年来，我局分批开展长江禁捕专项治理行动13次，蹲守夜班20余次。7月，连夜对洞庭南路生态鱼市场、海吉星农贸市场进行突击检查，随机检查11家市内主营鱼类的餐饮店，抽样16批次。11月，连续开展专项检查行动，累计检查小罗虾蟹馆、细毛鱼虾馆等鱼类经营主体17家，进行法律法规现场宣教20余次。加大广告执法力度，通过网监系统，排查整改涉渔宣传问题线索4条，责令下架广告牌2起，查办案件3起。</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八）开展茶叶过度包装专项治理。一是抓部署，全面贯彻落实。7月，在全市市场监管综合执法工作推进会上专题部署全市茶叶过度包装治理行动，会议专门解读了茶叶过度包装问题。二是重排查，加大执法力度。对辖区所有茶叶经营专营店和兼营店开展拉网式检查，并逐一登记建立台账。市局配合省检院检查岳阳茶博城经营门店8家，岳阳楼区经营门店3家，对湖南省君山银针茶叶股份有限公司等开展茶叶过度包装现场抽样12批次。开展为期一个月的中秋国庆节前重点督查，共出动执法人员46余人次，检查市场主体72户次、电商平台5家次、检查商品233件。三是严核查，妥善案件线索处置。查办省局交办的案件线索10批次，对岳阳平江县2家茶叶公司和南湖新区3家茶叶经营店下达《责令改正通知书》，当事人全部整改到位。四是广宣传，注重教育引导。现场执法和宣传紧密结合，对70余家经营者进行了现场指导，在市局微信公众号、岳阳日报等媒体平台发布2次，现场发放告诫书56份。</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（九）推进公正文明执法，执法水平不断提升。</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1、优化发展环境，落实“三张清单”。更加注重执法服务，落实不予处罚从轻减轻处罚“三张清单”，营造宽松活力的市场环境。2023年，市局共对山东智诚惠民保险经纪有限公司发布违法广告案等10起违法案例作出免于行政处罚，对21起适用从轻或减轻处罚的案件减轻处罚。5月31日，西门子医疗系统有限公司专程从上海到岳阳，对我局打击设备类医疗器械违法行为、维护市场秩序表示诚挚感谢。为强化事前事后警示教育，优化执法服务，执法支队多层次广范围分别组织全市成品油仓储企业、加油站、贸易企业相关负责人召开警示教育大会，组织9家大型食品企业开展座谈，组织金辛、牙歪歪等口腔医院召开提醒告诫会，靠前一步警示宣教，引导企业依法经营。</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启动执法标准化试点。今年岳阳市场监管综合执法标准化试点项目经省局批准立项后，市局成立了试点工作领导小组，制定了办案标准化实施方案，选取市执法支队直属二大队和平江县局进行办案标准化试点，建立标准化的全套办案机制，明确考核验收细则。直属二大队根据质量执法的特点制定了标准化执法管理手册，成立了标准化执法内审机构，明确了岗位职责和案件办理程序，完成了执法程序文件7个，进一步理顺了执法办案流程，2023年优秀案件评审率100%。为推动执法规范化走深走实，11月14日，支队班子亲自去往华容、平江县局调研交流标准化办案工作。</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3、强化案件审核把关。一是积极组织案卷评审评查工作。对以往案卷4次开展回头看，要求各大队扎实完善各个案卷，查漏补缺，总结提升。二是完善案件办理各项制度。今年共修订完善了案件听证工作制度、案件集体讨论制度、案件信息公示制度等多项制度，加强了办案全过程把关，严禁超期延期问题。6月，组织各大队分线认真学习了市局《重大案件集体讨论会议制度》。三是严格案件审核。法制大队对每一起案件认真审核，把控风险，提出可行性办理意见，在刷单炒信、打击传销等案件中，前期积极介入办理，严审细审审核文书以及终结报告，确保案件定性准确、定量合理。认真组织案件集体讨论会，案卷含金量逐步提升。今年，在省局对我市法治建设评价中，抽查的市局8个案卷全部评为优秀案卷。2起药品类案卷获评全省系统“二十佳”案卷，李俏奇评为“三十佳”稽查能手，杨扬在全省电子取证大比武中获一等奖。</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一是</w:t>
      </w:r>
      <w:r>
        <w:rPr>
          <w:rFonts w:hint="default" w:ascii="Times New Roman" w:hAnsi="Times New Roman" w:eastAsia="仿宋_GB2312" w:cs="Times New Roman"/>
          <w:color w:val="000000"/>
          <w:kern w:val="0"/>
          <w:sz w:val="32"/>
          <w:szCs w:val="32"/>
          <w:lang w:val="en-US" w:eastAsia="zh-CN" w:bidi="ar-SA"/>
        </w:rPr>
        <w:t>财政财务管理越来越规范，对内部控制管理、资产管理、预算绩效管理、新政府会计制度核算管理等对财务人员专业素质要求越来越高。</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二是</w:t>
      </w:r>
      <w:r>
        <w:rPr>
          <w:rFonts w:hint="default" w:ascii="Times New Roman" w:hAnsi="Times New Roman" w:eastAsia="仿宋_GB2312" w:cs="Times New Roman"/>
          <w:color w:val="000000"/>
          <w:kern w:val="0"/>
          <w:sz w:val="32"/>
          <w:szCs w:val="32"/>
          <w:lang w:val="en-US" w:eastAsia="zh-CN" w:bidi="ar-SA"/>
        </w:rPr>
        <w:t>虽然实施绩效管理后财政预算资金管理精细化水平已</w:t>
      </w:r>
      <w:r>
        <w:rPr>
          <w:rFonts w:hint="eastAsia" w:ascii="Times New Roman" w:hAnsi="Times New Roman" w:eastAsia="仿宋_GB2312" w:cs="Times New Roman"/>
          <w:color w:val="000000"/>
          <w:kern w:val="0"/>
          <w:sz w:val="32"/>
          <w:szCs w:val="32"/>
          <w:lang w:val="en-US" w:eastAsia="zh-CN" w:bidi="ar-SA"/>
        </w:rPr>
        <w:t>有所</w:t>
      </w:r>
      <w:r>
        <w:rPr>
          <w:rFonts w:hint="default" w:ascii="Times New Roman" w:hAnsi="Times New Roman" w:eastAsia="仿宋_GB2312" w:cs="Times New Roman"/>
          <w:color w:val="000000"/>
          <w:kern w:val="0"/>
          <w:sz w:val="32"/>
          <w:szCs w:val="32"/>
          <w:lang w:val="en-US" w:eastAsia="zh-CN" w:bidi="ar-SA"/>
        </w:rPr>
        <w:t>提高，但在</w:t>
      </w:r>
      <w:r>
        <w:rPr>
          <w:rFonts w:hint="eastAsia" w:ascii="Times New Roman" w:hAnsi="Times New Roman" w:eastAsia="仿宋_GB2312" w:cs="Times New Roman"/>
          <w:color w:val="000000"/>
          <w:kern w:val="0"/>
          <w:sz w:val="32"/>
          <w:szCs w:val="32"/>
          <w:lang w:val="en-US" w:eastAsia="zh-CN" w:bidi="ar-SA"/>
        </w:rPr>
        <w:t>部分</w:t>
      </w:r>
      <w:r>
        <w:rPr>
          <w:rFonts w:hint="default" w:ascii="Times New Roman" w:hAnsi="Times New Roman" w:eastAsia="仿宋_GB2312" w:cs="Times New Roman"/>
          <w:color w:val="000000"/>
          <w:kern w:val="0"/>
          <w:sz w:val="32"/>
          <w:szCs w:val="32"/>
          <w:lang w:val="en-US" w:eastAsia="zh-CN" w:bidi="ar-SA"/>
        </w:rPr>
        <w:t>绩效指标设置的精准性、合理性上有待进一步改善。</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八、下一步改进措施</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1、细化绩效目标的制定，加强预算编制工作的准确性，加强绩效运行监控自评工作，增强单位的支出责任，提高财政资金的使用效益。</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2</w:t>
      </w:r>
      <w:r>
        <w:rPr>
          <w:rFonts w:hint="eastAsia" w:ascii="Times New Roman" w:hAnsi="Times New Roman" w:eastAsia="仿宋_GB2312" w:cs="Times New Roman"/>
          <w:color w:val="000000"/>
          <w:kern w:val="0"/>
          <w:sz w:val="32"/>
          <w:szCs w:val="32"/>
          <w:lang w:val="en-US" w:eastAsia="zh-CN" w:bidi="ar-SA"/>
        </w:rPr>
        <w:t>、</w:t>
      </w:r>
      <w:r>
        <w:rPr>
          <w:rFonts w:hint="default" w:ascii="Times New Roman" w:hAnsi="Times New Roman" w:eastAsia="仿宋_GB2312" w:cs="Times New Roman"/>
          <w:color w:val="000000"/>
          <w:kern w:val="0"/>
          <w:sz w:val="32"/>
          <w:szCs w:val="32"/>
          <w:lang w:val="en-US" w:eastAsia="zh-CN" w:bidi="ar-SA"/>
        </w:rPr>
        <w:t>在编制年初预算时，根据年度重点工作计划，综合考虑各方面因素，科学编制相关项目预算支出金额。</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3、</w:t>
      </w:r>
      <w:r>
        <w:rPr>
          <w:rFonts w:hint="default" w:ascii="Times New Roman" w:hAnsi="Times New Roman" w:eastAsia="仿宋_GB2312" w:cs="Times New Roman"/>
          <w:color w:val="000000"/>
          <w:kern w:val="0"/>
          <w:sz w:val="32"/>
          <w:szCs w:val="32"/>
          <w:lang w:val="en-US" w:eastAsia="zh-CN" w:bidi="ar-SA"/>
        </w:rPr>
        <w:t>加强行政单位新会计制度和新预算法的学习培训，落实预算执行分析，及时了解预算执行差异，合理调整、纠正预算执行偏差，切实提高部门预算收支管理水平。</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一是</w:t>
      </w:r>
      <w:r>
        <w:rPr>
          <w:rFonts w:hint="default" w:ascii="Times New Roman" w:hAnsi="Times New Roman" w:eastAsia="仿宋_GB2312" w:cs="Times New Roman"/>
          <w:color w:val="000000"/>
          <w:kern w:val="0"/>
          <w:sz w:val="32"/>
          <w:szCs w:val="32"/>
          <w:lang w:val="en-US" w:eastAsia="zh-CN" w:bidi="ar-SA"/>
        </w:rPr>
        <w:t>通过绩效自评，进一步掌握了资金使用情况和取得的效果，总结了专项资金管理经验，为今后完善年初预算编制、加强资金使用管理、健全资金支出项目、提高资金绩效管理、加大资金使用效益工作提供了重要的参考依据。</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二是将单位</w:t>
      </w:r>
      <w:r>
        <w:rPr>
          <w:rFonts w:hint="default" w:ascii="Times New Roman" w:hAnsi="Times New Roman" w:eastAsia="仿宋_GB2312" w:cs="Times New Roman"/>
          <w:color w:val="000000"/>
          <w:kern w:val="0"/>
          <w:sz w:val="32"/>
          <w:szCs w:val="32"/>
          <w:lang w:val="en-US" w:eastAsia="zh-CN" w:bidi="ar-SA"/>
        </w:rPr>
        <w:t>整体支出绩效自评报告按照财政要求在规定时间内在</w:t>
      </w:r>
      <w:r>
        <w:rPr>
          <w:rFonts w:hint="eastAsia" w:ascii="Times New Roman" w:hAnsi="Times New Roman" w:eastAsia="仿宋_GB2312" w:cs="Times New Roman"/>
          <w:color w:val="000000"/>
          <w:kern w:val="0"/>
          <w:sz w:val="32"/>
          <w:szCs w:val="32"/>
          <w:lang w:val="en-US" w:eastAsia="zh-CN" w:bidi="ar-SA"/>
        </w:rPr>
        <w:t>本单位门户网站</w:t>
      </w:r>
      <w:r>
        <w:rPr>
          <w:rFonts w:hint="default" w:ascii="Times New Roman" w:hAnsi="Times New Roman" w:eastAsia="仿宋_GB2312" w:cs="Times New Roman"/>
          <w:color w:val="000000"/>
          <w:kern w:val="0"/>
          <w:sz w:val="32"/>
          <w:szCs w:val="32"/>
          <w:lang w:val="en-US" w:eastAsia="zh-CN" w:bidi="ar-SA"/>
        </w:rPr>
        <w:t>上进行公开</w:t>
      </w:r>
      <w:r>
        <w:rPr>
          <w:rFonts w:hint="eastAsia" w:ascii="Times New Roman" w:hAnsi="Times New Roman" w:eastAsia="仿宋_GB2312" w:cs="Times New Roman"/>
          <w:color w:val="000000"/>
          <w:kern w:val="0"/>
          <w:sz w:val="32"/>
          <w:szCs w:val="32"/>
          <w:lang w:val="en-US" w:eastAsia="zh-CN" w:bidi="ar-SA"/>
        </w:rPr>
        <w:t>，接受社会监督。</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无。</w:t>
      </w:r>
    </w:p>
    <w:p>
      <w:pPr>
        <w:pStyle w:val="2"/>
        <w:rPr>
          <w:rFonts w:hint="eastAsia"/>
          <w:lang w:eastAsia="zh-CN"/>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highlight w:val="none"/>
          <w:lang w:val="en-US" w:eastAsia="zh-CN"/>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highlight w:val="none"/>
        </w:rPr>
      </w:pPr>
      <w:r>
        <w:rPr>
          <w:rFonts w:hint="eastAsia" w:ascii="方正小标宋简体" w:hAnsi="方正小标宋简体" w:eastAsia="方正小标宋简体" w:cs="方正小标宋简体"/>
          <w:sz w:val="36"/>
          <w:szCs w:val="36"/>
          <w:highlight w:val="none"/>
        </w:rPr>
        <w:t>部门整体支出</w:t>
      </w:r>
      <w:r>
        <w:rPr>
          <w:rFonts w:hint="eastAsia" w:ascii="方正小标宋简体" w:hAnsi="方正小标宋简体" w:eastAsia="方正小标宋简体" w:cs="方正小标宋简体"/>
          <w:spacing w:val="-6"/>
          <w:sz w:val="36"/>
          <w:szCs w:val="36"/>
          <w:highlight w:val="none"/>
        </w:rPr>
        <w:t>绩效自评工作考核评分表</w:t>
      </w:r>
    </w:p>
    <w:tbl>
      <w:tblPr>
        <w:tblStyle w:val="4"/>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一级指标</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二级指标</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评分标准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布置工作</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自评通知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（8分）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印发绩效自评通知的得2分，否则不得分。</w:t>
            </w:r>
          </w:p>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工作小组</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本部门、本单位预算绩效管理领导小组</w:t>
            </w:r>
            <w:r>
              <w:rPr>
                <w:rFonts w:hint="default" w:ascii="Times New Roman" w:hAnsi="Times New Roman" w:eastAsia="仿宋_GB2312" w:cs="Times New Roman"/>
                <w:spacing w:val="0"/>
                <w:sz w:val="20"/>
                <w:szCs w:val="20"/>
                <w:highlight w:val="none"/>
                <w:lang w:val="en-US" w:eastAsia="zh-CN"/>
              </w:rPr>
              <w:t>/</w:t>
            </w:r>
            <w:r>
              <w:rPr>
                <w:rFonts w:hint="default" w:ascii="Times New Roman" w:hAnsi="Times New Roman" w:eastAsia="仿宋_GB2312" w:cs="Times New Roman"/>
                <w:sz w:val="20"/>
                <w:szCs w:val="20"/>
                <w:highlight w:val="none"/>
              </w:rPr>
              <w:t>绩效评价工作小组</w:t>
            </w:r>
            <w:r>
              <w:rPr>
                <w:rFonts w:hint="default" w:ascii="Times New Roman" w:hAnsi="Times New Roman" w:eastAsia="仿宋_GB2312" w:cs="Times New Roman"/>
                <w:sz w:val="20"/>
                <w:szCs w:val="20"/>
                <w:highlight w:val="none"/>
                <w:lang w:eastAsia="zh-CN"/>
              </w:rPr>
              <w:t>有关</w:t>
            </w:r>
            <w:r>
              <w:rPr>
                <w:rFonts w:hint="default" w:ascii="Times New Roman" w:hAnsi="Times New Roman" w:eastAsia="仿宋_GB2312" w:cs="Times New Roman"/>
                <w:spacing w:val="0"/>
                <w:sz w:val="20"/>
                <w:szCs w:val="20"/>
                <w:highlight w:val="none"/>
              </w:rPr>
              <w:t>文件</w:t>
            </w:r>
            <w:r>
              <w:rPr>
                <w:rFonts w:hint="default" w:ascii="Times New Roman" w:hAnsi="Times New Roman" w:eastAsia="仿宋_GB2312" w:cs="Times New Roman"/>
                <w:sz w:val="20"/>
                <w:szCs w:val="20"/>
                <w:highlight w:val="none"/>
              </w:rPr>
              <w:t>盖章的电子版</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实施评价</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单位自查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eastAsia" w:ascii="Times New Roman" w:hAnsi="Times New Roman" w:eastAsia="仿宋_GB2312" w:cs="Times New Roman"/>
                <w:sz w:val="20"/>
                <w:szCs w:val="20"/>
                <w:highlight w:val="none"/>
                <w:lang w:eastAsia="zh-CN"/>
              </w:rPr>
              <w:t>市级</w:t>
            </w:r>
            <w:r>
              <w:rPr>
                <w:rFonts w:hint="default" w:ascii="Times New Roman" w:hAnsi="Times New Roman" w:eastAsia="仿宋_GB2312" w:cs="Times New Roman"/>
                <w:sz w:val="20"/>
                <w:szCs w:val="20"/>
                <w:highlight w:val="none"/>
              </w:rPr>
              <w:t>预算部门本级和所属单位都要开展绩效自查，转移支付项目单位都要开展绩效自查，</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numPr>
                <w:ilvl w:val="0"/>
                <w:numId w:val="1"/>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转移支付项目单位名称和资</w:t>
            </w:r>
            <w:r>
              <w:rPr>
                <w:rFonts w:hint="eastAsia" w:ascii="Times New Roman" w:hAnsi="Times New Roman" w:eastAsia="仿宋_GB2312" w:cs="Times New Roman"/>
                <w:sz w:val="20"/>
                <w:szCs w:val="20"/>
                <w:highlight w:val="none"/>
                <w:lang w:val="en-US" w:eastAsia="zh-CN"/>
              </w:rPr>
              <w:t xml:space="preserve"> </w:t>
            </w:r>
            <w:r>
              <w:rPr>
                <w:rFonts w:hint="default" w:ascii="Times New Roman" w:hAnsi="Times New Roman" w:eastAsia="仿宋_GB2312" w:cs="Times New Roman"/>
                <w:sz w:val="20"/>
                <w:szCs w:val="20"/>
                <w:highlight w:val="none"/>
              </w:rPr>
              <w:t>金情况清单</w:t>
            </w:r>
          </w:p>
          <w:p>
            <w:pPr>
              <w:numPr>
                <w:ilvl w:val="0"/>
                <w:numId w:val="1"/>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有转移支付资金的各</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提交报告</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8022"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按时向</w:t>
            </w:r>
            <w:r>
              <w:rPr>
                <w:rFonts w:hint="eastAsia" w:ascii="Times New Roman" w:hAnsi="Times New Roman" w:eastAsia="仿宋_GB2312" w:cs="Times New Roman"/>
                <w:sz w:val="20"/>
                <w:szCs w:val="20"/>
                <w:highlight w:val="none"/>
                <w:lang w:eastAsia="zh-CN"/>
              </w:rPr>
              <w:t>市财政局</w:t>
            </w:r>
            <w:r>
              <w:rPr>
                <w:rFonts w:hint="default" w:ascii="Times New Roman" w:hAnsi="Times New Roman" w:eastAsia="仿宋_GB2312" w:cs="Times New Roman"/>
                <w:sz w:val="20"/>
                <w:szCs w:val="20"/>
                <w:highlight w:val="none"/>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自评报告</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70分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完整性</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绩效自评报告正文部分内容齐全的，得8分；否则每少一个部分扣2分，最多扣8分。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自评表</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highlight w:val="none"/>
                <w:lang w:eastAsia="zh-CN"/>
              </w:rPr>
              <w:t>岳阳市市级</w:t>
            </w:r>
            <w:r>
              <w:rPr>
                <w:rFonts w:hint="default" w:ascii="Times New Roman" w:hAnsi="Times New Roman" w:eastAsia="仿宋_GB2312" w:cs="Times New Roman"/>
                <w:sz w:val="20"/>
                <w:szCs w:val="20"/>
                <w:highlight w:val="none"/>
              </w:rPr>
              <w:t>预算部门绩效自评操作规程》要求的，得5分，否则按比例扣除相应的分数。</w:t>
            </w:r>
          </w:p>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3</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cs="Times New Roman"/>
                <w:highlight w:val="none"/>
              </w:rPr>
            </w:pP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反映问</w:t>
            </w: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题情况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　</w:t>
            </w:r>
          </w:p>
        </w:tc>
      </w:tr>
    </w:tbl>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FangSong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DF8822"/>
    <w:multiLevelType w:val="singleLevel"/>
    <w:tmpl w:val="5DDF882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jMTIzMzRjMGIwY2FjNWE3ZGZlMjkxNTUxZTNjODgifQ=="/>
  </w:docVars>
  <w:rsids>
    <w:rsidRoot w:val="59886344"/>
    <w:rsid w:val="01960312"/>
    <w:rsid w:val="01B808F5"/>
    <w:rsid w:val="049C1B9D"/>
    <w:rsid w:val="05127BD7"/>
    <w:rsid w:val="05BB49FE"/>
    <w:rsid w:val="071D4718"/>
    <w:rsid w:val="131B5FC2"/>
    <w:rsid w:val="183758C4"/>
    <w:rsid w:val="18C339A8"/>
    <w:rsid w:val="19FF47A5"/>
    <w:rsid w:val="1C381D54"/>
    <w:rsid w:val="1C8521A5"/>
    <w:rsid w:val="1EF5217E"/>
    <w:rsid w:val="1FAD4807"/>
    <w:rsid w:val="230B3A9D"/>
    <w:rsid w:val="27922E86"/>
    <w:rsid w:val="288E404A"/>
    <w:rsid w:val="297E051F"/>
    <w:rsid w:val="2B7B3C10"/>
    <w:rsid w:val="2C7F1990"/>
    <w:rsid w:val="305D7B83"/>
    <w:rsid w:val="315E1146"/>
    <w:rsid w:val="33242BDA"/>
    <w:rsid w:val="34FC13F5"/>
    <w:rsid w:val="364E7BB8"/>
    <w:rsid w:val="386341A5"/>
    <w:rsid w:val="3C940DD1"/>
    <w:rsid w:val="3D575AB1"/>
    <w:rsid w:val="3E651BDC"/>
    <w:rsid w:val="405C0487"/>
    <w:rsid w:val="424741EF"/>
    <w:rsid w:val="432E715D"/>
    <w:rsid w:val="44721292"/>
    <w:rsid w:val="44C4421D"/>
    <w:rsid w:val="451A5EF2"/>
    <w:rsid w:val="46BA41FA"/>
    <w:rsid w:val="476615BC"/>
    <w:rsid w:val="496F6077"/>
    <w:rsid w:val="499A379E"/>
    <w:rsid w:val="4BF27A7E"/>
    <w:rsid w:val="4C3E74D0"/>
    <w:rsid w:val="4E8D742E"/>
    <w:rsid w:val="4F2102B7"/>
    <w:rsid w:val="4F732AC8"/>
    <w:rsid w:val="518C60C3"/>
    <w:rsid w:val="51F65F96"/>
    <w:rsid w:val="52BC623B"/>
    <w:rsid w:val="533859E7"/>
    <w:rsid w:val="53703317"/>
    <w:rsid w:val="549A0AF6"/>
    <w:rsid w:val="55545149"/>
    <w:rsid w:val="5561300A"/>
    <w:rsid w:val="57250B4B"/>
    <w:rsid w:val="59886344"/>
    <w:rsid w:val="5B3B4510"/>
    <w:rsid w:val="5E5B2FBB"/>
    <w:rsid w:val="60A40ABB"/>
    <w:rsid w:val="65267A96"/>
    <w:rsid w:val="6571220A"/>
    <w:rsid w:val="6573157A"/>
    <w:rsid w:val="6E794D98"/>
    <w:rsid w:val="6F833042"/>
    <w:rsid w:val="70130F5B"/>
    <w:rsid w:val="71EF3DD8"/>
    <w:rsid w:val="72D40328"/>
    <w:rsid w:val="73B30EFF"/>
    <w:rsid w:val="74404DBF"/>
    <w:rsid w:val="74E3517D"/>
    <w:rsid w:val="754F5449"/>
    <w:rsid w:val="76C050AA"/>
    <w:rsid w:val="7832197B"/>
    <w:rsid w:val="7BFE0AC7"/>
    <w:rsid w:val="7E275074"/>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List Paragraph_a0f507d5-6e28-4914-b37f-020b7d2b0f7c"/>
    <w:basedOn w:val="1"/>
    <w:qFormat/>
    <w:uiPriority w:val="0"/>
    <w:pPr>
      <w:ind w:firstLine="420" w:firstLineChars="200"/>
    </w:pPr>
  </w:style>
  <w:style w:type="paragraph" w:styleId="3">
    <w:name w:val="Body Text"/>
    <w:basedOn w:val="1"/>
    <w:semiHidden/>
    <w:qFormat/>
    <w:uiPriority w:val="0"/>
    <w:rPr>
      <w:rFonts w:ascii="仿宋" w:hAnsi="仿宋" w:eastAsia="仿宋" w:cs="仿宋"/>
      <w:sz w:val="31"/>
      <w:szCs w:val="31"/>
      <w:lang w:val="en-US" w:eastAsia="en-US" w:bidi="ar-SA"/>
    </w:rPr>
  </w:style>
  <w:style w:type="paragraph" w:customStyle="1" w:styleId="6">
    <w:name w:val="列出段落1"/>
    <w:basedOn w:val="1"/>
    <w:qFormat/>
    <w:uiPriority w:val="34"/>
    <w:pPr>
      <w:ind w:firstLine="420" w:firstLineChars="200"/>
    </w:pPr>
  </w:style>
  <w:style w:type="paragraph" w:styleId="7">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8822</Words>
  <Characters>9485</Characters>
  <Lines>0</Lines>
  <Paragraphs>0</Paragraphs>
  <TotalTime>24</TotalTime>
  <ScaleCrop>false</ScaleCrop>
  <LinksUpToDate>false</LinksUpToDate>
  <CharactersWithSpaces>9751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张灿</cp:lastModifiedBy>
  <dcterms:modified xsi:type="dcterms:W3CDTF">2024-06-13T04:19:15Z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6182D3A10D564617983F46DEE354AEAF</vt:lpwstr>
  </property>
</Properties>
</file>