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ajorEastAsia" w:hAnsiTheme="majorEastAsia" w:eastAsiaTheme="majorEastAsia" w:cstheme="majorEastAsia"/>
          <w:sz w:val="44"/>
          <w:szCs w:val="44"/>
        </w:rPr>
      </w:pPr>
    </w:p>
    <w:p>
      <w:pPr>
        <w:jc w:val="both"/>
        <w:rPr>
          <w:rFonts w:hint="eastAsia" w:asciiTheme="majorEastAsia" w:hAnsiTheme="majorEastAsia" w:eastAsiaTheme="majorEastAsia" w:cstheme="majorEastAsia"/>
          <w:sz w:val="44"/>
          <w:szCs w:val="44"/>
        </w:rPr>
      </w:pPr>
    </w:p>
    <w:p>
      <w:pPr>
        <w:jc w:val="center"/>
        <w:rPr>
          <w:rFonts w:hint="eastAsia" w:asciiTheme="majorEastAsia" w:hAnsiTheme="majorEastAsia" w:eastAsiaTheme="majorEastAsia" w:cstheme="majorEastAsia"/>
          <w:sz w:val="44"/>
          <w:szCs w:val="44"/>
        </w:rPr>
      </w:pPr>
    </w:p>
    <w:p>
      <w:pPr>
        <w:jc w:val="center"/>
        <w:rPr>
          <w:rFonts w:hint="eastAsia" w:asciiTheme="majorEastAsia" w:hAnsiTheme="majorEastAsia" w:eastAsiaTheme="majorEastAsia" w:cstheme="majorEastAsia"/>
          <w:b/>
          <w:bCs/>
          <w:sz w:val="44"/>
          <w:szCs w:val="44"/>
          <w:lang w:val="en-US" w:eastAsia="zh-CN"/>
        </w:rPr>
      </w:pPr>
      <w:r>
        <w:rPr>
          <w:rFonts w:hint="eastAsia" w:asciiTheme="majorEastAsia" w:hAnsiTheme="majorEastAsia" w:eastAsiaTheme="majorEastAsia" w:cstheme="majorEastAsia"/>
          <w:b/>
          <w:bCs/>
          <w:sz w:val="44"/>
          <w:szCs w:val="44"/>
        </w:rPr>
        <w:t>202</w:t>
      </w:r>
      <w:r>
        <w:rPr>
          <w:rFonts w:hint="eastAsia" w:asciiTheme="majorEastAsia" w:hAnsiTheme="majorEastAsia" w:eastAsiaTheme="majorEastAsia" w:cstheme="majorEastAsia"/>
          <w:b/>
          <w:bCs/>
          <w:sz w:val="44"/>
          <w:szCs w:val="44"/>
          <w:lang w:val="en-US" w:eastAsia="zh-CN"/>
        </w:rPr>
        <w:t>3</w:t>
      </w:r>
      <w:r>
        <w:rPr>
          <w:rFonts w:hint="eastAsia" w:asciiTheme="majorEastAsia" w:hAnsiTheme="majorEastAsia" w:eastAsiaTheme="majorEastAsia" w:cstheme="majorEastAsia"/>
          <w:b/>
          <w:bCs/>
          <w:sz w:val="44"/>
          <w:szCs w:val="44"/>
        </w:rPr>
        <w:t>年度</w:t>
      </w:r>
      <w:r>
        <w:rPr>
          <w:rFonts w:hint="eastAsia" w:asciiTheme="majorEastAsia" w:hAnsiTheme="majorEastAsia" w:eastAsiaTheme="majorEastAsia" w:cstheme="majorEastAsia"/>
          <w:b/>
          <w:bCs/>
          <w:sz w:val="44"/>
          <w:szCs w:val="44"/>
          <w:lang w:eastAsia="zh-CN"/>
        </w:rPr>
        <w:t>岳阳市</w:t>
      </w:r>
      <w:r>
        <w:rPr>
          <w:rFonts w:hint="eastAsia" w:asciiTheme="majorEastAsia" w:hAnsiTheme="majorEastAsia" w:eastAsiaTheme="majorEastAsia" w:cstheme="majorEastAsia"/>
          <w:b/>
          <w:bCs/>
          <w:sz w:val="44"/>
          <w:szCs w:val="44"/>
          <w:lang w:val="en-US" w:eastAsia="zh-CN"/>
        </w:rPr>
        <w:t>住房和城乡建设局部门</w:t>
      </w:r>
    </w:p>
    <w:p>
      <w:pPr>
        <w:jc w:val="center"/>
        <w:rPr>
          <w:rFonts w:hint="eastAsia"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sz w:val="44"/>
          <w:szCs w:val="44"/>
        </w:rPr>
        <w:t>整体支出绩效自评报告</w:t>
      </w:r>
    </w:p>
    <w:p>
      <w:pPr>
        <w:jc w:val="center"/>
        <w:rPr>
          <w:rFonts w:hint="default" w:ascii="Times New Roman" w:hAnsi="Times New Roman" w:eastAsia="方正小标宋_GBK" w:cs="Times New Roman"/>
          <w:b/>
          <w:sz w:val="52"/>
          <w:szCs w:val="52"/>
        </w:rPr>
      </w:pPr>
    </w:p>
    <w:p>
      <w:pPr>
        <w:jc w:val="center"/>
        <w:rPr>
          <w:rFonts w:hint="default" w:ascii="Times New Roman" w:hAnsi="Times New Roman" w:eastAsia="楷体_GB2312" w:cs="Times New Roman"/>
          <w:b/>
          <w:sz w:val="32"/>
          <w:szCs w:val="32"/>
        </w:rPr>
      </w:pPr>
    </w:p>
    <w:p>
      <w:pPr>
        <w:jc w:val="center"/>
        <w:rPr>
          <w:rFonts w:hint="default" w:ascii="Times New Roman" w:hAnsi="Times New Roman" w:eastAsia="楷体_GB2312" w:cs="Times New Roman"/>
          <w:b/>
          <w:sz w:val="32"/>
          <w:szCs w:val="32"/>
        </w:rPr>
      </w:pPr>
    </w:p>
    <w:p>
      <w:pPr>
        <w:jc w:val="center"/>
        <w:rPr>
          <w:rFonts w:hint="default" w:ascii="Times New Roman" w:hAnsi="Times New Roman" w:eastAsia="楷体_GB2312" w:cs="Times New Roman"/>
          <w:b/>
          <w:sz w:val="32"/>
          <w:szCs w:val="32"/>
        </w:rPr>
      </w:pPr>
    </w:p>
    <w:p>
      <w:pPr>
        <w:jc w:val="center"/>
        <w:rPr>
          <w:rFonts w:hint="default" w:ascii="Times New Roman" w:hAnsi="Times New Roman" w:eastAsia="楷体_GB2312" w:cs="Times New Roman"/>
          <w:b/>
          <w:sz w:val="32"/>
          <w:szCs w:val="32"/>
        </w:rPr>
      </w:pPr>
    </w:p>
    <w:p>
      <w:pPr>
        <w:jc w:val="center"/>
        <w:rPr>
          <w:rFonts w:hint="default" w:ascii="Times New Roman" w:hAnsi="Times New Roman" w:eastAsia="楷体_GB2312" w:cs="Times New Roman"/>
          <w:b/>
          <w:sz w:val="32"/>
          <w:szCs w:val="32"/>
        </w:rPr>
      </w:pPr>
    </w:p>
    <w:p>
      <w:pPr>
        <w:jc w:val="center"/>
        <w:rPr>
          <w:rFonts w:hint="default" w:ascii="Times New Roman" w:hAnsi="Times New Roman" w:eastAsia="楷体_GB2312" w:cs="Times New Roman"/>
          <w:b/>
          <w:sz w:val="32"/>
          <w:szCs w:val="32"/>
        </w:rPr>
      </w:pPr>
    </w:p>
    <w:p>
      <w:pPr>
        <w:jc w:val="both"/>
        <w:rPr>
          <w:rFonts w:hint="default" w:ascii="Times New Roman" w:hAnsi="Times New Roman" w:eastAsia="黑体" w:cs="Times New Roman"/>
          <w:sz w:val="32"/>
          <w:szCs w:val="32"/>
        </w:rPr>
      </w:pPr>
    </w:p>
    <w:p>
      <w:pPr>
        <w:pStyle w:val="7"/>
        <w:rPr>
          <w:rFonts w:hint="default"/>
        </w:rPr>
      </w:pPr>
    </w:p>
    <w:p>
      <w:pPr>
        <w:jc w:val="center"/>
        <w:rPr>
          <w:rFonts w:hint="default" w:ascii="Times New Roman" w:hAnsi="Times New Roman" w:eastAsia="黑体" w:cs="Times New Roman"/>
          <w:sz w:val="32"/>
          <w:szCs w:val="32"/>
        </w:rPr>
      </w:pPr>
    </w:p>
    <w:p>
      <w:pPr>
        <w:spacing w:line="600" w:lineRule="exact"/>
        <w:ind w:firstLine="1285" w:firstLineChars="400"/>
        <w:jc w:val="both"/>
        <w:rPr>
          <w:rFonts w:hint="eastAsia" w:asciiTheme="minorEastAsia" w:hAnsiTheme="minorEastAsia" w:eastAsiaTheme="minorEastAsia" w:cstheme="minorEastAsia"/>
          <w:b/>
          <w:bCs/>
          <w:sz w:val="32"/>
          <w:szCs w:val="32"/>
          <w:u w:val="single"/>
        </w:rPr>
      </w:pPr>
      <w:r>
        <w:rPr>
          <w:rFonts w:hint="eastAsia" w:asciiTheme="minorEastAsia" w:hAnsiTheme="minorEastAsia" w:eastAsiaTheme="minorEastAsia" w:cstheme="minorEastAsia"/>
          <w:b/>
          <w:bCs/>
          <w:sz w:val="32"/>
          <w:szCs w:val="32"/>
          <w:lang w:val="en-US" w:eastAsia="zh-CN"/>
        </w:rPr>
        <w:t>部门名称：</w:t>
      </w:r>
      <w:r>
        <w:rPr>
          <w:rFonts w:hint="eastAsia" w:asciiTheme="minorEastAsia" w:hAnsiTheme="minorEastAsia" w:eastAsiaTheme="minorEastAsia" w:cstheme="minorEastAsia"/>
          <w:b/>
          <w:bCs/>
          <w:sz w:val="32"/>
          <w:szCs w:val="32"/>
          <w:u w:val="single"/>
          <w:lang w:val="en-US" w:eastAsia="zh-CN"/>
        </w:rPr>
        <w:t>岳阳市</w:t>
      </w:r>
      <w:r>
        <w:rPr>
          <w:rFonts w:hint="eastAsia" w:asciiTheme="minorEastAsia" w:hAnsiTheme="minorEastAsia" w:eastAsiaTheme="minorEastAsia" w:cstheme="minorEastAsia"/>
          <w:b/>
          <w:bCs/>
          <w:sz w:val="32"/>
          <w:szCs w:val="32"/>
          <w:u w:val="single"/>
        </w:rPr>
        <w:t>住房和城乡建设局</w:t>
      </w:r>
    </w:p>
    <w:p>
      <w:pPr>
        <w:spacing w:line="600" w:lineRule="exact"/>
        <w:jc w:val="center"/>
        <w:rPr>
          <w:rFonts w:hint="eastAsia" w:asciiTheme="minorEastAsia" w:hAnsiTheme="minorEastAsia" w:eastAsiaTheme="minorEastAsia" w:cstheme="minorEastAsia"/>
          <w:b/>
          <w:bCs/>
          <w:sz w:val="32"/>
          <w:szCs w:val="32"/>
          <w:lang w:val="en-US" w:eastAsia="zh-CN"/>
        </w:rPr>
        <w:sectPr>
          <w:headerReference r:id="rId3" w:type="default"/>
          <w:footerReference r:id="rId4" w:type="default"/>
          <w:pgSz w:w="11906" w:h="16838"/>
          <w:pgMar w:top="1440" w:right="1800" w:bottom="1440" w:left="1800" w:header="851" w:footer="992" w:gutter="0"/>
          <w:pgNumType w:fmt="decimal"/>
          <w:cols w:space="425" w:num="1"/>
          <w:titlePg/>
          <w:docGrid w:type="lines" w:linePitch="312" w:charSpace="0"/>
        </w:sectPr>
      </w:pPr>
      <w:r>
        <w:rPr>
          <w:rFonts w:hint="eastAsia" w:asciiTheme="minorEastAsia" w:hAnsiTheme="minorEastAsia" w:eastAsiaTheme="minorEastAsia" w:cstheme="minorEastAsia"/>
          <w:b/>
          <w:bCs/>
          <w:sz w:val="32"/>
          <w:szCs w:val="32"/>
          <w:lang w:val="en-US" w:eastAsia="zh-CN"/>
        </w:rPr>
        <w:t xml:space="preserve">   2024年6月27日</w:t>
      </w:r>
    </w:p>
    <w:p>
      <w:pPr>
        <w:spacing w:after="120" w:afterLines="50" w:line="600" w:lineRule="exact"/>
        <w:jc w:val="both"/>
        <w:rPr>
          <w:rFonts w:hint="eastAsia" w:ascii="黑体" w:hAnsi="黑体" w:eastAsia="黑体" w:cs="黑体"/>
          <w:sz w:val="32"/>
          <w:szCs w:val="32"/>
          <w:highlight w:val="none"/>
          <w:lang w:eastAsia="zh-CN"/>
        </w:rPr>
      </w:pPr>
    </w:p>
    <w:p>
      <w:pPr>
        <w:spacing w:after="120" w:afterLines="50" w:line="600" w:lineRule="exact"/>
        <w:jc w:val="both"/>
        <w:rPr>
          <w:rFonts w:hint="eastAsia" w:ascii="黑体" w:hAnsi="黑体" w:eastAsia="黑体" w:cs="黑体"/>
          <w:sz w:val="32"/>
          <w:szCs w:val="32"/>
          <w:highlight w:val="none"/>
          <w:lang w:eastAsia="zh-CN"/>
        </w:rPr>
      </w:pPr>
    </w:p>
    <w:p>
      <w:pPr>
        <w:jc w:val="center"/>
        <w:rPr>
          <w:rFonts w:hint="eastAsia"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sz w:val="44"/>
          <w:szCs w:val="44"/>
        </w:rPr>
        <w:t>202</w:t>
      </w:r>
      <w:r>
        <w:rPr>
          <w:rFonts w:hint="eastAsia" w:asciiTheme="majorEastAsia" w:hAnsiTheme="majorEastAsia" w:eastAsiaTheme="majorEastAsia" w:cstheme="majorEastAsia"/>
          <w:b/>
          <w:bCs/>
          <w:sz w:val="44"/>
          <w:szCs w:val="44"/>
          <w:lang w:val="en-US" w:eastAsia="zh-CN"/>
        </w:rPr>
        <w:t>3</w:t>
      </w:r>
      <w:r>
        <w:rPr>
          <w:rFonts w:hint="eastAsia" w:asciiTheme="majorEastAsia" w:hAnsiTheme="majorEastAsia" w:eastAsiaTheme="majorEastAsia" w:cstheme="majorEastAsia"/>
          <w:b/>
          <w:bCs/>
          <w:sz w:val="44"/>
          <w:szCs w:val="44"/>
        </w:rPr>
        <w:t>年度</w:t>
      </w:r>
      <w:r>
        <w:rPr>
          <w:rFonts w:hint="eastAsia" w:asciiTheme="majorEastAsia" w:hAnsiTheme="majorEastAsia" w:eastAsiaTheme="majorEastAsia" w:cstheme="majorEastAsia"/>
          <w:b/>
          <w:bCs/>
          <w:sz w:val="44"/>
          <w:szCs w:val="44"/>
          <w:lang w:eastAsia="zh-CN"/>
        </w:rPr>
        <w:t>岳阳市</w:t>
      </w:r>
      <w:r>
        <w:rPr>
          <w:rFonts w:hint="eastAsia" w:asciiTheme="majorEastAsia" w:hAnsiTheme="majorEastAsia" w:eastAsiaTheme="majorEastAsia" w:cstheme="majorEastAsia"/>
          <w:b/>
          <w:bCs/>
          <w:sz w:val="44"/>
          <w:szCs w:val="44"/>
          <w:lang w:val="en-US" w:eastAsia="zh-CN"/>
        </w:rPr>
        <w:t>住房和城乡建设局部门</w:t>
      </w:r>
      <w:r>
        <w:rPr>
          <w:rFonts w:hint="eastAsia" w:asciiTheme="majorEastAsia" w:hAnsiTheme="majorEastAsia" w:eastAsiaTheme="majorEastAsia" w:cstheme="majorEastAsia"/>
          <w:b/>
          <w:bCs/>
          <w:sz w:val="44"/>
          <w:szCs w:val="44"/>
        </w:rPr>
        <w:t>整体支出绩效自评报告</w:t>
      </w:r>
    </w:p>
    <w:p>
      <w:pPr>
        <w:spacing w:after="120" w:afterLines="50" w:line="600" w:lineRule="exact"/>
        <w:jc w:val="both"/>
        <w:rPr>
          <w:rFonts w:hint="eastAsia" w:ascii="黑体" w:hAnsi="黑体" w:eastAsia="黑体" w:cs="黑体"/>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黑体" w:cs="Times New Roman"/>
          <w:sz w:val="32"/>
          <w:szCs w:val="32"/>
          <w:lang w:val="en-US" w:eastAsia="zh-CN"/>
        </w:rPr>
      </w:pPr>
      <w:r>
        <w:rPr>
          <w:rFonts w:hint="eastAsia" w:ascii="Times New Roman" w:hAnsi="Times New Roman" w:eastAsia="黑体" w:cs="Times New Roman"/>
          <w:sz w:val="32"/>
          <w:szCs w:val="32"/>
          <w:lang w:val="en-US" w:eastAsia="zh-CN"/>
        </w:rPr>
        <w:t>一、部门</w:t>
      </w:r>
      <w:r>
        <w:rPr>
          <w:rFonts w:hint="default" w:ascii="Times New Roman" w:hAnsi="Times New Roman" w:eastAsia="黑体" w:cs="Times New Roman"/>
          <w:sz w:val="32"/>
          <w:szCs w:val="32"/>
        </w:rPr>
        <w:t>基本情</w:t>
      </w:r>
      <w:r>
        <w:rPr>
          <w:rFonts w:hint="eastAsia" w:ascii="Times New Roman" w:hAnsi="Times New Roman" w:eastAsia="黑体" w:cs="Times New Roman"/>
          <w:sz w:val="32"/>
          <w:szCs w:val="32"/>
          <w:lang w:val="en-US" w:eastAsia="zh-CN"/>
        </w:rPr>
        <w:t>况</w:t>
      </w:r>
    </w:p>
    <w:p>
      <w:pPr>
        <w:keepNext w:val="0"/>
        <w:keepLines w:val="0"/>
        <w:pageBreakBefore w:val="0"/>
        <w:widowControl/>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（一）职能职责</w:t>
      </w:r>
    </w:p>
    <w:p>
      <w:pPr>
        <w:keepNext w:val="0"/>
        <w:keepLines w:val="0"/>
        <w:pageBreakBefore w:val="0"/>
        <w:kinsoku/>
        <w:wordWrap/>
        <w:overflowPunct/>
        <w:topLinePunct w:val="0"/>
        <w:autoSpaceDE/>
        <w:autoSpaceDN/>
        <w:bidi w:val="0"/>
        <w:adjustRightInd/>
        <w:snapToGrid/>
        <w:spacing w:before="110" w:line="600" w:lineRule="exact"/>
        <w:ind w:left="9" w:right="24" w:firstLine="648"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lang w:val="en-US" w:eastAsia="zh-CN"/>
        </w:rPr>
        <w:t>1、</w:t>
      </w:r>
      <w:r>
        <w:rPr>
          <w:rFonts w:hint="eastAsia" w:ascii="仿宋_GB2312" w:hAnsi="仿宋_GB2312" w:eastAsia="仿宋_GB2312" w:cs="仿宋_GB2312"/>
          <w:spacing w:val="2"/>
          <w:sz w:val="32"/>
          <w:szCs w:val="32"/>
        </w:rPr>
        <w:t>贯彻落实有关住房和城乡建设的法律</w:t>
      </w:r>
      <w:r>
        <w:rPr>
          <w:rFonts w:hint="eastAsia" w:ascii="仿宋_GB2312" w:hAnsi="仿宋_GB2312" w:eastAsia="仿宋_GB2312" w:cs="仿宋_GB2312"/>
          <w:spacing w:val="1"/>
          <w:sz w:val="32"/>
          <w:szCs w:val="32"/>
        </w:rPr>
        <w:t>法规、规章和</w:t>
      </w:r>
      <w:r>
        <w:rPr>
          <w:rFonts w:hint="eastAsia" w:ascii="仿宋_GB2312" w:hAnsi="仿宋_GB2312" w:eastAsia="仿宋_GB2312" w:cs="仿宋_GB2312"/>
          <w:spacing w:val="-1"/>
          <w:sz w:val="32"/>
          <w:szCs w:val="32"/>
        </w:rPr>
        <w:t>政策;拟订住房和城乡建设行业地方性法规、规章草</w:t>
      </w:r>
      <w:r>
        <w:rPr>
          <w:rFonts w:hint="eastAsia" w:ascii="仿宋_GB2312" w:hAnsi="仿宋_GB2312" w:eastAsia="仿宋_GB2312" w:cs="仿宋_GB2312"/>
          <w:sz w:val="32"/>
          <w:szCs w:val="32"/>
        </w:rPr>
        <w:t>案、规范</w:t>
      </w:r>
      <w:r>
        <w:rPr>
          <w:rFonts w:hint="eastAsia" w:ascii="仿宋_GB2312" w:hAnsi="仿宋_GB2312" w:eastAsia="仿宋_GB2312" w:cs="仿宋_GB2312"/>
          <w:spacing w:val="-1"/>
          <w:sz w:val="32"/>
          <w:szCs w:val="32"/>
        </w:rPr>
        <w:t>性文件;研究拟订住房和城乡建设发展战略、产业政策、改革</w:t>
      </w:r>
      <w:r>
        <w:rPr>
          <w:rFonts w:hint="eastAsia" w:ascii="仿宋_GB2312" w:hAnsi="仿宋_GB2312" w:eastAsia="仿宋_GB2312" w:cs="仿宋_GB2312"/>
          <w:spacing w:val="-2"/>
          <w:sz w:val="32"/>
          <w:szCs w:val="32"/>
        </w:rPr>
        <w:t>方案和中长期规划及年度计划并组织实施;牵头组织推</w:t>
      </w:r>
      <w:r>
        <w:rPr>
          <w:rFonts w:hint="eastAsia" w:ascii="仿宋_GB2312" w:hAnsi="仿宋_GB2312" w:eastAsia="仿宋_GB2312" w:cs="仿宋_GB2312"/>
          <w:spacing w:val="-1"/>
          <w:sz w:val="32"/>
          <w:szCs w:val="32"/>
        </w:rPr>
        <w:t>进</w:t>
      </w:r>
      <w:r>
        <w:rPr>
          <w:rFonts w:hint="eastAsia" w:ascii="仿宋_GB2312" w:hAnsi="仿宋_GB2312" w:eastAsia="仿宋_GB2312" w:cs="仿宋_GB2312"/>
          <w:sz w:val="32"/>
          <w:szCs w:val="32"/>
        </w:rPr>
        <w:t>城市</w:t>
      </w:r>
      <w:r>
        <w:rPr>
          <w:rFonts w:hint="eastAsia" w:ascii="仿宋_GB2312" w:hAnsi="仿宋_GB2312" w:eastAsia="仿宋_GB2312" w:cs="仿宋_GB2312"/>
          <w:spacing w:val="-1"/>
          <w:sz w:val="32"/>
          <w:szCs w:val="32"/>
        </w:rPr>
        <w:t>智慧化建设和新型城市化发展战略;组织推进行业</w:t>
      </w:r>
      <w:r>
        <w:rPr>
          <w:rFonts w:hint="eastAsia" w:ascii="仿宋_GB2312" w:hAnsi="仿宋_GB2312" w:eastAsia="仿宋_GB2312" w:cs="仿宋_GB2312"/>
          <w:sz w:val="32"/>
          <w:szCs w:val="32"/>
        </w:rPr>
        <w:t>诚信体系建</w:t>
      </w:r>
      <w:r>
        <w:rPr>
          <w:rFonts w:hint="eastAsia" w:ascii="仿宋_GB2312" w:hAnsi="仿宋_GB2312" w:eastAsia="仿宋_GB2312" w:cs="仿宋_GB2312"/>
          <w:spacing w:val="10"/>
          <w:sz w:val="32"/>
          <w:szCs w:val="32"/>
        </w:rPr>
        <w:t>设</w:t>
      </w:r>
      <w:r>
        <w:rPr>
          <w:rFonts w:hint="eastAsia" w:ascii="仿宋_GB2312" w:hAnsi="仿宋_GB2312" w:eastAsia="仿宋_GB2312" w:cs="仿宋_GB2312"/>
          <w:spacing w:val="6"/>
          <w:sz w:val="32"/>
          <w:szCs w:val="32"/>
        </w:rPr>
        <w:t>和</w:t>
      </w:r>
      <w:r>
        <w:rPr>
          <w:rFonts w:hint="eastAsia" w:ascii="仿宋_GB2312" w:hAnsi="仿宋_GB2312" w:eastAsia="仿宋_GB2312" w:cs="仿宋_GB2312"/>
          <w:spacing w:val="5"/>
          <w:sz w:val="32"/>
          <w:szCs w:val="32"/>
        </w:rPr>
        <w:t>管理;负责市本级住房和城乡建设行政执法工作;负责监</w:t>
      </w:r>
      <w:r>
        <w:rPr>
          <w:rFonts w:hint="eastAsia" w:ascii="仿宋_GB2312" w:hAnsi="仿宋_GB2312" w:eastAsia="仿宋_GB2312" w:cs="仿宋_GB2312"/>
          <w:spacing w:val="-29"/>
          <w:sz w:val="32"/>
          <w:szCs w:val="32"/>
        </w:rPr>
        <w:t>督</w:t>
      </w:r>
      <w:r>
        <w:rPr>
          <w:rFonts w:hint="eastAsia" w:ascii="仿宋_GB2312" w:hAnsi="仿宋_GB2312" w:eastAsia="仿宋_GB2312" w:cs="仿宋_GB2312"/>
          <w:spacing w:val="-20"/>
          <w:sz w:val="32"/>
          <w:szCs w:val="32"/>
        </w:rPr>
        <w:t>指导各县市区住房和城乡建设行政执法工作;负责编制城市</w:t>
      </w:r>
      <w:r>
        <w:rPr>
          <w:rFonts w:hint="eastAsia" w:ascii="仿宋_GB2312" w:hAnsi="仿宋_GB2312" w:eastAsia="仿宋_GB2312" w:cs="仿宋_GB2312"/>
          <w:spacing w:val="-18"/>
          <w:sz w:val="32"/>
          <w:szCs w:val="32"/>
        </w:rPr>
        <w:t>建</w:t>
      </w:r>
      <w:r>
        <w:rPr>
          <w:rFonts w:hint="eastAsia" w:ascii="仿宋_GB2312" w:hAnsi="仿宋_GB2312" w:eastAsia="仿宋_GB2312" w:cs="仿宋_GB2312"/>
          <w:spacing w:val="-13"/>
          <w:sz w:val="32"/>
          <w:szCs w:val="32"/>
        </w:rPr>
        <w:t>设行业专业规划;负责住房和城乡建设行业综合统计;指导</w:t>
      </w:r>
      <w:r>
        <w:rPr>
          <w:rFonts w:hint="eastAsia" w:ascii="仿宋_GB2312" w:hAnsi="仿宋_GB2312" w:eastAsia="仿宋_GB2312" w:cs="仿宋_GB2312"/>
          <w:spacing w:val="-22"/>
          <w:sz w:val="32"/>
          <w:szCs w:val="32"/>
        </w:rPr>
        <w:t>和协调各县市区住房和城乡建设管理工作</w:t>
      </w:r>
      <w:r>
        <w:rPr>
          <w:rFonts w:hint="eastAsia" w:ascii="仿宋_GB2312" w:hAnsi="仿宋_GB2312" w:eastAsia="仿宋_GB2312" w:cs="仿宋_GB2312"/>
          <w:spacing w:val="-21"/>
          <w:sz w:val="32"/>
          <w:szCs w:val="32"/>
        </w:rPr>
        <w:t>。</w:t>
      </w:r>
    </w:p>
    <w:p>
      <w:pPr>
        <w:keepNext w:val="0"/>
        <w:keepLines w:val="0"/>
        <w:pageBreakBefore w:val="0"/>
        <w:kinsoku/>
        <w:wordWrap/>
        <w:overflowPunct/>
        <w:topLinePunct w:val="0"/>
        <w:autoSpaceDE/>
        <w:autoSpaceDN/>
        <w:bidi w:val="0"/>
        <w:adjustRightInd/>
        <w:snapToGrid/>
        <w:spacing w:line="600" w:lineRule="exact"/>
        <w:ind w:firstLine="628"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3"/>
          <w:sz w:val="32"/>
          <w:szCs w:val="32"/>
          <w:lang w:val="en-US" w:eastAsia="zh-CN"/>
        </w:rPr>
        <w:t>2、</w:t>
      </w:r>
      <w:r>
        <w:rPr>
          <w:rFonts w:hint="eastAsia" w:ascii="仿宋_GB2312" w:hAnsi="仿宋_GB2312" w:eastAsia="仿宋_GB2312" w:cs="仿宋_GB2312"/>
          <w:spacing w:val="-3"/>
          <w:sz w:val="32"/>
          <w:szCs w:val="32"/>
        </w:rPr>
        <w:t>负责全市市政基础(公用)设施建设的行业管理</w:t>
      </w:r>
      <w:r>
        <w:rPr>
          <w:rFonts w:hint="eastAsia" w:ascii="仿宋_GB2312" w:hAnsi="仿宋_GB2312" w:eastAsia="仿宋_GB2312" w:cs="仿宋_GB2312"/>
          <w:sz w:val="32"/>
          <w:szCs w:val="32"/>
        </w:rPr>
        <w:t>和</w:t>
      </w:r>
      <w:r>
        <w:rPr>
          <w:rFonts w:hint="eastAsia" w:ascii="仿宋_GB2312" w:hAnsi="仿宋_GB2312" w:eastAsia="仿宋_GB2312" w:cs="仿宋_GB2312"/>
          <w:spacing w:val="-13"/>
          <w:sz w:val="32"/>
          <w:szCs w:val="32"/>
        </w:rPr>
        <w:t>城建计划;牵头负责城市地下管线建设统筹和数据管理;负责</w:t>
      </w:r>
      <w:r>
        <w:rPr>
          <w:rFonts w:hint="eastAsia" w:ascii="仿宋_GB2312" w:hAnsi="仿宋_GB2312" w:eastAsia="仿宋_GB2312" w:cs="仿宋_GB2312"/>
          <w:spacing w:val="-14"/>
          <w:sz w:val="32"/>
          <w:szCs w:val="32"/>
        </w:rPr>
        <w:t>住宅专项维修资金缴存管理和城市基础设施建设配套费的</w:t>
      </w:r>
      <w:r>
        <w:rPr>
          <w:rFonts w:hint="eastAsia" w:ascii="仿宋_GB2312" w:hAnsi="仿宋_GB2312" w:eastAsia="仿宋_GB2312" w:cs="仿宋_GB2312"/>
          <w:spacing w:val="-10"/>
          <w:sz w:val="32"/>
          <w:szCs w:val="32"/>
        </w:rPr>
        <w:t>征</w:t>
      </w:r>
      <w:r>
        <w:rPr>
          <w:rFonts w:hint="eastAsia" w:ascii="仿宋_GB2312" w:hAnsi="仿宋_GB2312" w:eastAsia="仿宋_GB2312" w:cs="仿宋_GB2312"/>
          <w:spacing w:val="-25"/>
          <w:sz w:val="32"/>
          <w:szCs w:val="32"/>
        </w:rPr>
        <w:t>收</w:t>
      </w:r>
      <w:r>
        <w:rPr>
          <w:rFonts w:hint="eastAsia" w:ascii="仿宋_GB2312" w:hAnsi="仿宋_GB2312" w:eastAsia="仿宋_GB2312" w:cs="仿宋_GB2312"/>
          <w:spacing w:val="-22"/>
          <w:sz w:val="32"/>
          <w:szCs w:val="32"/>
        </w:rPr>
        <w:t>管理。</w:t>
      </w:r>
    </w:p>
    <w:p>
      <w:pPr>
        <w:keepNext w:val="0"/>
        <w:keepLines w:val="0"/>
        <w:pageBreakBefore w:val="0"/>
        <w:kinsoku/>
        <w:wordWrap/>
        <w:overflowPunct/>
        <w:topLinePunct w:val="0"/>
        <w:autoSpaceDE/>
        <w:autoSpaceDN/>
        <w:bidi w:val="0"/>
        <w:adjustRightInd/>
        <w:snapToGrid/>
        <w:spacing w:line="600" w:lineRule="exact"/>
        <w:ind w:right="27" w:firstLine="524" w:firstLineChars="200"/>
        <w:textAlignment w:val="auto"/>
        <w:rPr>
          <w:rFonts w:hint="eastAsia" w:ascii="仿宋_GB2312" w:hAnsi="仿宋_GB2312" w:eastAsia="仿宋_GB2312" w:cs="仿宋_GB2312"/>
          <w:spacing w:val="-21"/>
          <w:sz w:val="32"/>
          <w:szCs w:val="32"/>
        </w:rPr>
      </w:pPr>
      <w:r>
        <w:rPr>
          <w:rFonts w:hint="eastAsia" w:ascii="仿宋_GB2312" w:hAnsi="仿宋_GB2312" w:eastAsia="仿宋_GB2312" w:cs="仿宋_GB2312"/>
          <w:spacing w:val="-29"/>
          <w:sz w:val="32"/>
          <w:szCs w:val="32"/>
          <w:lang w:val="en-US" w:eastAsia="zh-CN"/>
        </w:rPr>
        <w:t>3、</w:t>
      </w:r>
      <w:r>
        <w:rPr>
          <w:rFonts w:hint="eastAsia" w:ascii="仿宋_GB2312" w:hAnsi="仿宋_GB2312" w:eastAsia="仿宋_GB2312" w:cs="仿宋_GB2312"/>
          <w:spacing w:val="-17"/>
          <w:sz w:val="32"/>
          <w:szCs w:val="32"/>
        </w:rPr>
        <w:t>建立和完善住房保障体系，研究拟订全市住房保障</w:t>
      </w:r>
      <w:r>
        <w:rPr>
          <w:rFonts w:hint="eastAsia" w:ascii="仿宋_GB2312" w:hAnsi="仿宋_GB2312" w:eastAsia="仿宋_GB2312" w:cs="仿宋_GB2312"/>
          <w:spacing w:val="-13"/>
          <w:sz w:val="32"/>
          <w:szCs w:val="32"/>
        </w:rPr>
        <w:t>政策并监督实施;指导监督全市住房保障工作;拟订全市住房</w:t>
      </w:r>
      <w:r>
        <w:rPr>
          <w:rFonts w:hint="eastAsia" w:ascii="仿宋_GB2312" w:hAnsi="仿宋_GB2312" w:eastAsia="仿宋_GB2312" w:cs="仿宋_GB2312"/>
          <w:spacing w:val="-7"/>
          <w:sz w:val="32"/>
          <w:szCs w:val="32"/>
        </w:rPr>
        <w:t>(含保障性住房)发展规划及年度计划并监督实施;会同相</w:t>
      </w:r>
      <w:r>
        <w:rPr>
          <w:rFonts w:hint="eastAsia" w:ascii="仿宋_GB2312" w:hAnsi="仿宋_GB2312" w:eastAsia="仿宋_GB2312" w:cs="仿宋_GB2312"/>
          <w:spacing w:val="-3"/>
          <w:sz w:val="32"/>
          <w:szCs w:val="32"/>
        </w:rPr>
        <w:t>关</w:t>
      </w:r>
      <w:r>
        <w:rPr>
          <w:rFonts w:hint="eastAsia" w:ascii="仿宋_GB2312" w:hAnsi="仿宋_GB2312" w:eastAsia="仿宋_GB2312" w:cs="仿宋_GB2312"/>
          <w:spacing w:val="-30"/>
          <w:sz w:val="32"/>
          <w:szCs w:val="32"/>
        </w:rPr>
        <w:t>部</w:t>
      </w:r>
      <w:r>
        <w:rPr>
          <w:rFonts w:hint="eastAsia" w:ascii="仿宋_GB2312" w:hAnsi="仿宋_GB2312" w:eastAsia="仿宋_GB2312" w:cs="仿宋_GB2312"/>
          <w:spacing w:val="-19"/>
          <w:sz w:val="32"/>
          <w:szCs w:val="32"/>
        </w:rPr>
        <w:t>门做好政府有关住房保障专项资金安排和资金监管工作;指</w:t>
      </w:r>
      <w:r>
        <w:rPr>
          <w:rFonts w:hint="eastAsia" w:ascii="仿宋_GB2312" w:hAnsi="仿宋_GB2312" w:eastAsia="仿宋_GB2312" w:cs="仿宋_GB2312"/>
          <w:spacing w:val="-35"/>
          <w:sz w:val="32"/>
          <w:szCs w:val="32"/>
        </w:rPr>
        <w:t>导</w:t>
      </w:r>
      <w:r>
        <w:rPr>
          <w:rFonts w:hint="eastAsia" w:ascii="仿宋_GB2312" w:hAnsi="仿宋_GB2312" w:eastAsia="仿宋_GB2312" w:cs="仿宋_GB2312"/>
          <w:spacing w:val="-19"/>
          <w:sz w:val="32"/>
          <w:szCs w:val="32"/>
        </w:rPr>
        <w:t>监督保障性住房建设、运营、管理;组织指导城市、国有工</w:t>
      </w:r>
      <w:r>
        <w:rPr>
          <w:rFonts w:hint="eastAsia" w:ascii="仿宋_GB2312" w:hAnsi="仿宋_GB2312" w:eastAsia="仿宋_GB2312" w:cs="仿宋_GB2312"/>
          <w:spacing w:val="-32"/>
          <w:sz w:val="32"/>
          <w:szCs w:val="32"/>
        </w:rPr>
        <w:t>矿</w:t>
      </w:r>
      <w:r>
        <w:rPr>
          <w:rFonts w:hint="eastAsia" w:ascii="仿宋_GB2312" w:hAnsi="仿宋_GB2312" w:eastAsia="仿宋_GB2312" w:cs="仿宋_GB2312"/>
          <w:spacing w:val="-21"/>
          <w:sz w:val="32"/>
          <w:szCs w:val="32"/>
        </w:rPr>
        <w:t>棚户区改造和老旧小区改造工作。</w:t>
      </w:r>
    </w:p>
    <w:p>
      <w:pPr>
        <w:keepNext w:val="0"/>
        <w:keepLines w:val="0"/>
        <w:pageBreakBefore w:val="0"/>
        <w:kinsoku/>
        <w:wordWrap/>
        <w:overflowPunct/>
        <w:topLinePunct w:val="0"/>
        <w:autoSpaceDE/>
        <w:autoSpaceDN/>
        <w:bidi w:val="0"/>
        <w:adjustRightInd/>
        <w:snapToGrid/>
        <w:spacing w:before="1" w:line="600" w:lineRule="exact"/>
        <w:ind w:right="8" w:firstLine="556"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21"/>
          <w:sz w:val="32"/>
          <w:szCs w:val="32"/>
          <w:lang w:val="en-US" w:eastAsia="zh-CN"/>
        </w:rPr>
        <w:t>4、</w:t>
      </w:r>
      <w:r>
        <w:rPr>
          <w:rFonts w:hint="eastAsia" w:ascii="仿宋_GB2312" w:hAnsi="仿宋_GB2312" w:eastAsia="仿宋_GB2312" w:cs="仿宋_GB2312"/>
          <w:spacing w:val="-17"/>
          <w:sz w:val="32"/>
          <w:szCs w:val="32"/>
        </w:rPr>
        <w:t>负责全市房地产市场监督管理，规范房地产市场秩</w:t>
      </w:r>
      <w:r>
        <w:rPr>
          <w:rFonts w:hint="eastAsia" w:ascii="仿宋_GB2312" w:hAnsi="仿宋_GB2312" w:eastAsia="仿宋_GB2312" w:cs="仿宋_GB2312"/>
          <w:spacing w:val="-19"/>
          <w:sz w:val="32"/>
          <w:szCs w:val="32"/>
        </w:rPr>
        <w:t>序。负责权限内房地产开发企业资质认定;负责商品房屋预</w:t>
      </w:r>
      <w:r>
        <w:rPr>
          <w:rFonts w:hint="eastAsia" w:ascii="仿宋_GB2312" w:hAnsi="仿宋_GB2312" w:eastAsia="仿宋_GB2312" w:cs="仿宋_GB2312"/>
          <w:spacing w:val="-16"/>
          <w:sz w:val="32"/>
          <w:szCs w:val="32"/>
        </w:rPr>
        <w:t>售</w:t>
      </w:r>
      <w:r>
        <w:rPr>
          <w:rFonts w:hint="eastAsia" w:ascii="仿宋_GB2312" w:hAnsi="仿宋_GB2312" w:eastAsia="仿宋_GB2312" w:cs="仿宋_GB2312"/>
          <w:spacing w:val="-25"/>
          <w:sz w:val="32"/>
          <w:szCs w:val="32"/>
        </w:rPr>
        <w:t>许</w:t>
      </w:r>
      <w:r>
        <w:rPr>
          <w:rFonts w:hint="eastAsia" w:ascii="仿宋_GB2312" w:hAnsi="仿宋_GB2312" w:eastAsia="仿宋_GB2312" w:cs="仿宋_GB2312"/>
          <w:spacing w:val="-19"/>
          <w:sz w:val="32"/>
          <w:szCs w:val="32"/>
        </w:rPr>
        <w:t>可、销售管理和房屋交易管理;负责房产测绘及成果应用的</w:t>
      </w:r>
      <w:r>
        <w:rPr>
          <w:rFonts w:hint="eastAsia" w:ascii="仿宋_GB2312" w:hAnsi="仿宋_GB2312" w:eastAsia="仿宋_GB2312" w:cs="仿宋_GB2312"/>
          <w:spacing w:val="-35"/>
          <w:sz w:val="32"/>
          <w:szCs w:val="32"/>
        </w:rPr>
        <w:t>监</w:t>
      </w:r>
      <w:r>
        <w:rPr>
          <w:rFonts w:hint="eastAsia" w:ascii="仿宋_GB2312" w:hAnsi="仿宋_GB2312" w:eastAsia="仿宋_GB2312" w:cs="仿宋_GB2312"/>
          <w:spacing w:val="-19"/>
          <w:sz w:val="32"/>
          <w:szCs w:val="32"/>
        </w:rPr>
        <w:t>督管理;监督管理房地产开发市场、房地产交易市场、物业管理市场、房地产中介服务市场和房屋租赁市场;监督管理</w:t>
      </w:r>
      <w:r>
        <w:rPr>
          <w:rFonts w:hint="eastAsia" w:ascii="仿宋_GB2312" w:hAnsi="仿宋_GB2312" w:eastAsia="仿宋_GB2312" w:cs="仿宋_GB2312"/>
          <w:spacing w:val="-16"/>
          <w:sz w:val="32"/>
          <w:szCs w:val="32"/>
        </w:rPr>
        <w:t>国</w:t>
      </w:r>
      <w:r>
        <w:rPr>
          <w:rFonts w:hint="eastAsia" w:ascii="仿宋_GB2312" w:hAnsi="仿宋_GB2312" w:eastAsia="仿宋_GB2312" w:cs="仿宋_GB2312"/>
          <w:spacing w:val="-19"/>
          <w:sz w:val="32"/>
          <w:szCs w:val="32"/>
        </w:rPr>
        <w:t>有土地上房屋征收与补偿、城市房屋白蚁防治工作;负责危旧</w:t>
      </w:r>
      <w:r>
        <w:rPr>
          <w:rFonts w:hint="eastAsia" w:ascii="仿宋_GB2312" w:hAnsi="仿宋_GB2312" w:eastAsia="仿宋_GB2312" w:cs="仿宋_GB2312"/>
          <w:spacing w:val="-24"/>
          <w:sz w:val="32"/>
          <w:szCs w:val="32"/>
        </w:rPr>
        <w:t>房</w:t>
      </w:r>
      <w:r>
        <w:rPr>
          <w:rFonts w:hint="eastAsia" w:ascii="仿宋_GB2312" w:hAnsi="仿宋_GB2312" w:eastAsia="仿宋_GB2312" w:cs="仿宋_GB2312"/>
          <w:spacing w:val="-21"/>
          <w:sz w:val="32"/>
          <w:szCs w:val="32"/>
        </w:rPr>
        <w:t>屋的安全鉴定和行业管理工作。</w:t>
      </w:r>
    </w:p>
    <w:p>
      <w:pPr>
        <w:keepNext w:val="0"/>
        <w:keepLines w:val="0"/>
        <w:pageBreakBefore w:val="0"/>
        <w:kinsoku/>
        <w:wordWrap/>
        <w:overflowPunct/>
        <w:topLinePunct w:val="0"/>
        <w:autoSpaceDE/>
        <w:autoSpaceDN/>
        <w:bidi w:val="0"/>
        <w:adjustRightInd/>
        <w:snapToGrid/>
        <w:spacing w:before="1" w:line="600" w:lineRule="exact"/>
        <w:ind w:firstLine="564"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9"/>
          <w:sz w:val="32"/>
          <w:szCs w:val="32"/>
          <w:lang w:val="en-US" w:eastAsia="zh-CN"/>
        </w:rPr>
        <w:t>5、</w:t>
      </w:r>
      <w:r>
        <w:rPr>
          <w:rFonts w:hint="eastAsia" w:ascii="仿宋_GB2312" w:hAnsi="仿宋_GB2312" w:eastAsia="仿宋_GB2312" w:cs="仿宋_GB2312"/>
          <w:spacing w:val="-17"/>
          <w:sz w:val="32"/>
          <w:szCs w:val="32"/>
        </w:rPr>
        <w:t>负责全市建筑市场监督管理。负责全市建设工程招</w:t>
      </w:r>
      <w:r>
        <w:rPr>
          <w:rFonts w:hint="eastAsia" w:ascii="仿宋_GB2312" w:hAnsi="仿宋_GB2312" w:eastAsia="仿宋_GB2312" w:cs="仿宋_GB2312"/>
          <w:spacing w:val="-22"/>
          <w:sz w:val="32"/>
          <w:szCs w:val="32"/>
        </w:rPr>
        <w:t>标</w:t>
      </w:r>
      <w:r>
        <w:rPr>
          <w:rFonts w:hint="eastAsia" w:ascii="仿宋_GB2312" w:hAnsi="仿宋_GB2312" w:eastAsia="仿宋_GB2312" w:cs="仿宋_GB2312"/>
          <w:spacing w:val="-17"/>
          <w:sz w:val="32"/>
          <w:szCs w:val="32"/>
        </w:rPr>
        <w:t>投标监管和备案工作;负责建筑施工、装饰装修、工程监理、</w:t>
      </w:r>
      <w:r>
        <w:rPr>
          <w:rFonts w:hint="eastAsia" w:ascii="仿宋_GB2312" w:hAnsi="仿宋_GB2312" w:eastAsia="仿宋_GB2312" w:cs="仿宋_GB2312"/>
          <w:spacing w:val="-32"/>
          <w:sz w:val="32"/>
          <w:szCs w:val="32"/>
        </w:rPr>
        <w:t>造</w:t>
      </w:r>
      <w:r>
        <w:rPr>
          <w:rFonts w:hint="eastAsia" w:ascii="仿宋_GB2312" w:hAnsi="仿宋_GB2312" w:eastAsia="仿宋_GB2312" w:cs="仿宋_GB2312"/>
          <w:spacing w:val="-19"/>
          <w:sz w:val="32"/>
          <w:szCs w:val="32"/>
        </w:rPr>
        <w:t>价</w:t>
      </w:r>
      <w:r>
        <w:rPr>
          <w:rFonts w:hint="eastAsia" w:ascii="仿宋_GB2312" w:hAnsi="仿宋_GB2312" w:eastAsia="仿宋_GB2312" w:cs="仿宋_GB2312"/>
          <w:spacing w:val="-16"/>
          <w:sz w:val="32"/>
          <w:szCs w:val="32"/>
        </w:rPr>
        <w:t>咨询、招标代理、建设工程质量检测和商品混凝土生产等</w:t>
      </w:r>
      <w:r>
        <w:rPr>
          <w:rFonts w:hint="eastAsia" w:ascii="仿宋_GB2312" w:hAnsi="仿宋_GB2312" w:eastAsia="仿宋_GB2312" w:cs="仿宋_GB2312"/>
          <w:spacing w:val="-11"/>
          <w:sz w:val="32"/>
          <w:szCs w:val="32"/>
        </w:rPr>
        <w:t>行业的监管;按照规定权限负责全市建筑业、工程监理、检</w:t>
      </w:r>
      <w:r>
        <w:rPr>
          <w:rFonts w:hint="eastAsia" w:ascii="仿宋_GB2312" w:hAnsi="仿宋_GB2312" w:eastAsia="仿宋_GB2312" w:cs="仿宋_GB2312"/>
          <w:spacing w:val="-10"/>
          <w:sz w:val="32"/>
          <w:szCs w:val="32"/>
        </w:rPr>
        <w:t>验</w:t>
      </w:r>
      <w:r>
        <w:rPr>
          <w:rFonts w:hint="eastAsia" w:ascii="仿宋_GB2312" w:hAnsi="仿宋_GB2312" w:eastAsia="仿宋_GB2312" w:cs="仿宋_GB2312"/>
          <w:spacing w:val="-25"/>
          <w:sz w:val="32"/>
          <w:szCs w:val="32"/>
        </w:rPr>
        <w:t>检</w:t>
      </w:r>
      <w:r>
        <w:rPr>
          <w:rFonts w:hint="eastAsia" w:ascii="仿宋_GB2312" w:hAnsi="仿宋_GB2312" w:eastAsia="仿宋_GB2312" w:cs="仿宋_GB2312"/>
          <w:spacing w:val="-16"/>
          <w:sz w:val="32"/>
          <w:szCs w:val="32"/>
        </w:rPr>
        <w:t>测、商品混凝土、预拌砂浆、装饰装修等企业及其相关中介</w:t>
      </w:r>
      <w:r>
        <w:rPr>
          <w:rFonts w:hint="eastAsia" w:ascii="仿宋_GB2312" w:hAnsi="仿宋_GB2312" w:eastAsia="仿宋_GB2312" w:cs="仿宋_GB2312"/>
          <w:spacing w:val="-17"/>
          <w:sz w:val="32"/>
          <w:szCs w:val="32"/>
        </w:rPr>
        <w:t>组织的资质和从业人员资格管理，对商品混凝土、预拌砂浆</w:t>
      </w:r>
      <w:r>
        <w:rPr>
          <w:rFonts w:hint="eastAsia" w:ascii="仿宋_GB2312" w:hAnsi="仿宋_GB2312" w:eastAsia="仿宋_GB2312" w:cs="仿宋_GB2312"/>
          <w:spacing w:val="-13"/>
          <w:sz w:val="32"/>
          <w:szCs w:val="32"/>
        </w:rPr>
        <w:t>生</w:t>
      </w:r>
      <w:r>
        <w:rPr>
          <w:rFonts w:hint="eastAsia" w:ascii="仿宋_GB2312" w:hAnsi="仿宋_GB2312" w:eastAsia="仿宋_GB2312" w:cs="仿宋_GB2312"/>
          <w:spacing w:val="-11"/>
          <w:sz w:val="32"/>
          <w:szCs w:val="32"/>
        </w:rPr>
        <w:t>产、销售、使用过程中的违法违规行为进行行政处罚;负责</w:t>
      </w:r>
      <w:r>
        <w:rPr>
          <w:rFonts w:hint="eastAsia" w:ascii="仿宋_GB2312" w:hAnsi="仿宋_GB2312" w:eastAsia="仿宋_GB2312" w:cs="仿宋_GB2312"/>
          <w:spacing w:val="-7"/>
          <w:sz w:val="32"/>
          <w:szCs w:val="32"/>
        </w:rPr>
        <w:t>建</w:t>
      </w:r>
      <w:r>
        <w:rPr>
          <w:rFonts w:hint="eastAsia" w:ascii="仿宋_GB2312" w:hAnsi="仿宋_GB2312" w:eastAsia="仿宋_GB2312" w:cs="仿宋_GB2312"/>
          <w:spacing w:val="-11"/>
          <w:sz w:val="32"/>
          <w:szCs w:val="32"/>
        </w:rPr>
        <w:t>筑工程施工许可;负责房屋建筑和市政基础设施工程公开招</w:t>
      </w:r>
      <w:r>
        <w:rPr>
          <w:rFonts w:hint="eastAsia" w:ascii="仿宋_GB2312" w:hAnsi="仿宋_GB2312" w:eastAsia="仿宋_GB2312" w:cs="仿宋_GB2312"/>
          <w:spacing w:val="-10"/>
          <w:sz w:val="32"/>
          <w:szCs w:val="32"/>
        </w:rPr>
        <w:t>标</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pacing w:val="-13"/>
          <w:sz w:val="32"/>
          <w:szCs w:val="32"/>
        </w:rPr>
        <w:t>项目的招标控制价备案、工程造价管理</w:t>
      </w:r>
      <w:r>
        <w:rPr>
          <w:rFonts w:hint="eastAsia" w:ascii="仿宋_GB2312" w:hAnsi="仿宋_GB2312" w:eastAsia="仿宋_GB2312" w:cs="仿宋_GB2312"/>
          <w:spacing w:val="-11"/>
          <w:sz w:val="32"/>
          <w:szCs w:val="32"/>
        </w:rPr>
        <w:t>。</w:t>
      </w:r>
    </w:p>
    <w:p>
      <w:pPr>
        <w:keepNext w:val="0"/>
        <w:keepLines w:val="0"/>
        <w:pageBreakBefore w:val="0"/>
        <w:kinsoku/>
        <w:wordWrap/>
        <w:overflowPunct/>
        <w:topLinePunct w:val="0"/>
        <w:autoSpaceDE/>
        <w:autoSpaceDN/>
        <w:bidi w:val="0"/>
        <w:adjustRightInd/>
        <w:snapToGrid/>
        <w:spacing w:before="10" w:line="600" w:lineRule="exact"/>
        <w:ind w:right="125" w:firstLine="60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0"/>
          <w:sz w:val="32"/>
          <w:szCs w:val="32"/>
          <w:lang w:val="en-US" w:eastAsia="zh-CN"/>
        </w:rPr>
        <w:t>6、</w:t>
      </w:r>
      <w:r>
        <w:rPr>
          <w:rFonts w:hint="eastAsia" w:ascii="仿宋_GB2312" w:hAnsi="仿宋_GB2312" w:eastAsia="仿宋_GB2312" w:cs="仿宋_GB2312"/>
          <w:spacing w:val="-10"/>
          <w:sz w:val="32"/>
          <w:szCs w:val="32"/>
        </w:rPr>
        <w:t>负责全市房屋建筑和市政基础设施的工程质量、</w:t>
      </w:r>
      <w:r>
        <w:rPr>
          <w:rFonts w:hint="eastAsia" w:ascii="仿宋_GB2312" w:hAnsi="仿宋_GB2312" w:eastAsia="仿宋_GB2312" w:cs="仿宋_GB2312"/>
          <w:spacing w:val="-9"/>
          <w:sz w:val="32"/>
          <w:szCs w:val="32"/>
        </w:rPr>
        <w:t>安</w:t>
      </w:r>
      <w:r>
        <w:rPr>
          <w:rFonts w:hint="eastAsia" w:ascii="仿宋_GB2312" w:hAnsi="仿宋_GB2312" w:eastAsia="仿宋_GB2312" w:cs="仿宋_GB2312"/>
          <w:spacing w:val="-11"/>
          <w:sz w:val="32"/>
          <w:szCs w:val="32"/>
        </w:rPr>
        <w:t>全生产、文明施工的监督管理。贯彻执行工程建设标准;制</w:t>
      </w:r>
      <w:r>
        <w:rPr>
          <w:rFonts w:hint="eastAsia" w:ascii="仿宋_GB2312" w:hAnsi="仿宋_GB2312" w:eastAsia="仿宋_GB2312" w:cs="仿宋_GB2312"/>
          <w:spacing w:val="-7"/>
          <w:sz w:val="32"/>
          <w:szCs w:val="32"/>
        </w:rPr>
        <w:t>定</w:t>
      </w:r>
      <w:r>
        <w:rPr>
          <w:rFonts w:hint="eastAsia" w:ascii="仿宋_GB2312" w:hAnsi="仿宋_GB2312" w:eastAsia="仿宋_GB2312" w:cs="仿宋_GB2312"/>
          <w:spacing w:val="-18"/>
          <w:sz w:val="32"/>
          <w:szCs w:val="32"/>
        </w:rPr>
        <w:t>建设</w:t>
      </w:r>
      <w:r>
        <w:rPr>
          <w:rFonts w:hint="eastAsia" w:ascii="仿宋_GB2312" w:hAnsi="仿宋_GB2312" w:eastAsia="仿宋_GB2312" w:cs="仿宋_GB2312"/>
          <w:spacing w:val="-12"/>
          <w:sz w:val="32"/>
          <w:szCs w:val="32"/>
        </w:rPr>
        <w:t>工</w:t>
      </w:r>
      <w:r>
        <w:rPr>
          <w:rFonts w:hint="eastAsia" w:ascii="仿宋_GB2312" w:hAnsi="仿宋_GB2312" w:eastAsia="仿宋_GB2312" w:cs="仿宋_GB2312"/>
          <w:spacing w:val="-9"/>
          <w:sz w:val="32"/>
          <w:szCs w:val="32"/>
        </w:rPr>
        <w:t>程质量管理、安全生产的规章制度并监督执行;负责中</w:t>
      </w:r>
      <w:r>
        <w:rPr>
          <w:rFonts w:hint="eastAsia" w:ascii="仿宋_GB2312" w:hAnsi="仿宋_GB2312" w:eastAsia="仿宋_GB2312" w:cs="仿宋_GB2312"/>
          <w:spacing w:val="-6"/>
          <w:sz w:val="32"/>
          <w:szCs w:val="32"/>
        </w:rPr>
        <w:t>心城区</w:t>
      </w:r>
      <w:r>
        <w:rPr>
          <w:rFonts w:hint="eastAsia" w:ascii="仿宋_GB2312" w:hAnsi="仿宋_GB2312" w:eastAsia="仿宋_GB2312" w:cs="仿宋_GB2312"/>
          <w:spacing w:val="-4"/>
          <w:sz w:val="32"/>
          <w:szCs w:val="32"/>
        </w:rPr>
        <w:t>(</w:t>
      </w:r>
      <w:r>
        <w:rPr>
          <w:rFonts w:hint="eastAsia" w:ascii="仿宋_GB2312" w:hAnsi="仿宋_GB2312" w:eastAsia="仿宋_GB2312" w:cs="仿宋_GB2312"/>
          <w:spacing w:val="-3"/>
          <w:sz w:val="32"/>
          <w:szCs w:val="32"/>
        </w:rPr>
        <w:t>含城陵矶新港区，下同)建设工程施工现场质量安全</w:t>
      </w:r>
      <w:r>
        <w:rPr>
          <w:rFonts w:hint="eastAsia" w:ascii="仿宋_GB2312" w:hAnsi="仿宋_GB2312" w:eastAsia="仿宋_GB2312" w:cs="仿宋_GB2312"/>
          <w:spacing w:val="-7"/>
          <w:sz w:val="32"/>
          <w:szCs w:val="32"/>
        </w:rPr>
        <w:t>管</w:t>
      </w:r>
      <w:r>
        <w:rPr>
          <w:rFonts w:hint="eastAsia" w:ascii="仿宋_GB2312" w:hAnsi="仿宋_GB2312" w:eastAsia="仿宋_GB2312" w:cs="仿宋_GB2312"/>
          <w:spacing w:val="-5"/>
          <w:sz w:val="32"/>
          <w:szCs w:val="32"/>
        </w:rPr>
        <w:t>理;牵头组织建设工程项目联合验收备案;按照规定权限负</w:t>
      </w:r>
      <w:r>
        <w:rPr>
          <w:rFonts w:hint="eastAsia" w:ascii="仿宋_GB2312" w:hAnsi="仿宋_GB2312" w:eastAsia="仿宋_GB2312" w:cs="仿宋_GB2312"/>
          <w:spacing w:val="-20"/>
          <w:sz w:val="32"/>
          <w:szCs w:val="32"/>
        </w:rPr>
        <w:t>责</w:t>
      </w:r>
      <w:r>
        <w:rPr>
          <w:rFonts w:hint="eastAsia" w:ascii="仿宋_GB2312" w:hAnsi="仿宋_GB2312" w:eastAsia="仿宋_GB2312" w:cs="仿宋_GB2312"/>
          <w:spacing w:val="-17"/>
          <w:sz w:val="32"/>
          <w:szCs w:val="32"/>
        </w:rPr>
        <w:t>建</w:t>
      </w:r>
      <w:r>
        <w:rPr>
          <w:rFonts w:hint="eastAsia" w:ascii="仿宋_GB2312" w:hAnsi="仿宋_GB2312" w:eastAsia="仿宋_GB2312" w:cs="仿宋_GB2312"/>
          <w:spacing w:val="-10"/>
          <w:sz w:val="32"/>
          <w:szCs w:val="32"/>
        </w:rPr>
        <w:t>筑施工企业安全生产许可证和安管人员资格的管理;负责</w:t>
      </w:r>
      <w:r>
        <w:rPr>
          <w:rFonts w:hint="eastAsia" w:ascii="仿宋_GB2312" w:hAnsi="仿宋_GB2312" w:eastAsia="仿宋_GB2312" w:cs="仿宋_GB2312"/>
          <w:spacing w:val="-14"/>
          <w:sz w:val="32"/>
          <w:szCs w:val="32"/>
        </w:rPr>
        <w:t>建</w:t>
      </w:r>
      <w:r>
        <w:rPr>
          <w:rFonts w:hint="eastAsia" w:ascii="仿宋_GB2312" w:hAnsi="仿宋_GB2312" w:eastAsia="仿宋_GB2312" w:cs="仿宋_GB2312"/>
          <w:spacing w:val="-10"/>
          <w:sz w:val="32"/>
          <w:szCs w:val="32"/>
        </w:rPr>
        <w:t>筑起重机械特种作业操作资格管理;参与建设工程质量、安</w:t>
      </w:r>
      <w:r>
        <w:rPr>
          <w:rFonts w:hint="eastAsia" w:ascii="仿宋_GB2312" w:hAnsi="仿宋_GB2312" w:eastAsia="仿宋_GB2312" w:cs="仿宋_GB2312"/>
          <w:spacing w:val="-17"/>
          <w:sz w:val="32"/>
          <w:szCs w:val="32"/>
        </w:rPr>
        <w:t>全</w:t>
      </w:r>
      <w:r>
        <w:rPr>
          <w:rFonts w:hint="eastAsia" w:ascii="仿宋_GB2312" w:hAnsi="仿宋_GB2312" w:eastAsia="仿宋_GB2312" w:cs="仿宋_GB2312"/>
          <w:spacing w:val="-14"/>
          <w:sz w:val="32"/>
          <w:szCs w:val="32"/>
        </w:rPr>
        <w:t>事故的调查处理。</w:t>
      </w:r>
    </w:p>
    <w:p>
      <w:pPr>
        <w:keepNext w:val="0"/>
        <w:keepLines w:val="0"/>
        <w:pageBreakBefore w:val="0"/>
        <w:kinsoku/>
        <w:wordWrap/>
        <w:overflowPunct/>
        <w:topLinePunct w:val="0"/>
        <w:autoSpaceDE/>
        <w:autoSpaceDN/>
        <w:bidi w:val="0"/>
        <w:adjustRightInd/>
        <w:snapToGrid/>
        <w:spacing w:before="6" w:line="600" w:lineRule="exact"/>
        <w:ind w:right="69" w:firstLine="584"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4"/>
          <w:sz w:val="32"/>
          <w:szCs w:val="32"/>
          <w:lang w:val="en-US" w:eastAsia="zh-CN"/>
        </w:rPr>
        <w:t>7、</w:t>
      </w:r>
      <w:r>
        <w:rPr>
          <w:rFonts w:hint="eastAsia" w:ascii="仿宋_GB2312" w:hAnsi="仿宋_GB2312" w:eastAsia="仿宋_GB2312" w:cs="仿宋_GB2312"/>
          <w:spacing w:val="-9"/>
          <w:sz w:val="32"/>
          <w:szCs w:val="32"/>
        </w:rPr>
        <w:t>负责建设工程消防设计审查、消防验收及竣工验收</w:t>
      </w:r>
      <w:r>
        <w:rPr>
          <w:rFonts w:hint="eastAsia" w:ascii="仿宋_GB2312" w:hAnsi="仿宋_GB2312" w:eastAsia="仿宋_GB2312" w:cs="仿宋_GB2312"/>
          <w:spacing w:val="-14"/>
          <w:sz w:val="32"/>
          <w:szCs w:val="32"/>
        </w:rPr>
        <w:t>消</w:t>
      </w:r>
      <w:r>
        <w:rPr>
          <w:rFonts w:hint="eastAsia" w:ascii="仿宋_GB2312" w:hAnsi="仿宋_GB2312" w:eastAsia="仿宋_GB2312" w:cs="仿宋_GB2312"/>
          <w:spacing w:val="-12"/>
          <w:sz w:val="32"/>
          <w:szCs w:val="32"/>
        </w:rPr>
        <w:t>防</w:t>
      </w:r>
      <w:r>
        <w:rPr>
          <w:rFonts w:hint="eastAsia" w:ascii="仿宋_GB2312" w:hAnsi="仿宋_GB2312" w:eastAsia="仿宋_GB2312" w:cs="仿宋_GB2312"/>
          <w:spacing w:val="-7"/>
          <w:sz w:val="32"/>
          <w:szCs w:val="32"/>
        </w:rPr>
        <w:t>备案、抽查工作;按照法定职权负责消防行政执法工作</w:t>
      </w:r>
      <w:r>
        <w:rPr>
          <w:rFonts w:hint="eastAsia" w:ascii="仿宋_GB2312" w:hAnsi="仿宋_GB2312" w:eastAsia="仿宋_GB2312" w:cs="仿宋_GB2312"/>
          <w:spacing w:val="-7"/>
          <w:sz w:val="32"/>
          <w:szCs w:val="32"/>
          <w:lang w:eastAsia="zh-CN"/>
        </w:rPr>
        <w:t>，</w:t>
      </w:r>
      <w:r>
        <w:rPr>
          <w:rFonts w:hint="eastAsia" w:ascii="仿宋_GB2312" w:hAnsi="仿宋_GB2312" w:eastAsia="仿宋_GB2312" w:cs="仿宋_GB2312"/>
          <w:spacing w:val="-5"/>
          <w:sz w:val="32"/>
          <w:szCs w:val="32"/>
        </w:rPr>
        <w:t>对建设工程消防设计审查验收过程中的违法违规行为进行</w:t>
      </w:r>
      <w:r>
        <w:rPr>
          <w:rFonts w:hint="eastAsia" w:ascii="仿宋_GB2312" w:hAnsi="仿宋_GB2312" w:eastAsia="仿宋_GB2312" w:cs="仿宋_GB2312"/>
          <w:spacing w:val="-3"/>
          <w:sz w:val="32"/>
          <w:szCs w:val="32"/>
        </w:rPr>
        <w:t>行</w:t>
      </w:r>
      <w:r>
        <w:rPr>
          <w:rFonts w:hint="eastAsia" w:ascii="仿宋_GB2312" w:hAnsi="仿宋_GB2312" w:eastAsia="仿宋_GB2312" w:cs="仿宋_GB2312"/>
          <w:spacing w:val="-15"/>
          <w:sz w:val="32"/>
          <w:szCs w:val="32"/>
        </w:rPr>
        <w:t>政</w:t>
      </w:r>
      <w:r>
        <w:rPr>
          <w:rFonts w:hint="eastAsia" w:ascii="仿宋_GB2312" w:hAnsi="仿宋_GB2312" w:eastAsia="仿宋_GB2312" w:cs="仿宋_GB2312"/>
          <w:spacing w:val="-12"/>
          <w:sz w:val="32"/>
          <w:szCs w:val="32"/>
        </w:rPr>
        <w:t>处罚。</w:t>
      </w:r>
    </w:p>
    <w:p>
      <w:pPr>
        <w:keepNext w:val="0"/>
        <w:keepLines w:val="0"/>
        <w:pageBreakBefore w:val="0"/>
        <w:widowControl w:val="0"/>
        <w:kinsoku/>
        <w:wordWrap/>
        <w:overflowPunct/>
        <w:topLinePunct w:val="0"/>
        <w:autoSpaceDE/>
        <w:autoSpaceDN/>
        <w:bidi w:val="0"/>
        <w:adjustRightInd/>
        <w:snapToGrid/>
        <w:spacing w:line="600" w:lineRule="exact"/>
        <w:ind w:firstLine="51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32"/>
          <w:sz w:val="32"/>
          <w:szCs w:val="32"/>
          <w:lang w:val="en-US" w:eastAsia="zh-CN"/>
        </w:rPr>
        <w:t>8、</w:t>
      </w:r>
      <w:r>
        <w:rPr>
          <w:rFonts w:hint="eastAsia" w:ascii="仿宋_GB2312" w:hAnsi="仿宋_GB2312" w:eastAsia="仿宋_GB2312" w:cs="仿宋_GB2312"/>
          <w:spacing w:val="-16"/>
          <w:sz w:val="32"/>
          <w:szCs w:val="32"/>
        </w:rPr>
        <w:t>负责绿色建筑、建筑节能和建设科技成果应用推广。</w:t>
      </w:r>
      <w:r>
        <w:rPr>
          <w:rFonts w:hint="eastAsia" w:ascii="仿宋_GB2312" w:hAnsi="仿宋_GB2312" w:eastAsia="仿宋_GB2312" w:cs="仿宋_GB2312"/>
          <w:spacing w:val="-25"/>
          <w:sz w:val="32"/>
          <w:szCs w:val="32"/>
        </w:rPr>
        <w:t>组织实施建筑节能、绿色建筑、装配式建筑、可再生能源建</w:t>
      </w:r>
      <w:r>
        <w:rPr>
          <w:rFonts w:hint="eastAsia" w:ascii="仿宋_GB2312" w:hAnsi="仿宋_GB2312" w:eastAsia="仿宋_GB2312" w:cs="仿宋_GB2312"/>
          <w:spacing w:val="-23"/>
          <w:sz w:val="32"/>
          <w:szCs w:val="32"/>
        </w:rPr>
        <w:t>筑</w:t>
      </w:r>
      <w:r>
        <w:rPr>
          <w:rFonts w:hint="eastAsia" w:ascii="仿宋_GB2312" w:hAnsi="仿宋_GB2312" w:eastAsia="仿宋_GB2312" w:cs="仿宋_GB2312"/>
          <w:spacing w:val="-36"/>
          <w:sz w:val="32"/>
          <w:szCs w:val="32"/>
        </w:rPr>
        <w:t>等</w:t>
      </w:r>
      <w:r>
        <w:rPr>
          <w:rFonts w:hint="eastAsia" w:ascii="仿宋_GB2312" w:hAnsi="仿宋_GB2312" w:eastAsia="仿宋_GB2312" w:cs="仿宋_GB2312"/>
          <w:spacing w:val="-22"/>
          <w:sz w:val="32"/>
          <w:szCs w:val="32"/>
        </w:rPr>
        <w:t>重</w:t>
      </w:r>
      <w:r>
        <w:rPr>
          <w:rFonts w:hint="eastAsia" w:ascii="仿宋_GB2312" w:hAnsi="仿宋_GB2312" w:eastAsia="仿宋_GB2312" w:cs="仿宋_GB2312"/>
          <w:spacing w:val="-18"/>
          <w:sz w:val="32"/>
          <w:szCs w:val="32"/>
        </w:rPr>
        <w:t>点项目和示范工程;指导行业企业技术中心建设和绿色建</w:t>
      </w:r>
      <w:r>
        <w:rPr>
          <w:rFonts w:hint="eastAsia" w:ascii="仿宋_GB2312" w:hAnsi="仿宋_GB2312" w:eastAsia="仿宋_GB2312" w:cs="仿宋_GB2312"/>
          <w:spacing w:val="-19"/>
          <w:sz w:val="32"/>
          <w:szCs w:val="32"/>
        </w:rPr>
        <w:t>材、新型墙体材料、散装水泥、机制砂石的推广应用工作;</w:t>
      </w:r>
      <w:r>
        <w:rPr>
          <w:rFonts w:hint="eastAsia" w:ascii="仿宋_GB2312" w:hAnsi="仿宋_GB2312" w:eastAsia="仿宋_GB2312" w:cs="仿宋_GB2312"/>
          <w:spacing w:val="-15"/>
          <w:sz w:val="32"/>
          <w:szCs w:val="32"/>
        </w:rPr>
        <w:t>推</w:t>
      </w:r>
      <w:r>
        <w:rPr>
          <w:rFonts w:hint="eastAsia" w:ascii="仿宋_GB2312" w:hAnsi="仿宋_GB2312" w:eastAsia="仿宋_GB2312" w:cs="仿宋_GB2312"/>
          <w:spacing w:val="-21"/>
          <w:sz w:val="32"/>
          <w:szCs w:val="32"/>
        </w:rPr>
        <w:t>广</w:t>
      </w:r>
      <w:r>
        <w:rPr>
          <w:rFonts w:hint="eastAsia" w:ascii="仿宋_GB2312" w:hAnsi="仿宋_GB2312" w:eastAsia="仿宋_GB2312" w:cs="仿宋_GB2312"/>
          <w:spacing w:val="-15"/>
          <w:sz w:val="32"/>
          <w:szCs w:val="32"/>
        </w:rPr>
        <w:t>实施工程建设标准和工法;负责对粘土砖的生产销售使用、</w:t>
      </w:r>
      <w:r>
        <w:rPr>
          <w:rFonts w:hint="eastAsia" w:ascii="仿宋_GB2312" w:hAnsi="仿宋_GB2312" w:eastAsia="仿宋_GB2312" w:cs="仿宋_GB2312"/>
          <w:spacing w:val="-13"/>
          <w:sz w:val="32"/>
          <w:szCs w:val="32"/>
        </w:rPr>
        <w:t>散装水泥及水泥制品的生产销售使用、现场搅拌混凝土和</w:t>
      </w:r>
      <w:r>
        <w:rPr>
          <w:rFonts w:hint="eastAsia" w:ascii="仿宋_GB2312" w:hAnsi="仿宋_GB2312" w:eastAsia="仿宋_GB2312" w:cs="仿宋_GB2312"/>
          <w:spacing w:val="-10"/>
          <w:sz w:val="32"/>
          <w:szCs w:val="32"/>
        </w:rPr>
        <w:t>砂</w:t>
      </w:r>
      <w:r>
        <w:rPr>
          <w:rFonts w:hint="eastAsia" w:ascii="仿宋_GB2312" w:hAnsi="仿宋_GB2312" w:eastAsia="仿宋_GB2312" w:cs="仿宋_GB2312"/>
          <w:spacing w:val="-36"/>
          <w:sz w:val="32"/>
          <w:szCs w:val="32"/>
        </w:rPr>
        <w:t>浆</w:t>
      </w:r>
      <w:r>
        <w:rPr>
          <w:rFonts w:hint="eastAsia" w:ascii="仿宋_GB2312" w:hAnsi="仿宋_GB2312" w:eastAsia="仿宋_GB2312" w:cs="仿宋_GB2312"/>
          <w:spacing w:val="-18"/>
          <w:sz w:val="32"/>
          <w:szCs w:val="32"/>
        </w:rPr>
        <w:t>、绿色建筑、装配式建筑等违法违规行为进行行政处罚;指</w:t>
      </w:r>
      <w:r>
        <w:rPr>
          <w:rFonts w:hint="eastAsia" w:ascii="仿宋_GB2312" w:hAnsi="仿宋_GB2312" w:eastAsia="仿宋_GB2312" w:cs="仿宋_GB2312"/>
          <w:spacing w:val="-30"/>
          <w:sz w:val="32"/>
          <w:szCs w:val="32"/>
        </w:rPr>
        <w:t>导</w:t>
      </w:r>
      <w:r>
        <w:rPr>
          <w:rFonts w:hint="eastAsia" w:ascii="仿宋_GB2312" w:hAnsi="仿宋_GB2312" w:eastAsia="仿宋_GB2312" w:cs="仿宋_GB2312"/>
          <w:spacing w:val="-23"/>
          <w:sz w:val="32"/>
          <w:szCs w:val="32"/>
        </w:rPr>
        <w:t>住宅产业化工作。</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7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7"/>
          <w:sz w:val="32"/>
          <w:szCs w:val="32"/>
          <w:lang w:val="en-US" w:eastAsia="zh-CN"/>
        </w:rPr>
        <w:t>9、</w:t>
      </w:r>
      <w:r>
        <w:rPr>
          <w:rFonts w:hint="eastAsia" w:ascii="仿宋_GB2312" w:hAnsi="仿宋_GB2312" w:eastAsia="仿宋_GB2312" w:cs="仿宋_GB2312"/>
          <w:spacing w:val="-17"/>
          <w:sz w:val="32"/>
          <w:szCs w:val="32"/>
        </w:rPr>
        <w:t>负责全市建设工程勘察设计市场的监督管理。负责</w:t>
      </w:r>
      <w:r>
        <w:rPr>
          <w:rFonts w:hint="eastAsia" w:ascii="仿宋_GB2312" w:hAnsi="仿宋_GB2312" w:eastAsia="仿宋_GB2312" w:cs="仿宋_GB2312"/>
          <w:spacing w:val="-28"/>
          <w:sz w:val="32"/>
          <w:szCs w:val="32"/>
        </w:rPr>
        <w:t>全</w:t>
      </w:r>
      <w:r>
        <w:rPr>
          <w:rFonts w:hint="eastAsia" w:ascii="仿宋_GB2312" w:hAnsi="仿宋_GB2312" w:eastAsia="仿宋_GB2312" w:cs="仿宋_GB2312"/>
          <w:spacing w:val="-27"/>
          <w:sz w:val="32"/>
          <w:szCs w:val="32"/>
        </w:rPr>
        <w:t>市政</w:t>
      </w:r>
      <w:r>
        <w:rPr>
          <w:rFonts w:hint="eastAsia" w:ascii="仿宋_GB2312" w:hAnsi="仿宋_GB2312" w:eastAsia="仿宋_GB2312" w:cs="仿宋_GB2312"/>
          <w:spacing w:val="-18"/>
          <w:sz w:val="32"/>
          <w:szCs w:val="32"/>
        </w:rPr>
        <w:t>府投资项目的房屋建筑、市政基础设施工程初步设计方案及概算审查、概算变更管理，参与工程预算、结算管理;负责建设工程施工图设计文件审查备案;负责全市建设工程勘察设计行业的监督管理。</w:t>
      </w:r>
    </w:p>
    <w:p>
      <w:pPr>
        <w:keepNext w:val="0"/>
        <w:keepLines w:val="0"/>
        <w:pageBreakBefore w:val="0"/>
        <w:numPr>
          <w:ilvl w:val="0"/>
          <w:numId w:val="0"/>
        </w:numPr>
        <w:kinsoku/>
        <w:wordWrap/>
        <w:overflowPunct/>
        <w:topLinePunct w:val="0"/>
        <w:autoSpaceDE/>
        <w:autoSpaceDN/>
        <w:bidi w:val="0"/>
        <w:adjustRightInd/>
        <w:snapToGrid/>
        <w:spacing w:line="600" w:lineRule="exact"/>
        <w:ind w:left="0" w:leftChars="0" w:right="0" w:rightChars="0" w:firstLine="628" w:firstLineChars="200"/>
        <w:textAlignment w:val="auto"/>
        <w:rPr>
          <w:rFonts w:hint="eastAsia" w:ascii="仿宋_GB2312" w:hAnsi="仿宋_GB2312" w:eastAsia="仿宋_GB2312" w:cs="仿宋_GB2312"/>
          <w:spacing w:val="-22"/>
          <w:sz w:val="32"/>
          <w:szCs w:val="32"/>
        </w:rPr>
      </w:pPr>
      <w:r>
        <w:rPr>
          <w:rFonts w:hint="eastAsia" w:ascii="仿宋_GB2312" w:hAnsi="仿宋_GB2312" w:eastAsia="仿宋_GB2312" w:cs="仿宋_GB2312"/>
          <w:spacing w:val="-3"/>
          <w:sz w:val="32"/>
          <w:szCs w:val="32"/>
          <w:lang w:val="en-US" w:eastAsia="zh-CN"/>
        </w:rPr>
        <w:t>10、</w:t>
      </w:r>
      <w:r>
        <w:rPr>
          <w:rFonts w:hint="eastAsia" w:ascii="仿宋_GB2312" w:hAnsi="仿宋_GB2312" w:eastAsia="仿宋_GB2312" w:cs="仿宋_GB2312"/>
          <w:spacing w:val="-3"/>
          <w:sz w:val="32"/>
          <w:szCs w:val="32"/>
        </w:rPr>
        <w:t>负责村镇建设的指导和历史文化名城(镇、村)</w:t>
      </w:r>
      <w:r>
        <w:rPr>
          <w:rFonts w:hint="eastAsia" w:ascii="仿宋_GB2312" w:hAnsi="仿宋_GB2312" w:eastAsia="仿宋_GB2312" w:cs="仿宋_GB2312"/>
          <w:sz w:val="32"/>
          <w:szCs w:val="32"/>
        </w:rPr>
        <w:t>保</w:t>
      </w:r>
      <w:r>
        <w:rPr>
          <w:rFonts w:hint="eastAsia" w:ascii="仿宋_GB2312" w:hAnsi="仿宋_GB2312" w:eastAsia="仿宋_GB2312" w:cs="仿宋_GB2312"/>
          <w:spacing w:val="-33"/>
          <w:sz w:val="32"/>
          <w:szCs w:val="32"/>
        </w:rPr>
        <w:t>护</w:t>
      </w:r>
      <w:r>
        <w:rPr>
          <w:rFonts w:hint="eastAsia" w:ascii="仿宋_GB2312" w:hAnsi="仿宋_GB2312" w:eastAsia="仿宋_GB2312" w:cs="仿宋_GB2312"/>
          <w:spacing w:val="-19"/>
          <w:sz w:val="32"/>
          <w:szCs w:val="32"/>
        </w:rPr>
        <w:t>的监督管理。参与城乡一体化建设工作;组织编制历史文化</w:t>
      </w:r>
      <w:r>
        <w:rPr>
          <w:rFonts w:hint="eastAsia" w:ascii="仿宋_GB2312" w:hAnsi="仿宋_GB2312" w:eastAsia="仿宋_GB2312" w:cs="仿宋_GB2312"/>
          <w:spacing w:val="-23"/>
          <w:sz w:val="32"/>
          <w:szCs w:val="32"/>
        </w:rPr>
        <w:t>名</w:t>
      </w:r>
      <w:r>
        <w:rPr>
          <w:rFonts w:hint="eastAsia" w:ascii="仿宋_GB2312" w:hAnsi="仿宋_GB2312" w:eastAsia="仿宋_GB2312" w:cs="仿宋_GB2312"/>
          <w:spacing w:val="-12"/>
          <w:sz w:val="32"/>
          <w:szCs w:val="32"/>
        </w:rPr>
        <w:t>城(镇、村)专项规划、历史文化街区和历史风貌保护区专</w:t>
      </w:r>
      <w:r>
        <w:rPr>
          <w:rFonts w:hint="eastAsia" w:ascii="仿宋_GB2312" w:hAnsi="仿宋_GB2312" w:eastAsia="仿宋_GB2312" w:cs="仿宋_GB2312"/>
          <w:spacing w:val="-27"/>
          <w:sz w:val="32"/>
          <w:szCs w:val="32"/>
        </w:rPr>
        <w:t>项</w:t>
      </w:r>
      <w:r>
        <w:rPr>
          <w:rFonts w:hint="eastAsia" w:ascii="仿宋_GB2312" w:hAnsi="仿宋_GB2312" w:eastAsia="仿宋_GB2312" w:cs="仿宋_GB2312"/>
          <w:spacing w:val="-18"/>
          <w:sz w:val="32"/>
          <w:szCs w:val="32"/>
        </w:rPr>
        <w:t>规划，并监督实施;负责本市建设项目的档案收集、保管和</w:t>
      </w:r>
      <w:r>
        <w:rPr>
          <w:rFonts w:hint="eastAsia" w:ascii="仿宋_GB2312" w:hAnsi="仿宋_GB2312" w:eastAsia="仿宋_GB2312" w:cs="仿宋_GB2312"/>
          <w:spacing w:val="-36"/>
          <w:sz w:val="32"/>
          <w:szCs w:val="32"/>
        </w:rPr>
        <w:t>利</w:t>
      </w:r>
      <w:r>
        <w:rPr>
          <w:rFonts w:hint="eastAsia" w:ascii="仿宋_GB2312" w:hAnsi="仿宋_GB2312" w:eastAsia="仿宋_GB2312" w:cs="仿宋_GB2312"/>
          <w:spacing w:val="-19"/>
          <w:sz w:val="32"/>
          <w:szCs w:val="32"/>
        </w:rPr>
        <w:t>用</w:t>
      </w:r>
      <w:r>
        <w:rPr>
          <w:rFonts w:hint="eastAsia" w:ascii="仿宋_GB2312" w:hAnsi="仿宋_GB2312" w:eastAsia="仿宋_GB2312" w:cs="仿宋_GB2312"/>
          <w:spacing w:val="-18"/>
          <w:sz w:val="32"/>
          <w:szCs w:val="32"/>
        </w:rPr>
        <w:t>工作;负责指导全市农村危房改造和乡镇污水设施建设运</w:t>
      </w:r>
      <w:r>
        <w:rPr>
          <w:rFonts w:hint="eastAsia" w:ascii="仿宋_GB2312" w:hAnsi="仿宋_GB2312" w:eastAsia="仿宋_GB2312" w:cs="仿宋_GB2312"/>
          <w:spacing w:val="-25"/>
          <w:sz w:val="32"/>
          <w:szCs w:val="32"/>
        </w:rPr>
        <w:t>营</w:t>
      </w:r>
      <w:r>
        <w:rPr>
          <w:rFonts w:hint="eastAsia" w:ascii="仿宋_GB2312" w:hAnsi="仿宋_GB2312" w:eastAsia="仿宋_GB2312" w:cs="仿宋_GB2312"/>
          <w:spacing w:val="-22"/>
          <w:sz w:val="32"/>
          <w:szCs w:val="32"/>
        </w:rPr>
        <w:t>管理。</w:t>
      </w:r>
    </w:p>
    <w:p>
      <w:pPr>
        <w:keepNext w:val="0"/>
        <w:keepLines w:val="0"/>
        <w:pageBreakBefore w:val="0"/>
        <w:numPr>
          <w:ilvl w:val="0"/>
          <w:numId w:val="0"/>
        </w:numPr>
        <w:kinsoku/>
        <w:wordWrap/>
        <w:overflowPunct/>
        <w:topLinePunct w:val="0"/>
        <w:autoSpaceDE/>
        <w:autoSpaceDN/>
        <w:bidi w:val="0"/>
        <w:adjustRightInd/>
        <w:snapToGrid/>
        <w:spacing w:line="600" w:lineRule="exact"/>
        <w:ind w:right="0" w:rightChars="0" w:firstLine="544"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24"/>
          <w:sz w:val="32"/>
          <w:szCs w:val="32"/>
          <w:lang w:val="en-US" w:eastAsia="zh-CN"/>
        </w:rPr>
        <w:t>11、</w:t>
      </w:r>
      <w:r>
        <w:rPr>
          <w:rFonts w:hint="eastAsia" w:ascii="仿宋_GB2312" w:hAnsi="仿宋_GB2312" w:eastAsia="仿宋_GB2312" w:cs="仿宋_GB2312"/>
          <w:spacing w:val="-24"/>
          <w:sz w:val="32"/>
          <w:szCs w:val="32"/>
        </w:rPr>
        <w:t>负责城市供水、排水和海绵城市建设的监督管理</w:t>
      </w:r>
      <w:r>
        <w:rPr>
          <w:rFonts w:hint="eastAsia" w:ascii="仿宋_GB2312" w:hAnsi="仿宋_GB2312" w:eastAsia="仿宋_GB2312" w:cs="仿宋_GB2312"/>
          <w:spacing w:val="-20"/>
          <w:sz w:val="32"/>
          <w:szCs w:val="32"/>
        </w:rPr>
        <w:t>。</w:t>
      </w:r>
      <w:r>
        <w:rPr>
          <w:rFonts w:hint="eastAsia" w:ascii="仿宋_GB2312" w:hAnsi="仿宋_GB2312" w:eastAsia="仿宋_GB2312" w:cs="仿宋_GB2312"/>
          <w:spacing w:val="-19"/>
          <w:sz w:val="32"/>
          <w:szCs w:val="32"/>
        </w:rPr>
        <w:t>负责全市供水用水行业管理和污水处理监督管理;参与城市</w:t>
      </w:r>
      <w:r>
        <w:rPr>
          <w:rFonts w:hint="eastAsia" w:ascii="仿宋_GB2312" w:hAnsi="仿宋_GB2312" w:eastAsia="仿宋_GB2312" w:cs="仿宋_GB2312"/>
          <w:spacing w:val="-17"/>
          <w:sz w:val="32"/>
          <w:szCs w:val="32"/>
        </w:rPr>
        <w:t>给</w:t>
      </w:r>
      <w:r>
        <w:rPr>
          <w:rFonts w:hint="eastAsia" w:ascii="仿宋_GB2312" w:hAnsi="仿宋_GB2312" w:eastAsia="仿宋_GB2312" w:cs="仿宋_GB2312"/>
          <w:spacing w:val="-34"/>
          <w:sz w:val="32"/>
          <w:szCs w:val="32"/>
        </w:rPr>
        <w:t>水</w:t>
      </w:r>
      <w:r>
        <w:rPr>
          <w:rFonts w:hint="eastAsia" w:ascii="仿宋_GB2312" w:hAnsi="仿宋_GB2312" w:eastAsia="仿宋_GB2312" w:cs="仿宋_GB2312"/>
          <w:spacing w:val="-18"/>
          <w:sz w:val="32"/>
          <w:szCs w:val="32"/>
        </w:rPr>
        <w:t>用</w:t>
      </w:r>
      <w:r>
        <w:rPr>
          <w:rFonts w:hint="eastAsia" w:ascii="仿宋_GB2312" w:hAnsi="仿宋_GB2312" w:eastAsia="仿宋_GB2312" w:cs="仿宋_GB2312"/>
          <w:spacing w:val="-17"/>
          <w:sz w:val="32"/>
          <w:szCs w:val="32"/>
        </w:rPr>
        <w:t>水工程的论证、审查和验收;负责全市雨水管道、污水管</w:t>
      </w:r>
      <w:r>
        <w:rPr>
          <w:rFonts w:hint="eastAsia" w:ascii="仿宋_GB2312" w:hAnsi="仿宋_GB2312" w:eastAsia="仿宋_GB2312" w:cs="仿宋_GB2312"/>
          <w:spacing w:val="-38"/>
          <w:sz w:val="32"/>
          <w:szCs w:val="32"/>
        </w:rPr>
        <w:t>道</w:t>
      </w:r>
      <w:r>
        <w:rPr>
          <w:rFonts w:hint="eastAsia" w:ascii="仿宋_GB2312" w:hAnsi="仿宋_GB2312" w:eastAsia="仿宋_GB2312" w:cs="仿宋_GB2312"/>
          <w:spacing w:val="-20"/>
          <w:sz w:val="32"/>
          <w:szCs w:val="32"/>
        </w:rPr>
        <w:t>、泵站、污水处理设施的建设、管理、运维和调度工作;牵</w:t>
      </w:r>
      <w:r>
        <w:rPr>
          <w:rFonts w:hint="eastAsia" w:ascii="仿宋_GB2312" w:hAnsi="仿宋_GB2312" w:eastAsia="仿宋_GB2312" w:cs="仿宋_GB2312"/>
          <w:spacing w:val="-22"/>
          <w:sz w:val="32"/>
          <w:szCs w:val="32"/>
        </w:rPr>
        <w:t>头负责城市生活污水污染防治和黑臭水体治理工作;负责污</w:t>
      </w:r>
      <w:r>
        <w:rPr>
          <w:rFonts w:hint="eastAsia" w:ascii="仿宋_GB2312" w:hAnsi="仿宋_GB2312" w:eastAsia="仿宋_GB2312" w:cs="仿宋_GB2312"/>
          <w:spacing w:val="-17"/>
          <w:sz w:val="32"/>
          <w:szCs w:val="32"/>
        </w:rPr>
        <w:t>水</w:t>
      </w:r>
      <w:r>
        <w:rPr>
          <w:rFonts w:hint="eastAsia" w:ascii="仿宋_GB2312" w:hAnsi="仿宋_GB2312" w:eastAsia="仿宋_GB2312" w:cs="仿宋_GB2312"/>
          <w:spacing w:val="-27"/>
          <w:sz w:val="32"/>
          <w:szCs w:val="32"/>
        </w:rPr>
        <w:t>处</w:t>
      </w:r>
      <w:r>
        <w:rPr>
          <w:rFonts w:hint="eastAsia" w:ascii="仿宋_GB2312" w:hAnsi="仿宋_GB2312" w:eastAsia="仿宋_GB2312" w:cs="仿宋_GB2312"/>
          <w:spacing w:val="-21"/>
          <w:sz w:val="32"/>
          <w:szCs w:val="32"/>
        </w:rPr>
        <w:t>理特许经营管理;负责对排水户排放污水的水质等是否符合</w:t>
      </w:r>
      <w:r>
        <w:rPr>
          <w:rFonts w:hint="eastAsia" w:ascii="仿宋_GB2312" w:hAnsi="仿宋_GB2312" w:eastAsia="仿宋_GB2312" w:cs="仿宋_GB2312"/>
          <w:spacing w:val="-24"/>
          <w:sz w:val="32"/>
          <w:szCs w:val="32"/>
        </w:rPr>
        <w:t>规</w:t>
      </w:r>
      <w:r>
        <w:rPr>
          <w:rFonts w:hint="eastAsia" w:ascii="仿宋_GB2312" w:hAnsi="仿宋_GB2312" w:eastAsia="仿宋_GB2312" w:cs="仿宋_GB2312"/>
          <w:spacing w:val="-21"/>
          <w:sz w:val="32"/>
          <w:szCs w:val="32"/>
        </w:rPr>
        <w:t>定进行审查</w:t>
      </w:r>
      <w:r>
        <w:rPr>
          <w:rFonts w:hint="eastAsia" w:ascii="仿宋_GB2312" w:hAnsi="仿宋_GB2312" w:eastAsia="仿宋_GB2312" w:cs="仿宋_GB2312"/>
          <w:spacing w:val="-21"/>
          <w:sz w:val="32"/>
          <w:szCs w:val="32"/>
          <w:lang w:val="en-US" w:eastAsia="zh-CN"/>
        </w:rPr>
        <w:t>；</w:t>
      </w:r>
      <w:r>
        <w:rPr>
          <w:rFonts w:hint="eastAsia" w:ascii="仿宋_GB2312" w:hAnsi="仿宋_GB2312" w:eastAsia="仿宋_GB2312" w:cs="仿宋_GB2312"/>
          <w:spacing w:val="-21"/>
          <w:sz w:val="32"/>
          <w:szCs w:val="32"/>
        </w:rPr>
        <w:t>负责拟订和执行海绵城市建设设计标准的监督</w:t>
      </w:r>
      <w:r>
        <w:rPr>
          <w:rFonts w:hint="eastAsia" w:ascii="仿宋_GB2312" w:hAnsi="仿宋_GB2312" w:eastAsia="仿宋_GB2312" w:cs="仿宋_GB2312"/>
          <w:spacing w:val="-18"/>
          <w:sz w:val="32"/>
          <w:szCs w:val="32"/>
        </w:rPr>
        <w:t>管</w:t>
      </w:r>
      <w:r>
        <w:rPr>
          <w:rFonts w:hint="eastAsia" w:ascii="仿宋_GB2312" w:hAnsi="仿宋_GB2312" w:eastAsia="仿宋_GB2312" w:cs="仿宋_GB2312"/>
          <w:spacing w:val="-13"/>
          <w:sz w:val="32"/>
          <w:szCs w:val="32"/>
        </w:rPr>
        <w:t>理;负责海绵城市建设的监督指导。</w:t>
      </w:r>
    </w:p>
    <w:p>
      <w:pPr>
        <w:pStyle w:val="5"/>
        <w:keepNext w:val="0"/>
        <w:keepLines w:val="0"/>
        <w:pageBreakBefore w:val="0"/>
        <w:widowControl w:val="0"/>
        <w:numPr>
          <w:ilvl w:val="0"/>
          <w:numId w:val="0"/>
        </w:numPr>
        <w:kinsoku/>
        <w:wordWrap/>
        <w:overflowPunct/>
        <w:topLinePunct w:val="0"/>
        <w:autoSpaceDE/>
        <w:autoSpaceDN/>
        <w:bidi w:val="0"/>
        <w:adjustRightInd/>
        <w:snapToGrid/>
        <w:spacing w:before="0" w:after="0" w:line="600" w:lineRule="exact"/>
        <w:ind w:leftChars="0" w:firstLine="592" w:firstLineChars="200"/>
        <w:textAlignment w:val="auto"/>
        <w:rPr>
          <w:rFonts w:hint="eastAsia"/>
          <w:lang w:eastAsia="zh-CN"/>
        </w:rPr>
      </w:pPr>
      <w:r>
        <w:rPr>
          <w:rFonts w:hint="eastAsia" w:ascii="仿宋_GB2312" w:hAnsi="仿宋_GB2312" w:eastAsia="仿宋_GB2312" w:cs="仿宋_GB2312"/>
          <w:spacing w:val="-12"/>
          <w:sz w:val="32"/>
          <w:szCs w:val="32"/>
          <w:lang w:val="en-US" w:eastAsia="zh-CN"/>
        </w:rPr>
        <w:t>12、</w:t>
      </w:r>
      <w:r>
        <w:rPr>
          <w:rFonts w:hint="eastAsia" w:ascii="仿宋_GB2312" w:hAnsi="仿宋_GB2312" w:eastAsia="仿宋_GB2312" w:cs="仿宋_GB2312"/>
          <w:spacing w:val="-12"/>
          <w:sz w:val="32"/>
          <w:szCs w:val="32"/>
        </w:rPr>
        <w:t>承办市委、市政府交办的其他事项</w:t>
      </w:r>
      <w:r>
        <w:rPr>
          <w:rFonts w:hint="eastAsia" w:ascii="仿宋_GB2312" w:hAnsi="仿宋_GB2312" w:eastAsia="仿宋_GB2312" w:cs="仿宋_GB2312"/>
          <w:spacing w:val="-12"/>
          <w:sz w:val="32"/>
          <w:szCs w:val="32"/>
          <w:lang w:eastAsia="zh-CN"/>
        </w:rPr>
        <w:t>。</w:t>
      </w:r>
    </w:p>
    <w:p>
      <w:pPr>
        <w:pStyle w:val="5"/>
        <w:keepNext w:val="0"/>
        <w:keepLines w:val="0"/>
        <w:pageBreakBefore w:val="0"/>
        <w:widowControl w:val="0"/>
        <w:numPr>
          <w:ilvl w:val="0"/>
          <w:numId w:val="0"/>
        </w:numPr>
        <w:kinsoku/>
        <w:wordWrap/>
        <w:overflowPunct/>
        <w:topLinePunct w:val="0"/>
        <w:autoSpaceDE/>
        <w:autoSpaceDN/>
        <w:bidi w:val="0"/>
        <w:adjustRightInd/>
        <w:snapToGrid/>
        <w:spacing w:before="0" w:after="0" w:line="600" w:lineRule="exact"/>
        <w:ind w:leftChars="0" w:firstLine="643" w:firstLineChars="200"/>
        <w:textAlignment w:val="auto"/>
        <w:rPr>
          <w:rFonts w:hint="eastAsia"/>
          <w:color w:val="FF0000"/>
          <w:lang w:eastAsia="zh-CN"/>
        </w:rPr>
      </w:pPr>
      <w:r>
        <w:rPr>
          <w:rFonts w:hint="eastAsia" w:ascii="仿宋_GB2312" w:hAnsi="仿宋_GB2312" w:eastAsia="仿宋_GB2312" w:cs="仿宋_GB2312"/>
          <w:b/>
          <w:bCs/>
          <w:color w:val="auto"/>
          <w:kern w:val="0"/>
          <w:sz w:val="32"/>
          <w:szCs w:val="32"/>
          <w:lang w:val="en-US" w:eastAsia="zh-CN"/>
        </w:rPr>
        <w:t>（二）部门</w:t>
      </w:r>
      <w:r>
        <w:rPr>
          <w:rFonts w:hint="eastAsia" w:ascii="仿宋_GB2312" w:hAnsi="仿宋_GB2312" w:eastAsia="仿宋_GB2312" w:cs="仿宋_GB2312"/>
          <w:b/>
          <w:bCs/>
          <w:color w:val="auto"/>
          <w:kern w:val="0"/>
          <w:sz w:val="32"/>
          <w:szCs w:val="32"/>
        </w:rPr>
        <w:t>机构设置</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kern w:val="0"/>
          <w:sz w:val="32"/>
          <w:szCs w:val="32"/>
          <w:lang w:val="en-US" w:eastAsia="zh-CN"/>
        </w:rPr>
        <w:t>本部门</w:t>
      </w:r>
      <w:r>
        <w:rPr>
          <w:rFonts w:hint="eastAsia" w:ascii="仿宋_GB2312" w:hAnsi="仿宋_GB2312" w:eastAsia="仿宋_GB2312" w:cs="仿宋_GB2312"/>
          <w:color w:val="auto"/>
          <w:kern w:val="0"/>
          <w:sz w:val="32"/>
          <w:szCs w:val="32"/>
          <w:lang w:val="en-US" w:eastAsia="zh-CN"/>
        </w:rPr>
        <w:t>编制人数403人，实有在职人数402人。</w:t>
      </w:r>
      <w:r>
        <w:rPr>
          <w:rFonts w:hint="eastAsia" w:ascii="仿宋_GB2312" w:hAnsi="仿宋_GB2312" w:eastAsia="仿宋_GB2312" w:cs="仿宋_GB2312"/>
          <w:color w:val="000000"/>
          <w:sz w:val="32"/>
          <w:szCs w:val="32"/>
          <w:highlight w:val="white"/>
          <w:lang w:val="zh-CN"/>
        </w:rPr>
        <w:t>局</w:t>
      </w:r>
      <w:r>
        <w:rPr>
          <w:rFonts w:hint="eastAsia" w:ascii="仿宋_GB2312" w:hAnsi="仿宋_GB2312" w:eastAsia="仿宋_GB2312" w:cs="仿宋_GB2312"/>
          <w:color w:val="000000"/>
          <w:sz w:val="32"/>
          <w:szCs w:val="32"/>
          <w:highlight w:val="white"/>
          <w:lang w:val="en-US" w:eastAsia="zh-CN"/>
        </w:rPr>
        <w:t>属</w:t>
      </w:r>
      <w:r>
        <w:rPr>
          <w:rFonts w:hint="eastAsia" w:ascii="仿宋_GB2312" w:hAnsi="仿宋_GB2312" w:eastAsia="仿宋_GB2312" w:cs="仿宋_GB2312"/>
          <w:color w:val="000000"/>
          <w:sz w:val="32"/>
          <w:szCs w:val="32"/>
          <w:highlight w:val="white"/>
          <w:lang w:val="zh-CN"/>
        </w:rPr>
        <w:t>单位包括：岳阳市城市建设档案馆、岳阳市城乡建设事务中心、岳阳市房地产交易中心、岳阳市房地产市场服务中心、岳阳市建设工程质量安全监督站、岳阳市绿色建筑产业发展服务中心、岳阳市污水处理监督中心、岳阳市住房保障服务中心</w:t>
      </w:r>
      <w:r>
        <w:rPr>
          <w:rFonts w:hint="eastAsia" w:ascii="仿宋_GB2312" w:hAnsi="仿宋_GB2312" w:eastAsia="仿宋_GB2312" w:cs="仿宋_GB2312"/>
          <w:color w:val="auto"/>
          <w:kern w:val="0"/>
          <w:sz w:val="32"/>
          <w:szCs w:val="32"/>
          <w:lang w:val="en-US" w:eastAsia="zh-CN"/>
        </w:rPr>
        <w:t>8个管理单位。</w:t>
      </w:r>
      <w:r>
        <w:rPr>
          <w:rFonts w:hint="eastAsia" w:ascii="仿宋_GB2312" w:hAnsi="仿宋_GB2312" w:eastAsia="仿宋_GB2312" w:cs="仿宋_GB2312"/>
          <w:color w:val="000000"/>
          <w:sz w:val="32"/>
          <w:szCs w:val="32"/>
          <w:highlight w:val="white"/>
          <w:lang w:val="en-US" w:eastAsia="zh-CN"/>
        </w:rPr>
        <w:t>局机关</w:t>
      </w:r>
      <w:r>
        <w:rPr>
          <w:rFonts w:hint="eastAsia" w:ascii="仿宋_GB2312" w:hAnsi="仿宋_GB2312" w:eastAsia="仿宋_GB2312" w:cs="仿宋_GB2312"/>
          <w:color w:val="000000"/>
          <w:sz w:val="32"/>
          <w:szCs w:val="32"/>
          <w:highlight w:val="white"/>
          <w:lang w:val="zh-CN"/>
        </w:rPr>
        <w:t>内设</w:t>
      </w:r>
      <w:r>
        <w:rPr>
          <w:rFonts w:hint="eastAsia" w:ascii="仿宋_GB2312" w:hAnsi="仿宋_GB2312" w:eastAsia="仿宋_GB2312" w:cs="仿宋_GB2312"/>
          <w:color w:val="auto"/>
          <w:kern w:val="0"/>
          <w:sz w:val="32"/>
          <w:szCs w:val="32"/>
        </w:rPr>
        <w:t>办</w:t>
      </w:r>
      <w:r>
        <w:rPr>
          <w:rFonts w:hint="eastAsia" w:ascii="仿宋_GB2312" w:hAnsi="仿宋_GB2312" w:eastAsia="仿宋_GB2312" w:cs="仿宋_GB2312"/>
          <w:kern w:val="0"/>
          <w:sz w:val="32"/>
          <w:szCs w:val="32"/>
        </w:rPr>
        <w:t>公室、</w:t>
      </w:r>
      <w:r>
        <w:rPr>
          <w:rFonts w:hint="eastAsia" w:ascii="仿宋_GB2312" w:hAnsi="仿宋_GB2312" w:eastAsia="仿宋_GB2312" w:cs="仿宋_GB2312"/>
          <w:spacing w:val="4"/>
          <w:sz w:val="32"/>
          <w:szCs w:val="32"/>
        </w:rPr>
        <w:t>综合调研室(新型城镇化办公室)</w:t>
      </w:r>
      <w:r>
        <w:rPr>
          <w:rFonts w:hint="eastAsia" w:ascii="仿宋_GB2312" w:hAnsi="仿宋_GB2312" w:eastAsia="仿宋_GB2312" w:cs="仿宋_GB2312"/>
          <w:kern w:val="0"/>
          <w:sz w:val="32"/>
          <w:szCs w:val="32"/>
        </w:rPr>
        <w:t>、</w:t>
      </w:r>
      <w:r>
        <w:rPr>
          <w:rFonts w:hint="eastAsia" w:ascii="仿宋_GB2312" w:hAnsi="仿宋_GB2312" w:eastAsia="仿宋_GB2312" w:cs="仿宋_GB2312"/>
          <w:spacing w:val="-9"/>
          <w:sz w:val="32"/>
          <w:szCs w:val="32"/>
        </w:rPr>
        <w:t>行政审批科</w:t>
      </w:r>
      <w:r>
        <w:rPr>
          <w:rFonts w:hint="eastAsia" w:ascii="仿宋_GB2312" w:hAnsi="仿宋_GB2312" w:eastAsia="仿宋_GB2312" w:cs="仿宋_GB2312"/>
          <w:kern w:val="0"/>
          <w:sz w:val="32"/>
          <w:szCs w:val="32"/>
        </w:rPr>
        <w:t>、</w:t>
      </w:r>
      <w:r>
        <w:rPr>
          <w:rFonts w:hint="eastAsia" w:ascii="仿宋_GB2312" w:hAnsi="仿宋_GB2312" w:eastAsia="仿宋_GB2312" w:cs="仿宋_GB2312"/>
          <w:spacing w:val="-8"/>
          <w:sz w:val="32"/>
          <w:szCs w:val="32"/>
        </w:rPr>
        <w:t>住房保障科</w:t>
      </w:r>
      <w:r>
        <w:rPr>
          <w:rFonts w:hint="eastAsia" w:ascii="仿宋_GB2312" w:hAnsi="仿宋_GB2312" w:eastAsia="仿宋_GB2312" w:cs="仿宋_GB2312"/>
          <w:kern w:val="0"/>
          <w:sz w:val="32"/>
          <w:szCs w:val="32"/>
        </w:rPr>
        <w:t>、</w:t>
      </w:r>
      <w:r>
        <w:rPr>
          <w:rFonts w:hint="eastAsia" w:ascii="仿宋_GB2312" w:hAnsi="仿宋_GB2312" w:eastAsia="仿宋_GB2312" w:cs="仿宋_GB2312"/>
          <w:spacing w:val="-16"/>
          <w:sz w:val="32"/>
          <w:szCs w:val="32"/>
        </w:rPr>
        <w:t>房地产市场监管科</w:t>
      </w:r>
      <w:r>
        <w:rPr>
          <w:rFonts w:hint="eastAsia" w:ascii="仿宋_GB2312" w:hAnsi="仿宋_GB2312" w:eastAsia="仿宋_GB2312" w:cs="仿宋_GB2312"/>
          <w:kern w:val="0"/>
          <w:sz w:val="32"/>
          <w:szCs w:val="32"/>
        </w:rPr>
        <w:t>、</w:t>
      </w:r>
      <w:r>
        <w:rPr>
          <w:rFonts w:hint="eastAsia" w:ascii="仿宋_GB2312" w:hAnsi="仿宋_GB2312" w:eastAsia="仿宋_GB2312" w:cs="仿宋_GB2312"/>
          <w:spacing w:val="-25"/>
          <w:sz w:val="32"/>
          <w:szCs w:val="32"/>
        </w:rPr>
        <w:t>房屋和物业管理科</w:t>
      </w:r>
      <w:r>
        <w:rPr>
          <w:rFonts w:hint="eastAsia" w:ascii="仿宋_GB2312" w:hAnsi="仿宋_GB2312" w:eastAsia="仿宋_GB2312" w:cs="仿宋_GB2312"/>
          <w:kern w:val="0"/>
          <w:sz w:val="32"/>
          <w:szCs w:val="32"/>
        </w:rPr>
        <w:t>、</w:t>
      </w:r>
      <w:r>
        <w:rPr>
          <w:rFonts w:hint="eastAsia" w:ascii="仿宋_GB2312" w:hAnsi="仿宋_GB2312" w:eastAsia="仿宋_GB2312" w:cs="仿宋_GB2312"/>
          <w:spacing w:val="-18"/>
          <w:sz w:val="32"/>
          <w:szCs w:val="32"/>
        </w:rPr>
        <w:t>勘察设计管理科</w:t>
      </w:r>
      <w:r>
        <w:rPr>
          <w:rFonts w:hint="eastAsia" w:ascii="仿宋_GB2312" w:hAnsi="仿宋_GB2312" w:eastAsia="仿宋_GB2312" w:cs="仿宋_GB2312"/>
          <w:kern w:val="0"/>
          <w:sz w:val="32"/>
          <w:szCs w:val="32"/>
        </w:rPr>
        <w:t>、</w:t>
      </w:r>
      <w:r>
        <w:rPr>
          <w:rFonts w:hint="eastAsia" w:ascii="仿宋_GB2312" w:hAnsi="仿宋_GB2312" w:eastAsia="仿宋_GB2312" w:cs="仿宋_GB2312"/>
          <w:spacing w:val="-18"/>
          <w:sz w:val="32"/>
          <w:szCs w:val="32"/>
        </w:rPr>
        <w:t>建设工程招标投标管理办公室</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spacing w:val="-10"/>
          <w:sz w:val="32"/>
          <w:szCs w:val="32"/>
        </w:rPr>
        <w:t>建设市场管理科(岳阳市人民政府清理拖欠工程款</w:t>
      </w:r>
      <w:r>
        <w:rPr>
          <w:rFonts w:hint="eastAsia" w:ascii="仿宋_GB2312" w:hAnsi="仿宋_GB2312" w:eastAsia="仿宋_GB2312" w:cs="仿宋_GB2312"/>
          <w:spacing w:val="-23"/>
          <w:sz w:val="32"/>
          <w:szCs w:val="32"/>
        </w:rPr>
        <w:t>领</w:t>
      </w:r>
      <w:r>
        <w:rPr>
          <w:rFonts w:hint="eastAsia" w:ascii="仿宋_GB2312" w:hAnsi="仿宋_GB2312" w:eastAsia="仿宋_GB2312" w:cs="仿宋_GB2312"/>
          <w:spacing w:val="-18"/>
          <w:sz w:val="32"/>
          <w:szCs w:val="32"/>
        </w:rPr>
        <w:t>导小组办公室)</w:t>
      </w:r>
      <w:r>
        <w:rPr>
          <w:rFonts w:hint="eastAsia" w:ascii="仿宋_GB2312" w:hAnsi="仿宋_GB2312" w:eastAsia="仿宋_GB2312" w:cs="仿宋_GB2312"/>
          <w:kern w:val="0"/>
          <w:sz w:val="32"/>
          <w:szCs w:val="32"/>
        </w:rPr>
        <w:t>、</w:t>
      </w:r>
      <w:r>
        <w:rPr>
          <w:rFonts w:hint="eastAsia" w:ascii="仿宋_GB2312" w:hAnsi="仿宋_GB2312" w:eastAsia="仿宋_GB2312" w:cs="仿宋_GB2312"/>
          <w:spacing w:val="-16"/>
          <w:sz w:val="32"/>
          <w:szCs w:val="32"/>
        </w:rPr>
        <w:t>信息和信用监管科</w:t>
      </w:r>
      <w:r>
        <w:rPr>
          <w:rFonts w:hint="eastAsia" w:ascii="仿宋_GB2312" w:hAnsi="仿宋_GB2312" w:eastAsia="仿宋_GB2312" w:cs="仿宋_GB2312"/>
          <w:kern w:val="0"/>
          <w:sz w:val="32"/>
          <w:szCs w:val="32"/>
        </w:rPr>
        <w:t>、</w:t>
      </w:r>
      <w:r>
        <w:rPr>
          <w:rFonts w:hint="eastAsia" w:ascii="仿宋_GB2312" w:hAnsi="仿宋_GB2312" w:eastAsia="仿宋_GB2312" w:cs="仿宋_GB2312"/>
          <w:spacing w:val="-19"/>
          <w:sz w:val="32"/>
          <w:szCs w:val="32"/>
        </w:rPr>
        <w:t>建筑节能与科技科</w:t>
      </w:r>
      <w:r>
        <w:rPr>
          <w:rFonts w:hint="eastAsia" w:ascii="仿宋_GB2312" w:hAnsi="仿宋_GB2312" w:eastAsia="仿宋_GB2312" w:cs="仿宋_GB2312"/>
          <w:kern w:val="0"/>
          <w:sz w:val="32"/>
          <w:szCs w:val="32"/>
        </w:rPr>
        <w:t>、</w:t>
      </w:r>
      <w:r>
        <w:rPr>
          <w:rFonts w:hint="eastAsia" w:ascii="仿宋_GB2312" w:hAnsi="仿宋_GB2312" w:eastAsia="仿宋_GB2312" w:cs="仿宋_GB2312"/>
          <w:spacing w:val="-3"/>
          <w:sz w:val="32"/>
          <w:szCs w:val="32"/>
        </w:rPr>
        <w:t>质量安全管理科</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spacing w:val="-15"/>
          <w:sz w:val="32"/>
          <w:szCs w:val="32"/>
        </w:rPr>
        <w:t>建设工程消防管理科</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spacing w:val="-11"/>
          <w:sz w:val="32"/>
          <w:szCs w:val="32"/>
        </w:rPr>
        <w:t>村镇建设科</w:t>
      </w:r>
      <w:r>
        <w:rPr>
          <w:rFonts w:hint="eastAsia" w:ascii="仿宋_GB2312" w:hAnsi="仿宋_GB2312" w:eastAsia="仿宋_GB2312" w:cs="仿宋_GB2312"/>
          <w:kern w:val="0"/>
          <w:sz w:val="32"/>
          <w:szCs w:val="32"/>
        </w:rPr>
        <w:t>、</w:t>
      </w:r>
      <w:r>
        <w:rPr>
          <w:rFonts w:hint="eastAsia" w:ascii="仿宋_GB2312" w:hAnsi="仿宋_GB2312" w:eastAsia="仿宋_GB2312" w:cs="仿宋_GB2312"/>
          <w:spacing w:val="-8"/>
          <w:sz w:val="32"/>
          <w:szCs w:val="32"/>
        </w:rPr>
        <w:t>城市建设科</w:t>
      </w:r>
      <w:r>
        <w:rPr>
          <w:rFonts w:hint="eastAsia" w:ascii="仿宋_GB2312" w:hAnsi="仿宋_GB2312" w:eastAsia="仿宋_GB2312" w:cs="仿宋_GB2312"/>
          <w:kern w:val="0"/>
          <w:sz w:val="32"/>
          <w:szCs w:val="32"/>
        </w:rPr>
        <w:t>、</w:t>
      </w:r>
      <w:r>
        <w:rPr>
          <w:rFonts w:hint="eastAsia" w:ascii="仿宋_GB2312" w:hAnsi="仿宋_GB2312" w:eastAsia="仿宋_GB2312" w:cs="仿宋_GB2312"/>
          <w:spacing w:val="-7"/>
          <w:sz w:val="32"/>
          <w:szCs w:val="32"/>
        </w:rPr>
        <w:t>历史文化名城保护管理科</w:t>
      </w:r>
      <w:r>
        <w:rPr>
          <w:rFonts w:hint="eastAsia" w:ascii="仿宋_GB2312" w:hAnsi="仿宋_GB2312" w:eastAsia="仿宋_GB2312" w:cs="仿宋_GB2312"/>
          <w:kern w:val="0"/>
          <w:sz w:val="32"/>
          <w:szCs w:val="32"/>
        </w:rPr>
        <w:t>、</w:t>
      </w:r>
      <w:r>
        <w:rPr>
          <w:rFonts w:hint="eastAsia" w:ascii="仿宋_GB2312" w:hAnsi="仿宋_GB2312" w:eastAsia="仿宋_GB2312" w:cs="仿宋_GB2312"/>
          <w:spacing w:val="5"/>
          <w:sz w:val="32"/>
          <w:szCs w:val="32"/>
        </w:rPr>
        <w:t>供排水管理科(海绵城市建设办公室)</w:t>
      </w:r>
      <w:r>
        <w:rPr>
          <w:rFonts w:hint="eastAsia" w:ascii="仿宋_GB2312" w:hAnsi="仿宋_GB2312" w:eastAsia="仿宋_GB2312" w:cs="仿宋_GB2312"/>
          <w:kern w:val="0"/>
          <w:sz w:val="32"/>
          <w:szCs w:val="32"/>
        </w:rPr>
        <w:t>、</w:t>
      </w:r>
      <w:r>
        <w:rPr>
          <w:rFonts w:hint="eastAsia" w:ascii="仿宋_GB2312" w:hAnsi="仿宋_GB2312" w:eastAsia="仿宋_GB2312" w:cs="仿宋_GB2312"/>
          <w:spacing w:val="-27"/>
          <w:sz w:val="32"/>
          <w:szCs w:val="32"/>
        </w:rPr>
        <w:t>政策法规科</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spacing w:val="-28"/>
          <w:sz w:val="32"/>
          <w:szCs w:val="32"/>
        </w:rPr>
        <w:t>工程技术科</w:t>
      </w:r>
      <w:r>
        <w:rPr>
          <w:rFonts w:hint="eastAsia" w:ascii="仿宋_GB2312" w:hAnsi="仿宋_GB2312" w:eastAsia="仿宋_GB2312" w:cs="仿宋_GB2312"/>
          <w:kern w:val="0"/>
          <w:sz w:val="32"/>
          <w:szCs w:val="32"/>
        </w:rPr>
        <w:t>、</w:t>
      </w:r>
      <w:r>
        <w:rPr>
          <w:rFonts w:hint="eastAsia" w:ascii="仿宋_GB2312" w:hAnsi="仿宋_GB2312" w:eastAsia="仿宋_GB2312" w:cs="仿宋_GB2312"/>
          <w:spacing w:val="-33"/>
          <w:sz w:val="32"/>
          <w:szCs w:val="32"/>
        </w:rPr>
        <w:t>信访科</w:t>
      </w:r>
      <w:r>
        <w:rPr>
          <w:rFonts w:hint="eastAsia" w:ascii="仿宋_GB2312" w:hAnsi="仿宋_GB2312" w:eastAsia="仿宋_GB2312" w:cs="仿宋_GB2312"/>
          <w:kern w:val="0"/>
          <w:sz w:val="32"/>
          <w:szCs w:val="32"/>
        </w:rPr>
        <w:t>、</w:t>
      </w:r>
      <w:r>
        <w:rPr>
          <w:rFonts w:hint="eastAsia" w:ascii="仿宋_GB2312" w:hAnsi="仿宋_GB2312" w:eastAsia="仿宋_GB2312" w:cs="仿宋_GB2312"/>
          <w:spacing w:val="-25"/>
          <w:sz w:val="32"/>
          <w:szCs w:val="32"/>
        </w:rPr>
        <w:t>人事科</w:t>
      </w:r>
      <w:r>
        <w:rPr>
          <w:rFonts w:hint="eastAsia" w:ascii="仿宋_GB2312" w:hAnsi="仿宋_GB2312" w:eastAsia="仿宋_GB2312" w:cs="仿宋_GB2312"/>
          <w:spacing w:val="-25"/>
          <w:sz w:val="32"/>
          <w:szCs w:val="32"/>
          <w:lang w:eastAsia="zh-CN"/>
        </w:rPr>
        <w:t>、计财审计科、</w:t>
      </w:r>
      <w:r>
        <w:rPr>
          <w:rFonts w:hint="eastAsia" w:ascii="仿宋_GB2312" w:hAnsi="仿宋_GB2312" w:eastAsia="仿宋_GB2312" w:cs="仿宋_GB2312"/>
          <w:spacing w:val="-26"/>
          <w:sz w:val="32"/>
          <w:szCs w:val="32"/>
        </w:rPr>
        <w:t>机</w:t>
      </w:r>
      <w:r>
        <w:rPr>
          <w:rFonts w:hint="eastAsia" w:ascii="仿宋_GB2312" w:hAnsi="仿宋_GB2312" w:eastAsia="仿宋_GB2312" w:cs="仿宋_GB2312"/>
          <w:spacing w:val="-14"/>
          <w:sz w:val="32"/>
          <w:szCs w:val="32"/>
        </w:rPr>
        <w:t>关</w:t>
      </w:r>
      <w:r>
        <w:rPr>
          <w:rFonts w:hint="eastAsia" w:ascii="仿宋_GB2312" w:hAnsi="仿宋_GB2312" w:eastAsia="仿宋_GB2312" w:cs="仿宋_GB2312"/>
          <w:spacing w:val="-13"/>
          <w:sz w:val="32"/>
          <w:szCs w:val="32"/>
        </w:rPr>
        <w:t>党委(纪委)</w:t>
      </w:r>
      <w:r>
        <w:rPr>
          <w:rFonts w:hint="eastAsia" w:ascii="仿宋_GB2312" w:hAnsi="仿宋_GB2312" w:eastAsia="仿宋_GB2312" w:cs="仿宋_GB2312"/>
          <w:spacing w:val="-13"/>
          <w:sz w:val="32"/>
          <w:szCs w:val="32"/>
          <w:lang w:eastAsia="zh-CN"/>
        </w:rPr>
        <w:t>、</w:t>
      </w:r>
      <w:r>
        <w:rPr>
          <w:rFonts w:hint="eastAsia" w:ascii="仿宋_GB2312" w:hAnsi="仿宋_GB2312" w:eastAsia="仿宋_GB2312" w:cs="仿宋_GB2312"/>
          <w:spacing w:val="-21"/>
          <w:sz w:val="32"/>
          <w:szCs w:val="32"/>
        </w:rPr>
        <w:t>离退休人员管理服务科</w:t>
      </w:r>
      <w:r>
        <w:rPr>
          <w:rFonts w:hint="eastAsia" w:ascii="仿宋_GB2312" w:hAnsi="仿宋_GB2312" w:eastAsia="仿宋_GB2312" w:cs="仿宋_GB2312"/>
          <w:color w:val="auto"/>
          <w:sz w:val="32"/>
          <w:szCs w:val="32"/>
          <w:highlight w:val="white"/>
          <w:lang w:val="en-US" w:eastAsia="zh-CN"/>
        </w:rPr>
        <w:t>24个科室。</w:t>
      </w:r>
    </w:p>
    <w:p>
      <w:pPr>
        <w:pStyle w:val="21"/>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黑体" w:cs="Times New Roman"/>
          <w:sz w:val="32"/>
          <w:szCs w:val="32"/>
        </w:rPr>
      </w:pPr>
    </w:p>
    <w:p>
      <w:pPr>
        <w:pStyle w:val="21"/>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二、一般公共预算支出情况</w:t>
      </w:r>
    </w:p>
    <w:p>
      <w:pPr>
        <w:pStyle w:val="21"/>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（一）基本支出情况</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20</w:t>
      </w:r>
      <w:r>
        <w:rPr>
          <w:rFonts w:hint="eastAsia" w:ascii="仿宋_GB2312" w:hAnsi="仿宋_GB2312" w:eastAsia="仿宋_GB2312" w:cs="仿宋_GB2312"/>
          <w:bCs/>
          <w:sz w:val="32"/>
          <w:szCs w:val="32"/>
          <w:lang w:val="en-US" w:eastAsia="zh-CN"/>
        </w:rPr>
        <w:t>23</w:t>
      </w:r>
      <w:r>
        <w:rPr>
          <w:rFonts w:hint="eastAsia" w:ascii="仿宋_GB2312" w:hAnsi="仿宋_GB2312" w:eastAsia="仿宋_GB2312" w:cs="仿宋_GB2312"/>
          <w:bCs/>
          <w:sz w:val="32"/>
          <w:szCs w:val="32"/>
        </w:rPr>
        <w:t>年</w:t>
      </w:r>
      <w:r>
        <w:rPr>
          <w:rFonts w:hint="eastAsia" w:ascii="仿宋_GB2312" w:hAnsi="仿宋_GB2312" w:eastAsia="仿宋_GB2312" w:cs="仿宋_GB2312"/>
          <w:bCs/>
          <w:sz w:val="32"/>
          <w:szCs w:val="32"/>
          <w:lang w:eastAsia="zh-CN"/>
        </w:rPr>
        <w:t>度</w:t>
      </w:r>
      <w:r>
        <w:rPr>
          <w:rFonts w:hint="eastAsia" w:ascii="仿宋_GB2312" w:hAnsi="仿宋_GB2312" w:eastAsia="仿宋_GB2312" w:cs="仿宋_GB2312"/>
          <w:bCs/>
          <w:sz w:val="32"/>
          <w:szCs w:val="32"/>
          <w:lang w:val="en-US" w:eastAsia="zh-CN"/>
        </w:rPr>
        <w:t>,本部门一般公共预算</w:t>
      </w:r>
      <w:r>
        <w:rPr>
          <w:rFonts w:hint="eastAsia" w:ascii="仿宋_GB2312" w:hAnsi="仿宋_GB2312" w:eastAsia="仿宋_GB2312" w:cs="仿宋_GB2312"/>
          <w:bCs/>
          <w:sz w:val="32"/>
          <w:szCs w:val="32"/>
        </w:rPr>
        <w:t>基本支出</w:t>
      </w:r>
      <w:r>
        <w:rPr>
          <w:rFonts w:hint="eastAsia" w:ascii="仿宋_GB2312" w:hAnsi="仿宋_GB2312" w:eastAsia="仿宋_GB2312" w:cs="仿宋_GB2312"/>
          <w:bCs/>
          <w:sz w:val="32"/>
          <w:szCs w:val="32"/>
          <w:lang w:val="en-US" w:eastAsia="zh-CN"/>
        </w:rPr>
        <w:t>总金额为8204.44</w:t>
      </w:r>
      <w:r>
        <w:rPr>
          <w:rFonts w:hint="eastAsia" w:ascii="仿宋_GB2312" w:hAnsi="仿宋_GB2312" w:eastAsia="仿宋_GB2312" w:cs="仿宋_GB2312"/>
          <w:bCs/>
          <w:sz w:val="32"/>
          <w:szCs w:val="32"/>
        </w:rPr>
        <w:t>万元，其中人员经费支出</w:t>
      </w:r>
      <w:r>
        <w:rPr>
          <w:rFonts w:hint="eastAsia" w:ascii="仿宋_GB2312" w:hAnsi="仿宋_GB2312" w:eastAsia="仿宋_GB2312" w:cs="仿宋_GB2312"/>
          <w:bCs/>
          <w:sz w:val="32"/>
          <w:szCs w:val="32"/>
          <w:lang w:val="en-US" w:eastAsia="zh-CN"/>
        </w:rPr>
        <w:t>7200.80</w:t>
      </w:r>
      <w:r>
        <w:rPr>
          <w:rFonts w:hint="eastAsia" w:ascii="仿宋_GB2312" w:hAnsi="仿宋_GB2312" w:eastAsia="仿宋_GB2312" w:cs="仿宋_GB2312"/>
          <w:bCs/>
          <w:sz w:val="32"/>
          <w:szCs w:val="32"/>
        </w:rPr>
        <w:t>万元，</w:t>
      </w:r>
      <w:r>
        <w:rPr>
          <w:rFonts w:hint="eastAsia" w:ascii="仿宋_GB2312" w:hAnsi="仿宋_GB2312" w:eastAsia="仿宋_GB2312" w:cs="仿宋_GB2312"/>
          <w:bCs/>
          <w:sz w:val="32"/>
          <w:szCs w:val="32"/>
          <w:lang w:val="en-US" w:eastAsia="zh-CN"/>
        </w:rPr>
        <w:t>主要用于</w:t>
      </w:r>
      <w:r>
        <w:rPr>
          <w:rFonts w:hint="eastAsia" w:ascii="仿宋_GB2312" w:hAnsi="仿宋_GB2312" w:eastAsia="仿宋_GB2312" w:cs="仿宋_GB2312"/>
          <w:bCs/>
          <w:sz w:val="32"/>
          <w:szCs w:val="32"/>
          <w:highlight w:val="none"/>
          <w:lang w:val="en-US" w:eastAsia="zh-CN"/>
        </w:rPr>
        <w:t>职工工资、津补贴、绩效工资及社会保障缴费等支出。</w:t>
      </w:r>
      <w:r>
        <w:rPr>
          <w:rFonts w:hint="eastAsia" w:ascii="仿宋_GB2312" w:hAnsi="仿宋_GB2312" w:eastAsia="仿宋_GB2312" w:cs="仿宋_GB2312"/>
          <w:bCs/>
          <w:sz w:val="32"/>
          <w:szCs w:val="32"/>
        </w:rPr>
        <w:t>公用</w:t>
      </w:r>
      <w:r>
        <w:rPr>
          <w:rFonts w:hint="eastAsia" w:ascii="仿宋_GB2312" w:hAnsi="仿宋_GB2312" w:eastAsia="仿宋_GB2312" w:cs="仿宋_GB2312"/>
          <w:bCs/>
          <w:sz w:val="32"/>
          <w:szCs w:val="32"/>
          <w:lang w:val="en-US" w:eastAsia="zh-CN"/>
        </w:rPr>
        <w:t>经费</w:t>
      </w:r>
      <w:r>
        <w:rPr>
          <w:rFonts w:hint="eastAsia" w:ascii="仿宋_GB2312" w:hAnsi="仿宋_GB2312" w:eastAsia="仿宋_GB2312" w:cs="仿宋_GB2312"/>
          <w:bCs/>
          <w:sz w:val="32"/>
          <w:szCs w:val="32"/>
        </w:rPr>
        <w:t>支出</w:t>
      </w:r>
      <w:r>
        <w:rPr>
          <w:rFonts w:hint="eastAsia" w:ascii="仿宋_GB2312" w:hAnsi="仿宋_GB2312" w:eastAsia="仿宋_GB2312" w:cs="仿宋_GB2312"/>
          <w:bCs/>
          <w:sz w:val="32"/>
          <w:szCs w:val="32"/>
          <w:lang w:val="en-US" w:eastAsia="zh-CN"/>
        </w:rPr>
        <w:t>1003.64</w:t>
      </w:r>
      <w:r>
        <w:rPr>
          <w:rFonts w:hint="eastAsia" w:ascii="仿宋_GB2312" w:hAnsi="仿宋_GB2312" w:eastAsia="仿宋_GB2312" w:cs="仿宋_GB2312"/>
          <w:bCs/>
          <w:sz w:val="32"/>
          <w:szCs w:val="32"/>
        </w:rPr>
        <w:t>万元</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lang w:val="en-US" w:eastAsia="zh-CN"/>
        </w:rPr>
        <w:t>主要用于办公费、印刷费、水电费、邮电费、取暖费、物业费、差旅费、维修（护）费、租赁费、会议费、培训费、公务接待费、劳务费、委托业务费、工会经费、公务用车运行费、其他交通费用、其他商品和服务支出等保障单位运转费用支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lang w:val="en-US" w:eastAsia="zh-CN"/>
        </w:rPr>
      </w:pPr>
      <w:r>
        <w:rPr>
          <w:rFonts w:hint="eastAsia" w:ascii="仿宋_GB2312" w:hAnsi="仿宋_GB2312" w:eastAsia="仿宋_GB2312" w:cs="仿宋_GB2312"/>
          <w:bCs/>
          <w:sz w:val="32"/>
          <w:szCs w:val="32"/>
          <w:lang w:val="en-US" w:eastAsia="zh-CN"/>
        </w:rPr>
        <w:t>2023</w:t>
      </w:r>
      <w:r>
        <w:rPr>
          <w:rFonts w:hint="eastAsia" w:ascii="仿宋_GB2312" w:hAnsi="仿宋_GB2312" w:eastAsia="仿宋_GB2312" w:cs="仿宋_GB2312"/>
          <w:bCs/>
          <w:sz w:val="32"/>
          <w:szCs w:val="32"/>
        </w:rPr>
        <w:t>年度</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公务接待费</w:t>
      </w:r>
      <w:r>
        <w:rPr>
          <w:rFonts w:hint="eastAsia" w:ascii="仿宋_GB2312" w:hAnsi="仿宋_GB2312" w:eastAsia="仿宋_GB2312" w:cs="仿宋_GB2312"/>
          <w:bCs/>
          <w:sz w:val="32"/>
          <w:szCs w:val="32"/>
          <w:lang w:eastAsia="zh-CN"/>
        </w:rPr>
        <w:t>预算</w:t>
      </w:r>
      <w:r>
        <w:rPr>
          <w:rFonts w:hint="eastAsia" w:ascii="仿宋_GB2312" w:hAnsi="仿宋_GB2312" w:eastAsia="仿宋_GB2312" w:cs="仿宋_GB2312"/>
          <w:bCs/>
          <w:sz w:val="32"/>
          <w:szCs w:val="32"/>
          <w:lang w:val="en-US" w:eastAsia="zh-CN"/>
        </w:rPr>
        <w:t>金额为9.50万元，实际</w:t>
      </w:r>
      <w:r>
        <w:rPr>
          <w:rFonts w:hint="eastAsia" w:ascii="仿宋_GB2312" w:hAnsi="仿宋_GB2312" w:eastAsia="仿宋_GB2312" w:cs="仿宋_GB2312"/>
          <w:bCs/>
          <w:sz w:val="32"/>
          <w:szCs w:val="32"/>
        </w:rPr>
        <w:t>支出</w:t>
      </w:r>
      <w:r>
        <w:rPr>
          <w:rFonts w:hint="eastAsia" w:ascii="仿宋_GB2312" w:hAnsi="仿宋_GB2312" w:eastAsia="仿宋_GB2312" w:cs="仿宋_GB2312"/>
          <w:bCs/>
          <w:sz w:val="32"/>
          <w:szCs w:val="32"/>
          <w:lang w:val="en-US" w:eastAsia="zh-CN"/>
        </w:rPr>
        <w:t>金额为1.11</w:t>
      </w:r>
      <w:r>
        <w:rPr>
          <w:rFonts w:hint="eastAsia" w:ascii="仿宋_GB2312" w:hAnsi="仿宋_GB2312" w:eastAsia="仿宋_GB2312" w:cs="仿宋_GB2312"/>
          <w:bCs/>
          <w:sz w:val="32"/>
          <w:szCs w:val="32"/>
        </w:rPr>
        <w:t>万元，</w:t>
      </w:r>
      <w:r>
        <w:rPr>
          <w:rFonts w:hint="eastAsia" w:ascii="仿宋_GB2312" w:hAnsi="仿宋_GB2312" w:eastAsia="仿宋_GB2312" w:cs="仿宋_GB2312"/>
          <w:bCs/>
          <w:sz w:val="32"/>
          <w:szCs w:val="32"/>
          <w:lang w:val="en-US" w:eastAsia="zh-CN"/>
        </w:rPr>
        <w:t>公务用车购置及</w:t>
      </w:r>
      <w:r>
        <w:rPr>
          <w:rFonts w:hint="eastAsia" w:ascii="仿宋_GB2312" w:hAnsi="仿宋_GB2312" w:eastAsia="仿宋_GB2312" w:cs="仿宋_GB2312"/>
          <w:bCs/>
          <w:sz w:val="32"/>
          <w:szCs w:val="32"/>
        </w:rPr>
        <w:t>公务用车运行维护费支出</w:t>
      </w:r>
      <w:r>
        <w:rPr>
          <w:rFonts w:hint="eastAsia" w:ascii="仿宋_GB2312" w:hAnsi="仿宋_GB2312" w:eastAsia="仿宋_GB2312" w:cs="仿宋_GB2312"/>
          <w:bCs/>
          <w:sz w:val="32"/>
          <w:szCs w:val="32"/>
          <w:lang w:eastAsia="zh-CN"/>
        </w:rPr>
        <w:t>预算</w:t>
      </w:r>
      <w:r>
        <w:rPr>
          <w:rFonts w:hint="eastAsia" w:ascii="仿宋_GB2312" w:hAnsi="仿宋_GB2312" w:eastAsia="仿宋_GB2312" w:cs="仿宋_GB2312"/>
          <w:bCs/>
          <w:sz w:val="32"/>
          <w:szCs w:val="32"/>
          <w:lang w:val="en-US" w:eastAsia="zh-CN"/>
        </w:rPr>
        <w:t>金额为19.50万元（其中公务用车购置预算0万元），公务用车购置及</w:t>
      </w:r>
      <w:r>
        <w:rPr>
          <w:rFonts w:hint="eastAsia" w:ascii="仿宋_GB2312" w:hAnsi="仿宋_GB2312" w:eastAsia="仿宋_GB2312" w:cs="仿宋_GB2312"/>
          <w:bCs/>
          <w:sz w:val="32"/>
          <w:szCs w:val="32"/>
        </w:rPr>
        <w:t>公务用车运行维护费</w:t>
      </w:r>
      <w:r>
        <w:rPr>
          <w:rFonts w:hint="eastAsia" w:ascii="仿宋_GB2312" w:hAnsi="仿宋_GB2312" w:eastAsia="仿宋_GB2312" w:cs="仿宋_GB2312"/>
          <w:bCs/>
          <w:sz w:val="32"/>
          <w:szCs w:val="32"/>
          <w:lang w:val="en-US" w:eastAsia="zh-CN"/>
        </w:rPr>
        <w:t>实际支出金额为11.94</w:t>
      </w:r>
      <w:r>
        <w:rPr>
          <w:rFonts w:hint="eastAsia" w:ascii="仿宋_GB2312" w:hAnsi="仿宋_GB2312" w:eastAsia="仿宋_GB2312" w:cs="仿宋_GB2312"/>
          <w:bCs/>
          <w:sz w:val="32"/>
          <w:szCs w:val="32"/>
        </w:rPr>
        <w:t>万元</w:t>
      </w:r>
      <w:r>
        <w:rPr>
          <w:rFonts w:hint="eastAsia" w:ascii="仿宋_GB2312" w:hAnsi="仿宋_GB2312" w:eastAsia="仿宋_GB2312" w:cs="仿宋_GB2312"/>
          <w:bCs/>
          <w:sz w:val="32"/>
          <w:szCs w:val="32"/>
          <w:lang w:val="en-US" w:eastAsia="zh-CN"/>
        </w:rPr>
        <w:t>（其中公务用车购置决算0万元）</w:t>
      </w:r>
      <w:r>
        <w:rPr>
          <w:rFonts w:hint="eastAsia" w:ascii="仿宋_GB2312" w:hAnsi="仿宋_GB2312" w:eastAsia="仿宋_GB2312" w:cs="仿宋_GB2312"/>
          <w:bCs/>
          <w:sz w:val="32"/>
          <w:szCs w:val="32"/>
          <w:lang w:eastAsia="zh-CN"/>
        </w:rPr>
        <w:t>，因</w:t>
      </w:r>
      <w:r>
        <w:rPr>
          <w:rFonts w:hint="eastAsia" w:ascii="仿宋_GB2312" w:hAnsi="仿宋_GB2312" w:eastAsia="仿宋_GB2312" w:cs="仿宋_GB2312"/>
          <w:bCs/>
          <w:sz w:val="32"/>
          <w:szCs w:val="32"/>
        </w:rPr>
        <w:t>公出国</w:t>
      </w:r>
      <w:r>
        <w:rPr>
          <w:rFonts w:hint="eastAsia" w:ascii="仿宋_GB2312" w:hAnsi="仿宋_GB2312" w:eastAsia="仿宋_GB2312" w:cs="仿宋_GB2312"/>
          <w:bCs/>
          <w:sz w:val="32"/>
          <w:szCs w:val="32"/>
          <w:lang w:eastAsia="zh-CN"/>
        </w:rPr>
        <w:t>费用</w:t>
      </w:r>
      <w:r>
        <w:rPr>
          <w:rFonts w:hint="eastAsia" w:ascii="仿宋_GB2312" w:hAnsi="仿宋_GB2312" w:eastAsia="仿宋_GB2312" w:cs="仿宋_GB2312"/>
          <w:bCs/>
          <w:sz w:val="32"/>
          <w:szCs w:val="32"/>
          <w:lang w:val="en-US" w:eastAsia="zh-CN"/>
        </w:rPr>
        <w:t>预算与实际</w:t>
      </w:r>
      <w:r>
        <w:rPr>
          <w:rFonts w:hint="eastAsia" w:ascii="仿宋_GB2312" w:hAnsi="仿宋_GB2312" w:eastAsia="仿宋_GB2312" w:cs="仿宋_GB2312"/>
          <w:bCs/>
          <w:sz w:val="32"/>
          <w:szCs w:val="32"/>
        </w:rPr>
        <w:t>支出</w:t>
      </w:r>
      <w:r>
        <w:rPr>
          <w:rFonts w:hint="eastAsia" w:ascii="仿宋_GB2312" w:hAnsi="仿宋_GB2312" w:eastAsia="仿宋_GB2312" w:cs="仿宋_GB2312"/>
          <w:bCs/>
          <w:sz w:val="32"/>
          <w:szCs w:val="32"/>
          <w:lang w:val="en-US" w:eastAsia="zh-CN"/>
        </w:rPr>
        <w:t>均为</w:t>
      </w:r>
      <w:r>
        <w:rPr>
          <w:rFonts w:hint="eastAsia" w:ascii="仿宋_GB2312" w:hAnsi="仿宋_GB2312" w:eastAsia="仿宋_GB2312" w:cs="仿宋_GB2312"/>
          <w:bCs/>
          <w:sz w:val="32"/>
          <w:szCs w:val="32"/>
        </w:rPr>
        <w:t>0万元</w:t>
      </w:r>
      <w:r>
        <w:rPr>
          <w:rFonts w:hint="eastAsia" w:ascii="仿宋_GB2312" w:hAnsi="仿宋_GB2312" w:eastAsia="仿宋_GB2312" w:cs="仿宋_GB2312"/>
          <w:bCs/>
          <w:sz w:val="32"/>
          <w:szCs w:val="32"/>
          <w:lang w:eastAsia="zh-CN"/>
        </w:rPr>
        <w:t>，“三公经费”支出</w:t>
      </w:r>
      <w:r>
        <w:rPr>
          <w:rFonts w:hint="eastAsia" w:ascii="仿宋_GB2312" w:hAnsi="仿宋_GB2312" w:eastAsia="仿宋_GB2312" w:cs="仿宋_GB2312"/>
          <w:bCs/>
          <w:sz w:val="32"/>
          <w:szCs w:val="32"/>
          <w:lang w:val="en-US" w:eastAsia="zh-CN"/>
        </w:rPr>
        <w:t>总金额为13.05万元，</w:t>
      </w:r>
      <w:r>
        <w:rPr>
          <w:rFonts w:hint="eastAsia" w:ascii="仿宋_GB2312" w:hAnsi="仿宋_GB2312" w:eastAsia="仿宋_GB2312" w:cs="仿宋_GB2312"/>
          <w:bCs/>
          <w:sz w:val="32"/>
          <w:szCs w:val="32"/>
          <w:lang w:eastAsia="zh-CN"/>
        </w:rPr>
        <w:t>控制在年初预算</w:t>
      </w:r>
      <w:r>
        <w:rPr>
          <w:rFonts w:hint="eastAsia" w:ascii="仿宋_GB2312" w:hAnsi="仿宋_GB2312" w:eastAsia="仿宋_GB2312" w:cs="仿宋_GB2312"/>
          <w:bCs/>
          <w:sz w:val="32"/>
          <w:szCs w:val="32"/>
          <w:lang w:val="en-US" w:eastAsia="zh-CN"/>
        </w:rPr>
        <w:t>29.00万元</w:t>
      </w:r>
      <w:r>
        <w:rPr>
          <w:rFonts w:hint="eastAsia" w:ascii="仿宋_GB2312" w:hAnsi="仿宋_GB2312" w:eastAsia="仿宋_GB2312" w:cs="仿宋_GB2312"/>
          <w:bCs/>
          <w:sz w:val="32"/>
          <w:szCs w:val="32"/>
          <w:lang w:eastAsia="zh-CN"/>
        </w:rPr>
        <w:t>之内</w:t>
      </w:r>
      <w:r>
        <w:rPr>
          <w:rFonts w:hint="eastAsia" w:ascii="仿宋_GB2312" w:hAnsi="仿宋_GB2312" w:eastAsia="仿宋_GB2312" w:cs="仿宋_GB2312"/>
          <w:bCs/>
          <w:sz w:val="32"/>
          <w:szCs w:val="32"/>
        </w:rPr>
        <w:t>。</w:t>
      </w:r>
      <w:r>
        <w:rPr>
          <w:rFonts w:hint="eastAsia" w:ascii="仿宋_GB2312" w:hAnsi="仿宋_GB2312" w:eastAsia="仿宋_GB2312" w:cs="仿宋_GB2312"/>
          <w:bCs/>
          <w:sz w:val="32"/>
          <w:szCs w:val="32"/>
          <w:lang w:val="en-US" w:eastAsia="zh-CN"/>
        </w:rPr>
        <w:t>支出明细如下：</w:t>
      </w:r>
    </w:p>
    <w:tbl>
      <w:tblPr>
        <w:tblStyle w:val="16"/>
        <w:tblW w:w="860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869"/>
        <w:gridCol w:w="840"/>
        <w:gridCol w:w="795"/>
        <w:gridCol w:w="870"/>
        <w:gridCol w:w="855"/>
        <w:gridCol w:w="855"/>
        <w:gridCol w:w="915"/>
        <w:gridCol w:w="795"/>
        <w:gridCol w:w="8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trPr>
        <w:tc>
          <w:tcPr>
            <w:tcW w:w="1869"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单位名称</w:t>
            </w:r>
          </w:p>
        </w:tc>
        <w:tc>
          <w:tcPr>
            <w:tcW w:w="1635"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公车运行维护</w:t>
            </w:r>
          </w:p>
        </w:tc>
        <w:tc>
          <w:tcPr>
            <w:tcW w:w="1725" w:type="dxa"/>
            <w:gridSpan w:val="2"/>
            <w:tcBorders>
              <w:top w:val="single" w:color="000000" w:sz="4" w:space="0"/>
              <w:left w:val="single" w:color="000000" w:sz="4" w:space="0"/>
              <w:bottom w:val="single" w:color="000000"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公车购置 </w:t>
            </w:r>
          </w:p>
        </w:tc>
        <w:tc>
          <w:tcPr>
            <w:tcW w:w="1770"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公务接待</w:t>
            </w:r>
          </w:p>
        </w:tc>
        <w:tc>
          <w:tcPr>
            <w:tcW w:w="1605"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出国经费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869"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iCs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2023年预算数</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2023年决算数</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2023年预算数</w:t>
            </w:r>
          </w:p>
        </w:tc>
        <w:tc>
          <w:tcPr>
            <w:tcW w:w="855"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2023年决算数</w:t>
            </w:r>
          </w:p>
        </w:tc>
        <w:tc>
          <w:tcPr>
            <w:tcW w:w="8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2023年预算数</w:t>
            </w:r>
          </w:p>
        </w:tc>
        <w:tc>
          <w:tcPr>
            <w:tcW w:w="9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2023年决算数</w:t>
            </w:r>
          </w:p>
        </w:tc>
        <w:tc>
          <w:tcPr>
            <w:tcW w:w="7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2023年预算数</w:t>
            </w:r>
          </w:p>
        </w:tc>
        <w:tc>
          <w:tcPr>
            <w:tcW w:w="8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2023年决算数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18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岳阳市住房和城乡建设局本级</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7.50</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5.34</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0</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0</w:t>
            </w:r>
          </w:p>
        </w:tc>
        <w:tc>
          <w:tcPr>
            <w:tcW w:w="855"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7.00</w:t>
            </w:r>
          </w:p>
        </w:tc>
        <w:tc>
          <w:tcPr>
            <w:tcW w:w="915"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1.11</w:t>
            </w:r>
          </w:p>
        </w:tc>
        <w:tc>
          <w:tcPr>
            <w:tcW w:w="795" w:type="dxa"/>
            <w:tcBorders>
              <w:top w:val="single" w:color="auto"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0</w:t>
            </w:r>
          </w:p>
        </w:tc>
        <w:tc>
          <w:tcPr>
            <w:tcW w:w="810" w:type="dxa"/>
            <w:tcBorders>
              <w:top w:val="single" w:color="auto"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18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岳阳市城市建设档案馆</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0</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0</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0</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0</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1.00</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0</w:t>
            </w:r>
          </w:p>
        </w:tc>
        <w:tc>
          <w:tcPr>
            <w:tcW w:w="7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0</w:t>
            </w:r>
          </w:p>
        </w:tc>
        <w:tc>
          <w:tcPr>
            <w:tcW w:w="8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8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岳阳市城乡建设事务中心</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0</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0</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0</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0</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1.00</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0</w:t>
            </w:r>
          </w:p>
        </w:tc>
        <w:tc>
          <w:tcPr>
            <w:tcW w:w="7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0</w:t>
            </w:r>
          </w:p>
        </w:tc>
        <w:tc>
          <w:tcPr>
            <w:tcW w:w="8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8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岳阳市房地产交易中心</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0</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0</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0</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0</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0</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0</w:t>
            </w:r>
          </w:p>
        </w:tc>
        <w:tc>
          <w:tcPr>
            <w:tcW w:w="7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0</w:t>
            </w:r>
          </w:p>
        </w:tc>
        <w:tc>
          <w:tcPr>
            <w:tcW w:w="8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18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岳阳市房地产市场服务中心</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0</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0</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0</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0</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0.50</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0</w:t>
            </w:r>
          </w:p>
        </w:tc>
        <w:tc>
          <w:tcPr>
            <w:tcW w:w="7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0</w:t>
            </w:r>
          </w:p>
        </w:tc>
        <w:tc>
          <w:tcPr>
            <w:tcW w:w="8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8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岳阳市建设工程质量安全监督站</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0</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0</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0</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0</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0</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0</w:t>
            </w:r>
          </w:p>
        </w:tc>
        <w:tc>
          <w:tcPr>
            <w:tcW w:w="7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0</w:t>
            </w:r>
          </w:p>
        </w:tc>
        <w:tc>
          <w:tcPr>
            <w:tcW w:w="8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8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岳阳市绿色建筑产业发展服务中心</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0</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0</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0</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0</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0</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0</w:t>
            </w:r>
          </w:p>
        </w:tc>
        <w:tc>
          <w:tcPr>
            <w:tcW w:w="7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0</w:t>
            </w:r>
          </w:p>
        </w:tc>
        <w:tc>
          <w:tcPr>
            <w:tcW w:w="8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5" w:hRule="atLeast"/>
        </w:trPr>
        <w:tc>
          <w:tcPr>
            <w:tcW w:w="18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岳阳市污水处理监督中心</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6.00</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2.47</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0</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0</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0</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0</w:t>
            </w:r>
          </w:p>
        </w:tc>
        <w:tc>
          <w:tcPr>
            <w:tcW w:w="7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0</w:t>
            </w:r>
          </w:p>
        </w:tc>
        <w:tc>
          <w:tcPr>
            <w:tcW w:w="8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8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岳阳市住房保障服务中心</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6.00</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4.13</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0</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0</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0</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0</w:t>
            </w:r>
          </w:p>
        </w:tc>
        <w:tc>
          <w:tcPr>
            <w:tcW w:w="7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0</w:t>
            </w:r>
          </w:p>
        </w:tc>
        <w:tc>
          <w:tcPr>
            <w:tcW w:w="8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8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合  计</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19.50</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11.94</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0</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0</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9.50</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1.11</w:t>
            </w:r>
          </w:p>
        </w:tc>
        <w:tc>
          <w:tcPr>
            <w:tcW w:w="7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0</w:t>
            </w:r>
          </w:p>
        </w:tc>
        <w:tc>
          <w:tcPr>
            <w:tcW w:w="8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0</w:t>
            </w:r>
          </w:p>
        </w:tc>
      </w:tr>
    </w:tbl>
    <w:p>
      <w:pPr>
        <w:pStyle w:val="21"/>
        <w:keepNext w:val="0"/>
        <w:keepLines w:val="0"/>
        <w:pageBreakBefore w:val="0"/>
        <w:widowControl/>
        <w:numPr>
          <w:ilvl w:val="0"/>
          <w:numId w:val="0"/>
        </w:numPr>
        <w:kinsoku/>
        <w:wordWrap/>
        <w:overflowPunct/>
        <w:topLinePunct w:val="0"/>
        <w:autoSpaceDE/>
        <w:autoSpaceDN/>
        <w:bidi w:val="0"/>
        <w:adjustRightInd/>
        <w:snapToGrid/>
        <w:spacing w:line="580" w:lineRule="exact"/>
        <w:ind w:firstLine="643" w:firstLineChars="200"/>
        <w:jc w:val="both"/>
        <w:textAlignment w:val="auto"/>
        <w:rPr>
          <w:rFonts w:hint="eastAsia" w:ascii="Times New Roman" w:hAnsi="Times New Roman" w:eastAsia="楷体_GB2312" w:cs="Times New Roman"/>
          <w:b/>
          <w:color w:val="FF0000"/>
          <w:sz w:val="32"/>
          <w:szCs w:val="32"/>
          <w:lang w:val="en-US" w:eastAsia="zh-CN"/>
        </w:rPr>
      </w:pPr>
    </w:p>
    <w:p>
      <w:pPr>
        <w:pStyle w:val="21"/>
        <w:keepNext w:val="0"/>
        <w:keepLines w:val="0"/>
        <w:pageBreakBefore w:val="0"/>
        <w:widowControl/>
        <w:numPr>
          <w:ilvl w:val="0"/>
          <w:numId w:val="0"/>
        </w:numPr>
        <w:kinsoku/>
        <w:wordWrap/>
        <w:overflowPunct/>
        <w:topLinePunct w:val="0"/>
        <w:autoSpaceDE/>
        <w:autoSpaceDN/>
        <w:bidi w:val="0"/>
        <w:adjustRightInd/>
        <w:snapToGrid/>
        <w:spacing w:line="580" w:lineRule="exact"/>
        <w:ind w:firstLine="643" w:firstLineChars="200"/>
        <w:jc w:val="both"/>
        <w:textAlignment w:val="auto"/>
        <w:rPr>
          <w:rFonts w:hint="default" w:ascii="Times New Roman" w:hAnsi="Times New Roman" w:eastAsia="楷体_GB2312" w:cs="Times New Roman"/>
          <w:b/>
          <w:color w:val="auto"/>
          <w:sz w:val="32"/>
          <w:szCs w:val="32"/>
        </w:rPr>
      </w:pPr>
      <w:r>
        <w:rPr>
          <w:rFonts w:hint="eastAsia" w:ascii="Times New Roman" w:hAnsi="Times New Roman" w:eastAsia="楷体_GB2312" w:cs="Times New Roman"/>
          <w:b/>
          <w:color w:val="auto"/>
          <w:sz w:val="32"/>
          <w:szCs w:val="32"/>
          <w:lang w:val="en-US" w:eastAsia="zh-CN"/>
        </w:rPr>
        <w:t>(二）</w:t>
      </w:r>
      <w:r>
        <w:rPr>
          <w:rFonts w:hint="default" w:ascii="Times New Roman" w:hAnsi="Times New Roman" w:eastAsia="楷体_GB2312" w:cs="Times New Roman"/>
          <w:b/>
          <w:color w:val="auto"/>
          <w:sz w:val="32"/>
          <w:szCs w:val="32"/>
        </w:rPr>
        <w:t>项目支出情况</w:t>
      </w:r>
    </w:p>
    <w:p>
      <w:pPr>
        <w:keepNext w:val="0"/>
        <w:keepLines w:val="0"/>
        <w:pageBreakBefore w:val="0"/>
        <w:widowControl w:val="0"/>
        <w:kinsoku/>
        <w:wordWrap/>
        <w:overflowPunct/>
        <w:topLinePunct w:val="0"/>
        <w:autoSpaceDE/>
        <w:autoSpaceDN/>
        <w:bidi w:val="0"/>
        <w:spacing w:line="580" w:lineRule="exact"/>
        <w:ind w:firstLine="640" w:firstLineChars="200"/>
        <w:jc w:val="both"/>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Cs/>
          <w:sz w:val="32"/>
          <w:szCs w:val="32"/>
        </w:rPr>
        <w:t>20</w:t>
      </w:r>
      <w:r>
        <w:rPr>
          <w:rFonts w:hint="eastAsia" w:ascii="仿宋_GB2312" w:hAnsi="仿宋_GB2312" w:eastAsia="仿宋_GB2312" w:cs="仿宋_GB2312"/>
          <w:bCs/>
          <w:sz w:val="32"/>
          <w:szCs w:val="32"/>
          <w:lang w:val="en-US" w:eastAsia="zh-CN"/>
        </w:rPr>
        <w:t>23</w:t>
      </w:r>
      <w:r>
        <w:rPr>
          <w:rFonts w:hint="eastAsia" w:ascii="仿宋_GB2312" w:hAnsi="仿宋_GB2312" w:eastAsia="仿宋_GB2312" w:cs="仿宋_GB2312"/>
          <w:bCs/>
          <w:sz w:val="32"/>
          <w:szCs w:val="32"/>
        </w:rPr>
        <w:t>年</w:t>
      </w:r>
      <w:r>
        <w:rPr>
          <w:rFonts w:hint="eastAsia" w:ascii="仿宋_GB2312" w:hAnsi="仿宋_GB2312" w:eastAsia="仿宋_GB2312" w:cs="仿宋_GB2312"/>
          <w:bCs/>
          <w:sz w:val="32"/>
          <w:szCs w:val="32"/>
          <w:lang w:val="en-US" w:eastAsia="zh-CN"/>
        </w:rPr>
        <w:t>度</w:t>
      </w:r>
      <w:r>
        <w:rPr>
          <w:rFonts w:hint="eastAsia" w:ascii="仿宋_GB2312" w:hAnsi="仿宋_GB2312" w:eastAsia="仿宋_GB2312" w:cs="仿宋_GB2312"/>
          <w:bCs/>
          <w:sz w:val="32"/>
          <w:szCs w:val="32"/>
          <w:lang w:eastAsia="zh-CN"/>
        </w:rPr>
        <w:t>，本</w:t>
      </w:r>
      <w:r>
        <w:rPr>
          <w:rFonts w:hint="eastAsia" w:ascii="仿宋_GB2312" w:hAnsi="仿宋_GB2312" w:eastAsia="仿宋_GB2312" w:cs="仿宋_GB2312"/>
          <w:bCs/>
          <w:sz w:val="32"/>
          <w:szCs w:val="32"/>
          <w:lang w:val="en-US" w:eastAsia="zh-CN"/>
        </w:rPr>
        <w:t>部门一般公共预算</w:t>
      </w:r>
      <w:r>
        <w:rPr>
          <w:rFonts w:hint="eastAsia" w:ascii="仿宋_GB2312" w:hAnsi="仿宋_GB2312" w:eastAsia="仿宋_GB2312" w:cs="仿宋_GB2312"/>
          <w:bCs/>
          <w:sz w:val="32"/>
          <w:szCs w:val="32"/>
        </w:rPr>
        <w:t>项目</w:t>
      </w:r>
      <w:r>
        <w:rPr>
          <w:rFonts w:hint="eastAsia" w:ascii="仿宋_GB2312" w:hAnsi="仿宋_GB2312" w:eastAsia="仿宋_GB2312" w:cs="仿宋_GB2312"/>
          <w:bCs/>
          <w:sz w:val="32"/>
          <w:szCs w:val="32"/>
          <w:lang w:val="en-US" w:eastAsia="zh-CN"/>
        </w:rPr>
        <w:t>支出年初</w:t>
      </w:r>
      <w:r>
        <w:rPr>
          <w:rFonts w:hint="eastAsia" w:ascii="仿宋_GB2312" w:hAnsi="仿宋_GB2312" w:eastAsia="仿宋_GB2312" w:cs="仿宋_GB2312"/>
          <w:bCs/>
          <w:sz w:val="32"/>
          <w:szCs w:val="32"/>
        </w:rPr>
        <w:t>预算</w:t>
      </w:r>
      <w:r>
        <w:rPr>
          <w:rFonts w:hint="eastAsia" w:ascii="仿宋_GB2312" w:hAnsi="仿宋_GB2312" w:eastAsia="仿宋_GB2312" w:cs="仿宋_GB2312"/>
          <w:bCs/>
          <w:sz w:val="32"/>
          <w:szCs w:val="32"/>
          <w:lang w:val="en-US" w:eastAsia="zh-CN"/>
        </w:rPr>
        <w:t>金额为1458.80</w:t>
      </w:r>
      <w:r>
        <w:rPr>
          <w:rFonts w:hint="eastAsia" w:ascii="仿宋_GB2312" w:hAnsi="仿宋_GB2312" w:eastAsia="仿宋_GB2312" w:cs="仿宋_GB2312"/>
          <w:bCs/>
          <w:sz w:val="32"/>
          <w:szCs w:val="32"/>
        </w:rPr>
        <w:t>万元</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lang w:val="en-US" w:eastAsia="zh-CN"/>
        </w:rPr>
        <w:t>未含上年项目结转预算）</w:t>
      </w:r>
      <w:r>
        <w:rPr>
          <w:rFonts w:hint="eastAsia" w:ascii="仿宋_GB2312" w:hAnsi="仿宋_GB2312" w:eastAsia="仿宋_GB2312" w:cs="仿宋_GB2312"/>
          <w:bCs/>
          <w:sz w:val="32"/>
          <w:szCs w:val="32"/>
        </w:rPr>
        <w:t>，</w:t>
      </w:r>
      <w:r>
        <w:rPr>
          <w:rFonts w:hint="eastAsia" w:ascii="仿宋_GB2312" w:hAnsi="仿宋_GB2312" w:eastAsia="仿宋_GB2312" w:cs="仿宋_GB2312"/>
          <w:bCs/>
          <w:sz w:val="32"/>
          <w:szCs w:val="32"/>
          <w:lang w:val="en-US" w:eastAsia="zh-CN"/>
        </w:rPr>
        <w:t>年中追加了部分城建项目经费预算，年度项目支出预算总金额调整为</w:t>
      </w:r>
      <w:r>
        <w:rPr>
          <w:rFonts w:hint="eastAsia" w:ascii="仿宋_GB2312" w:hAnsi="仿宋_GB2312" w:eastAsia="仿宋_GB2312" w:cs="仿宋_GB2312"/>
          <w:bCs/>
          <w:color w:val="auto"/>
          <w:sz w:val="32"/>
          <w:szCs w:val="32"/>
          <w:lang w:val="en-US" w:eastAsia="zh-CN"/>
        </w:rPr>
        <w:t>12507.50</w:t>
      </w:r>
      <w:r>
        <w:rPr>
          <w:rFonts w:hint="eastAsia" w:ascii="仿宋_GB2312" w:hAnsi="仿宋_GB2312" w:eastAsia="仿宋_GB2312" w:cs="仿宋_GB2312"/>
          <w:bCs/>
          <w:sz w:val="32"/>
          <w:szCs w:val="32"/>
          <w:lang w:val="en-US" w:eastAsia="zh-CN"/>
        </w:rPr>
        <w:t>万元</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bCs/>
          <w:color w:val="auto"/>
          <w:sz w:val="32"/>
          <w:szCs w:val="32"/>
          <w:lang w:eastAsia="zh-CN"/>
        </w:rPr>
        <w:t>本年</w:t>
      </w:r>
      <w:r>
        <w:rPr>
          <w:rFonts w:hint="eastAsia" w:ascii="仿宋_GB2312" w:hAnsi="仿宋_GB2312" w:eastAsia="仿宋_GB2312" w:cs="仿宋_GB2312"/>
          <w:bCs/>
          <w:color w:val="auto"/>
          <w:sz w:val="32"/>
          <w:szCs w:val="32"/>
        </w:rPr>
        <w:t>项目</w:t>
      </w:r>
      <w:r>
        <w:rPr>
          <w:rFonts w:hint="eastAsia" w:ascii="仿宋_GB2312" w:hAnsi="仿宋_GB2312" w:eastAsia="仿宋_GB2312" w:cs="仿宋_GB2312"/>
          <w:bCs/>
          <w:color w:val="auto"/>
          <w:sz w:val="32"/>
          <w:szCs w:val="32"/>
          <w:lang w:val="en-US" w:eastAsia="zh-CN"/>
        </w:rPr>
        <w:t>实际</w:t>
      </w:r>
      <w:r>
        <w:rPr>
          <w:rFonts w:hint="eastAsia" w:ascii="仿宋_GB2312" w:hAnsi="仿宋_GB2312" w:eastAsia="仿宋_GB2312" w:cs="仿宋_GB2312"/>
          <w:bCs/>
          <w:color w:val="auto"/>
          <w:sz w:val="32"/>
          <w:szCs w:val="32"/>
        </w:rPr>
        <w:t>支出</w:t>
      </w:r>
      <w:r>
        <w:rPr>
          <w:rFonts w:hint="eastAsia" w:ascii="仿宋_GB2312" w:hAnsi="仿宋_GB2312" w:eastAsia="仿宋_GB2312" w:cs="仿宋_GB2312"/>
          <w:bCs/>
          <w:color w:val="auto"/>
          <w:sz w:val="32"/>
          <w:szCs w:val="32"/>
          <w:lang w:val="en-US" w:eastAsia="zh-CN"/>
        </w:rPr>
        <w:t>总金额为6788.47</w:t>
      </w:r>
      <w:r>
        <w:rPr>
          <w:rFonts w:hint="eastAsia" w:ascii="仿宋_GB2312" w:hAnsi="仿宋_GB2312" w:eastAsia="仿宋_GB2312" w:cs="仿宋_GB2312"/>
          <w:bCs/>
          <w:color w:val="auto"/>
          <w:sz w:val="32"/>
          <w:szCs w:val="32"/>
        </w:rPr>
        <w:t>万元，</w:t>
      </w:r>
      <w:r>
        <w:rPr>
          <w:rFonts w:hint="eastAsia" w:ascii="仿宋_GB2312" w:hAnsi="仿宋_GB2312" w:eastAsia="仿宋_GB2312" w:cs="仿宋_GB2312"/>
          <w:color w:val="auto"/>
          <w:sz w:val="32"/>
          <w:szCs w:val="32"/>
          <w:highlight w:val="none"/>
          <w:lang w:val="en-US" w:eastAsia="zh-CN"/>
        </w:rPr>
        <w:t>主要用于</w:t>
      </w:r>
      <w:r>
        <w:rPr>
          <w:rFonts w:hint="eastAsia" w:eastAsia="仿宋_GB2312"/>
          <w:color w:val="auto"/>
          <w:sz w:val="32"/>
          <w:szCs w:val="32"/>
          <w:lang w:eastAsia="zh-CN"/>
        </w:rPr>
        <w:t>全市建筑市场监管、房地产市场监管、住房保障、农村危房改造、消防管理、勘察设计管理等方面</w:t>
      </w:r>
      <w:r>
        <w:rPr>
          <w:rFonts w:hint="eastAsia" w:eastAsia="仿宋_GB2312"/>
          <w:color w:val="auto"/>
          <w:sz w:val="32"/>
          <w:szCs w:val="32"/>
          <w:lang w:val="en-US" w:eastAsia="zh-CN"/>
        </w:rPr>
        <w:t>；</w:t>
      </w:r>
      <w:r>
        <w:rPr>
          <w:rFonts w:hint="eastAsia" w:eastAsia="仿宋_GB2312"/>
          <w:color w:val="auto"/>
          <w:sz w:val="32"/>
          <w:szCs w:val="32"/>
          <w:lang w:eastAsia="zh-CN"/>
        </w:rPr>
        <w:t>市本级和岳阳楼区管辖项目施工图审查政府购买服务</w:t>
      </w:r>
      <w:r>
        <w:rPr>
          <w:rFonts w:hint="eastAsia" w:eastAsia="仿宋_GB2312"/>
          <w:color w:val="auto"/>
          <w:sz w:val="32"/>
          <w:szCs w:val="32"/>
          <w:lang w:val="en-US" w:eastAsia="zh-CN"/>
        </w:rPr>
        <w:t>方面；推动绿色建筑、绿色建材、绿色施工、可再生能源建筑应用发展</w:t>
      </w:r>
      <w:r>
        <w:rPr>
          <w:rFonts w:hint="eastAsia" w:eastAsia="仿宋_GB2312"/>
          <w:color w:val="auto"/>
          <w:sz w:val="32"/>
          <w:szCs w:val="32"/>
          <w:lang w:eastAsia="zh-CN"/>
        </w:rPr>
        <w:t>等方面</w:t>
      </w:r>
      <w:r>
        <w:rPr>
          <w:rFonts w:hint="eastAsia" w:eastAsia="仿宋_GB2312"/>
          <w:color w:val="auto"/>
          <w:sz w:val="32"/>
          <w:szCs w:val="32"/>
          <w:lang w:val="en-US" w:eastAsia="zh-CN"/>
        </w:rPr>
        <w:t>；</w:t>
      </w:r>
      <w:r>
        <w:rPr>
          <w:rFonts w:hint="eastAsia" w:eastAsia="仿宋_GB2312"/>
          <w:color w:val="auto"/>
          <w:sz w:val="32"/>
          <w:szCs w:val="32"/>
          <w:lang w:eastAsia="zh-CN"/>
        </w:rPr>
        <w:t>推动全市房地产项目复工、化解房地产市场风险等方面</w:t>
      </w:r>
      <w:r>
        <w:rPr>
          <w:rFonts w:hint="eastAsia" w:eastAsia="仿宋_GB2312"/>
          <w:color w:val="auto"/>
          <w:sz w:val="32"/>
          <w:szCs w:val="32"/>
          <w:lang w:val="en-US" w:eastAsia="zh-CN"/>
        </w:rPr>
        <w:t>；</w:t>
      </w:r>
      <w:r>
        <w:rPr>
          <w:rFonts w:hint="eastAsia" w:ascii="仿宋_GB2312" w:hAnsi="仿宋_GB2312" w:eastAsia="仿宋_GB2312" w:cs="仿宋_GB2312"/>
          <w:color w:val="auto"/>
          <w:sz w:val="32"/>
          <w:szCs w:val="32"/>
          <w:highlight w:val="none"/>
          <w:lang w:val="en" w:eastAsia="zh-CN"/>
        </w:rPr>
        <w:t>居民自建房安全专项整治、</w:t>
      </w:r>
      <w:r>
        <w:rPr>
          <w:rFonts w:hint="eastAsia" w:ascii="仿宋_GB2312" w:hAnsi="仿宋_GB2312" w:eastAsia="仿宋_GB2312" w:cs="仿宋_GB2312"/>
          <w:color w:val="auto"/>
          <w:sz w:val="32"/>
          <w:szCs w:val="32"/>
          <w:highlight w:val="none"/>
          <w:lang w:val="en-US" w:eastAsia="zh-CN"/>
        </w:rPr>
        <w:t>老旧小区改造、城市管网及污水处理等海绵城市建设，以及其他住房和城乡建设方面项目支出。具体支出情况如下：</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130"/>
        <w:gridCol w:w="2131"/>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2130"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0"/>
                <w:szCs w:val="20"/>
                <w:vertAlign w:val="baseline"/>
                <w:lang w:eastAsia="zh-CN"/>
              </w:rPr>
            </w:pPr>
            <w:r>
              <w:rPr>
                <w:rFonts w:hint="eastAsia" w:ascii="仿宋_GB2312" w:hAnsi="仿宋_GB2312" w:eastAsia="仿宋_GB2312" w:cs="仿宋_GB2312"/>
                <w:sz w:val="20"/>
                <w:szCs w:val="20"/>
                <w:vertAlign w:val="baseline"/>
                <w:lang w:eastAsia="zh-CN"/>
              </w:rPr>
              <w:t>单位名称</w:t>
            </w:r>
          </w:p>
        </w:tc>
        <w:tc>
          <w:tcPr>
            <w:tcW w:w="2130"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0"/>
                <w:szCs w:val="20"/>
                <w:vertAlign w:val="baseline"/>
                <w:lang w:eastAsia="zh-CN"/>
              </w:rPr>
            </w:pPr>
            <w:r>
              <w:rPr>
                <w:rFonts w:hint="eastAsia" w:ascii="仿宋_GB2312" w:hAnsi="仿宋_GB2312" w:eastAsia="仿宋_GB2312" w:cs="仿宋_GB2312"/>
                <w:sz w:val="20"/>
                <w:szCs w:val="20"/>
                <w:vertAlign w:val="baseline"/>
                <w:lang w:eastAsia="zh-CN"/>
              </w:rPr>
              <w:t>项目名称</w:t>
            </w:r>
          </w:p>
        </w:tc>
        <w:tc>
          <w:tcPr>
            <w:tcW w:w="2131"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0"/>
                <w:szCs w:val="20"/>
                <w:vertAlign w:val="baseline"/>
                <w:lang w:eastAsia="zh-CN"/>
              </w:rPr>
            </w:pPr>
            <w:r>
              <w:rPr>
                <w:rFonts w:hint="eastAsia" w:ascii="仿宋_GB2312" w:hAnsi="仿宋_GB2312" w:eastAsia="仿宋_GB2312" w:cs="仿宋_GB2312"/>
                <w:sz w:val="20"/>
                <w:szCs w:val="20"/>
                <w:vertAlign w:val="baseline"/>
                <w:lang w:eastAsia="zh-CN"/>
              </w:rPr>
              <w:t>支出金额</w:t>
            </w:r>
          </w:p>
        </w:tc>
        <w:tc>
          <w:tcPr>
            <w:tcW w:w="2131"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0"/>
                <w:szCs w:val="20"/>
                <w:vertAlign w:val="baseline"/>
                <w:lang w:eastAsia="zh-CN"/>
              </w:rPr>
            </w:pPr>
            <w:r>
              <w:rPr>
                <w:rFonts w:hint="eastAsia" w:ascii="仿宋_GB2312" w:hAnsi="仿宋_GB2312" w:eastAsia="仿宋_GB2312" w:cs="仿宋_GB2312"/>
                <w:sz w:val="20"/>
                <w:szCs w:val="20"/>
                <w:vertAlign w:val="baseline"/>
                <w:lang w:eastAsia="zh-CN"/>
              </w:rPr>
              <w:t>备</w:t>
            </w:r>
            <w:r>
              <w:rPr>
                <w:rFonts w:hint="eastAsia" w:ascii="仿宋_GB2312" w:hAnsi="仿宋_GB2312" w:eastAsia="仿宋_GB2312" w:cs="仿宋_GB2312"/>
                <w:sz w:val="20"/>
                <w:szCs w:val="20"/>
                <w:vertAlign w:val="baseline"/>
                <w:lang w:val="en-US" w:eastAsia="zh-CN"/>
              </w:rPr>
              <w:t xml:space="preserve">   </w:t>
            </w:r>
            <w:r>
              <w:rPr>
                <w:rFonts w:hint="eastAsia" w:ascii="仿宋_GB2312" w:hAnsi="仿宋_GB2312" w:eastAsia="仿宋_GB2312" w:cs="仿宋_GB2312"/>
                <w:sz w:val="20"/>
                <w:szCs w:val="20"/>
                <w:vertAlign w:val="baseline"/>
                <w:lang w:eastAsia="zh-CN"/>
              </w:rPr>
              <w:t>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noWrap w:val="0"/>
            <w:vAlign w:val="center"/>
          </w:tcPr>
          <w:p>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sz w:val="20"/>
                <w:szCs w:val="20"/>
                <w:vertAlign w:val="baseline"/>
              </w:rPr>
            </w:pPr>
            <w:r>
              <w:rPr>
                <w:rFonts w:hint="eastAsia" w:ascii="仿宋_GB2312" w:hAnsi="仿宋_GB2312" w:eastAsia="仿宋_GB2312" w:cs="仿宋_GB2312"/>
                <w:color w:val="000000"/>
                <w:sz w:val="20"/>
                <w:szCs w:val="20"/>
                <w:highlight w:val="none"/>
              </w:rPr>
              <w:t>岳阳市住房和城乡建设局</w:t>
            </w:r>
            <w:r>
              <w:rPr>
                <w:rFonts w:hint="eastAsia" w:ascii="仿宋_GB2312" w:hAnsi="仿宋_GB2312" w:eastAsia="仿宋_GB2312" w:cs="仿宋_GB2312"/>
                <w:color w:val="000000"/>
                <w:sz w:val="20"/>
                <w:szCs w:val="20"/>
                <w:highlight w:val="none"/>
                <w:lang w:val="en-US" w:eastAsia="zh-CN"/>
              </w:rPr>
              <w:t>本级</w:t>
            </w:r>
          </w:p>
        </w:tc>
        <w:tc>
          <w:tcPr>
            <w:tcW w:w="2130" w:type="dxa"/>
            <w:noWrap w:val="0"/>
            <w:vAlign w:val="center"/>
          </w:tcPr>
          <w:p>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sz w:val="20"/>
                <w:szCs w:val="20"/>
                <w:vertAlign w:val="baseline"/>
              </w:rPr>
            </w:pPr>
            <w:r>
              <w:rPr>
                <w:rFonts w:hint="eastAsia" w:ascii="仿宋_GB2312" w:hAnsi="仿宋_GB2312" w:eastAsia="仿宋_GB2312" w:cs="仿宋_GB2312"/>
                <w:sz w:val="20"/>
                <w:szCs w:val="20"/>
                <w:highlight w:val="none"/>
              </w:rPr>
              <w:t>城乡建设事务管理经费</w:t>
            </w:r>
          </w:p>
        </w:tc>
        <w:tc>
          <w:tcPr>
            <w:tcW w:w="2131"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0"/>
                <w:szCs w:val="20"/>
                <w:vertAlign w:val="baseline"/>
              </w:rPr>
            </w:pPr>
            <w:r>
              <w:rPr>
                <w:rFonts w:hint="eastAsia" w:ascii="仿宋_GB2312" w:hAnsi="仿宋_GB2312" w:eastAsia="仿宋_GB2312" w:cs="仿宋_GB2312"/>
                <w:sz w:val="20"/>
                <w:szCs w:val="20"/>
                <w:highlight w:val="none"/>
                <w:lang w:val="en-US" w:eastAsia="zh-CN"/>
              </w:rPr>
              <w:t>419.77</w:t>
            </w:r>
          </w:p>
        </w:tc>
        <w:tc>
          <w:tcPr>
            <w:tcW w:w="2131" w:type="dxa"/>
            <w:noWrap w:val="0"/>
            <w:vAlign w:val="top"/>
          </w:tcPr>
          <w:p>
            <w:pPr>
              <w:keepNext w:val="0"/>
              <w:keepLines w:val="0"/>
              <w:pageBreakBefore w:val="0"/>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sz w:val="20"/>
                <w:szCs w:val="20"/>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noWrap w:val="0"/>
            <w:vAlign w:val="center"/>
          </w:tcPr>
          <w:p>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sz w:val="20"/>
                <w:szCs w:val="20"/>
                <w:vertAlign w:val="baseline"/>
              </w:rPr>
            </w:pPr>
            <w:r>
              <w:rPr>
                <w:rFonts w:hint="eastAsia" w:ascii="仿宋_GB2312" w:hAnsi="仿宋_GB2312" w:eastAsia="仿宋_GB2312" w:cs="仿宋_GB2312"/>
                <w:color w:val="000000"/>
                <w:sz w:val="20"/>
                <w:szCs w:val="20"/>
                <w:highlight w:val="none"/>
              </w:rPr>
              <w:t>岳阳市住房和城乡建设局</w:t>
            </w:r>
            <w:r>
              <w:rPr>
                <w:rFonts w:hint="eastAsia" w:ascii="仿宋_GB2312" w:hAnsi="仿宋_GB2312" w:eastAsia="仿宋_GB2312" w:cs="仿宋_GB2312"/>
                <w:color w:val="000000"/>
                <w:sz w:val="20"/>
                <w:szCs w:val="20"/>
                <w:highlight w:val="none"/>
                <w:lang w:val="en-US" w:eastAsia="zh-CN"/>
              </w:rPr>
              <w:t>本级</w:t>
            </w:r>
          </w:p>
        </w:tc>
        <w:tc>
          <w:tcPr>
            <w:tcW w:w="2130" w:type="dxa"/>
            <w:noWrap w:val="0"/>
            <w:vAlign w:val="center"/>
          </w:tcPr>
          <w:p>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sz w:val="20"/>
                <w:szCs w:val="20"/>
                <w:vertAlign w:val="baseline"/>
              </w:rPr>
            </w:pPr>
            <w:r>
              <w:rPr>
                <w:rFonts w:hint="eastAsia" w:ascii="仿宋_GB2312" w:hAnsi="仿宋_GB2312" w:eastAsia="仿宋_GB2312" w:cs="仿宋_GB2312"/>
                <w:sz w:val="20"/>
                <w:szCs w:val="20"/>
                <w:highlight w:val="none"/>
              </w:rPr>
              <w:t>施工图审查经费</w:t>
            </w:r>
          </w:p>
        </w:tc>
        <w:tc>
          <w:tcPr>
            <w:tcW w:w="2131"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0"/>
                <w:szCs w:val="20"/>
                <w:vertAlign w:val="baseline"/>
              </w:rPr>
            </w:pPr>
            <w:r>
              <w:rPr>
                <w:rFonts w:hint="eastAsia" w:ascii="仿宋_GB2312" w:hAnsi="仿宋_GB2312" w:eastAsia="仿宋_GB2312" w:cs="仿宋_GB2312"/>
                <w:sz w:val="20"/>
                <w:szCs w:val="20"/>
                <w:highlight w:val="none"/>
                <w:lang w:val="en-US" w:eastAsia="zh-CN"/>
              </w:rPr>
              <w:t>299.77</w:t>
            </w:r>
          </w:p>
        </w:tc>
        <w:tc>
          <w:tcPr>
            <w:tcW w:w="2131" w:type="dxa"/>
            <w:noWrap w:val="0"/>
            <w:vAlign w:val="top"/>
          </w:tcPr>
          <w:p>
            <w:pPr>
              <w:keepNext w:val="0"/>
              <w:keepLines w:val="0"/>
              <w:pageBreakBefore w:val="0"/>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sz w:val="20"/>
                <w:szCs w:val="20"/>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noWrap w:val="0"/>
            <w:vAlign w:val="center"/>
          </w:tcPr>
          <w:p>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sz w:val="20"/>
                <w:szCs w:val="20"/>
                <w:vertAlign w:val="baseline"/>
              </w:rPr>
            </w:pPr>
            <w:r>
              <w:rPr>
                <w:rFonts w:hint="eastAsia" w:ascii="仿宋_GB2312" w:hAnsi="仿宋_GB2312" w:eastAsia="仿宋_GB2312" w:cs="仿宋_GB2312"/>
                <w:color w:val="000000"/>
                <w:sz w:val="20"/>
                <w:szCs w:val="20"/>
                <w:highlight w:val="none"/>
              </w:rPr>
              <w:t>岳阳市住房和城乡建设局</w:t>
            </w:r>
            <w:r>
              <w:rPr>
                <w:rFonts w:hint="eastAsia" w:ascii="仿宋_GB2312" w:hAnsi="仿宋_GB2312" w:eastAsia="仿宋_GB2312" w:cs="仿宋_GB2312"/>
                <w:color w:val="000000"/>
                <w:sz w:val="20"/>
                <w:szCs w:val="20"/>
                <w:highlight w:val="none"/>
                <w:lang w:val="en-US" w:eastAsia="zh-CN"/>
              </w:rPr>
              <w:t>本级</w:t>
            </w:r>
          </w:p>
        </w:tc>
        <w:tc>
          <w:tcPr>
            <w:tcW w:w="2130" w:type="dxa"/>
            <w:noWrap w:val="0"/>
            <w:vAlign w:val="center"/>
          </w:tcPr>
          <w:p>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sz w:val="20"/>
                <w:szCs w:val="20"/>
                <w:vertAlign w:val="baseline"/>
              </w:rPr>
            </w:pPr>
            <w:r>
              <w:rPr>
                <w:rFonts w:hint="eastAsia" w:ascii="仿宋_GB2312" w:hAnsi="仿宋_GB2312" w:eastAsia="仿宋_GB2312" w:cs="仿宋_GB2312"/>
                <w:sz w:val="20"/>
                <w:szCs w:val="20"/>
                <w:highlight w:val="none"/>
                <w:lang w:val="en-US" w:eastAsia="zh-CN"/>
              </w:rPr>
              <w:t>可再生能源、绿色建筑产业发展配套资金</w:t>
            </w:r>
          </w:p>
        </w:tc>
        <w:tc>
          <w:tcPr>
            <w:tcW w:w="2131"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0"/>
                <w:szCs w:val="20"/>
                <w:vertAlign w:val="baseline"/>
              </w:rPr>
            </w:pPr>
            <w:r>
              <w:rPr>
                <w:rFonts w:hint="eastAsia" w:ascii="仿宋_GB2312" w:hAnsi="仿宋_GB2312" w:eastAsia="仿宋_GB2312" w:cs="仿宋_GB2312"/>
                <w:sz w:val="20"/>
                <w:szCs w:val="20"/>
                <w:highlight w:val="none"/>
                <w:lang w:val="en"/>
              </w:rPr>
              <w:t>29.58</w:t>
            </w:r>
          </w:p>
        </w:tc>
        <w:tc>
          <w:tcPr>
            <w:tcW w:w="2131" w:type="dxa"/>
            <w:noWrap w:val="0"/>
            <w:vAlign w:val="top"/>
          </w:tcPr>
          <w:p>
            <w:pPr>
              <w:keepNext w:val="0"/>
              <w:keepLines w:val="0"/>
              <w:pageBreakBefore w:val="0"/>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sz w:val="20"/>
                <w:szCs w:val="20"/>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noWrap w:val="0"/>
            <w:vAlign w:val="center"/>
          </w:tcPr>
          <w:p>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sz w:val="20"/>
                <w:szCs w:val="20"/>
                <w:vertAlign w:val="baseline"/>
              </w:rPr>
            </w:pPr>
            <w:r>
              <w:rPr>
                <w:rFonts w:hint="eastAsia" w:ascii="仿宋_GB2312" w:hAnsi="仿宋_GB2312" w:eastAsia="仿宋_GB2312" w:cs="仿宋_GB2312"/>
                <w:color w:val="000000"/>
                <w:sz w:val="20"/>
                <w:szCs w:val="20"/>
                <w:highlight w:val="none"/>
              </w:rPr>
              <w:t>岳阳市住房和城乡建设局</w:t>
            </w:r>
            <w:r>
              <w:rPr>
                <w:rFonts w:hint="eastAsia" w:ascii="仿宋_GB2312" w:hAnsi="仿宋_GB2312" w:eastAsia="仿宋_GB2312" w:cs="仿宋_GB2312"/>
                <w:color w:val="000000"/>
                <w:sz w:val="20"/>
                <w:szCs w:val="20"/>
                <w:highlight w:val="none"/>
                <w:lang w:val="en-US" w:eastAsia="zh-CN"/>
              </w:rPr>
              <w:t>本级</w:t>
            </w:r>
          </w:p>
        </w:tc>
        <w:tc>
          <w:tcPr>
            <w:tcW w:w="2130" w:type="dxa"/>
            <w:noWrap w:val="0"/>
            <w:vAlign w:val="center"/>
          </w:tcPr>
          <w:p>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sz w:val="20"/>
                <w:szCs w:val="20"/>
                <w:vertAlign w:val="baseline"/>
              </w:rPr>
            </w:pPr>
            <w:r>
              <w:rPr>
                <w:rFonts w:hint="eastAsia" w:ascii="仿宋_GB2312" w:hAnsi="仿宋_GB2312" w:eastAsia="仿宋_GB2312" w:cs="仿宋_GB2312"/>
                <w:sz w:val="20"/>
                <w:szCs w:val="20"/>
                <w:highlight w:val="none"/>
              </w:rPr>
              <w:t>采石场及砂石公司专项补助</w:t>
            </w:r>
          </w:p>
        </w:tc>
        <w:tc>
          <w:tcPr>
            <w:tcW w:w="2131"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0"/>
                <w:szCs w:val="20"/>
                <w:vertAlign w:val="baseline"/>
              </w:rPr>
            </w:pPr>
            <w:r>
              <w:rPr>
                <w:rFonts w:hint="eastAsia" w:ascii="仿宋_GB2312" w:hAnsi="仿宋_GB2312" w:eastAsia="仿宋_GB2312" w:cs="仿宋_GB2312"/>
                <w:sz w:val="20"/>
                <w:szCs w:val="20"/>
                <w:highlight w:val="none"/>
                <w:lang w:val="en"/>
              </w:rPr>
              <w:t>12.60</w:t>
            </w:r>
          </w:p>
        </w:tc>
        <w:tc>
          <w:tcPr>
            <w:tcW w:w="2131" w:type="dxa"/>
            <w:noWrap w:val="0"/>
            <w:vAlign w:val="top"/>
          </w:tcPr>
          <w:p>
            <w:pPr>
              <w:keepNext w:val="0"/>
              <w:keepLines w:val="0"/>
              <w:pageBreakBefore w:val="0"/>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sz w:val="20"/>
                <w:szCs w:val="20"/>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noWrap w:val="0"/>
            <w:vAlign w:val="center"/>
          </w:tcPr>
          <w:p>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sz w:val="20"/>
                <w:szCs w:val="20"/>
                <w:vertAlign w:val="baseline"/>
              </w:rPr>
            </w:pPr>
            <w:r>
              <w:rPr>
                <w:rFonts w:hint="eastAsia" w:ascii="仿宋_GB2312" w:hAnsi="仿宋_GB2312" w:eastAsia="仿宋_GB2312" w:cs="仿宋_GB2312"/>
                <w:color w:val="000000"/>
                <w:sz w:val="20"/>
                <w:szCs w:val="20"/>
                <w:highlight w:val="none"/>
              </w:rPr>
              <w:t>岳阳市住房和城乡建设局</w:t>
            </w:r>
            <w:r>
              <w:rPr>
                <w:rFonts w:hint="eastAsia" w:ascii="仿宋_GB2312" w:hAnsi="仿宋_GB2312" w:eastAsia="仿宋_GB2312" w:cs="仿宋_GB2312"/>
                <w:color w:val="000000"/>
                <w:sz w:val="20"/>
                <w:szCs w:val="20"/>
                <w:highlight w:val="none"/>
                <w:lang w:val="en-US" w:eastAsia="zh-CN"/>
              </w:rPr>
              <w:t>本级</w:t>
            </w:r>
          </w:p>
        </w:tc>
        <w:tc>
          <w:tcPr>
            <w:tcW w:w="2130" w:type="dxa"/>
            <w:noWrap w:val="0"/>
            <w:vAlign w:val="center"/>
          </w:tcPr>
          <w:p>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sz w:val="20"/>
                <w:szCs w:val="20"/>
                <w:vertAlign w:val="baseline"/>
              </w:rPr>
            </w:pPr>
            <w:r>
              <w:rPr>
                <w:rFonts w:hint="eastAsia" w:ascii="仿宋_GB2312" w:hAnsi="仿宋_GB2312" w:eastAsia="仿宋_GB2312" w:cs="仿宋_GB2312"/>
                <w:sz w:val="20"/>
                <w:szCs w:val="20"/>
                <w:highlight w:val="none"/>
              </w:rPr>
              <w:t>防范化解房地产项目风险工作经费</w:t>
            </w:r>
          </w:p>
        </w:tc>
        <w:tc>
          <w:tcPr>
            <w:tcW w:w="2131"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0"/>
                <w:szCs w:val="20"/>
                <w:vertAlign w:val="baseline"/>
              </w:rPr>
            </w:pPr>
            <w:r>
              <w:rPr>
                <w:rFonts w:hint="eastAsia" w:ascii="仿宋_GB2312" w:hAnsi="仿宋_GB2312" w:eastAsia="仿宋_GB2312" w:cs="仿宋_GB2312"/>
                <w:sz w:val="20"/>
                <w:szCs w:val="20"/>
                <w:highlight w:val="none"/>
                <w:lang w:val="en"/>
              </w:rPr>
              <w:t>21.04</w:t>
            </w:r>
          </w:p>
        </w:tc>
        <w:tc>
          <w:tcPr>
            <w:tcW w:w="2131" w:type="dxa"/>
            <w:noWrap w:val="0"/>
            <w:vAlign w:val="top"/>
          </w:tcPr>
          <w:p>
            <w:pPr>
              <w:keepNext w:val="0"/>
              <w:keepLines w:val="0"/>
              <w:pageBreakBefore w:val="0"/>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sz w:val="20"/>
                <w:szCs w:val="20"/>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sz w:val="20"/>
                <w:szCs w:val="20"/>
                <w:vertAlign w:val="baseline"/>
              </w:rPr>
            </w:pPr>
            <w:r>
              <w:rPr>
                <w:rFonts w:hint="eastAsia" w:ascii="仿宋_GB2312" w:hAnsi="仿宋_GB2312" w:eastAsia="仿宋_GB2312" w:cs="仿宋_GB2312"/>
                <w:color w:val="000000"/>
                <w:sz w:val="20"/>
                <w:szCs w:val="20"/>
                <w:highlight w:val="none"/>
              </w:rPr>
              <w:t>岳阳市住房和城乡建设局</w:t>
            </w:r>
            <w:r>
              <w:rPr>
                <w:rFonts w:hint="eastAsia" w:ascii="仿宋_GB2312" w:hAnsi="仿宋_GB2312" w:eastAsia="仿宋_GB2312" w:cs="仿宋_GB2312"/>
                <w:color w:val="000000"/>
                <w:sz w:val="20"/>
                <w:szCs w:val="20"/>
                <w:highlight w:val="none"/>
                <w:lang w:val="en-US" w:eastAsia="zh-CN"/>
              </w:rPr>
              <w:t>本级</w:t>
            </w:r>
          </w:p>
        </w:tc>
        <w:tc>
          <w:tcPr>
            <w:tcW w:w="2130"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sz w:val="20"/>
                <w:szCs w:val="20"/>
                <w:vertAlign w:val="baseline"/>
              </w:rPr>
            </w:pPr>
            <w:r>
              <w:rPr>
                <w:rFonts w:hint="eastAsia" w:ascii="仿宋_GB2312" w:hAnsi="仿宋_GB2312" w:eastAsia="仿宋_GB2312" w:cs="仿宋_GB2312"/>
                <w:sz w:val="20"/>
                <w:szCs w:val="20"/>
                <w:highlight w:val="none"/>
                <w:lang w:val="en" w:eastAsia="zh-CN"/>
              </w:rPr>
              <w:t>居民自建房安全专项整治工作经费</w:t>
            </w:r>
          </w:p>
        </w:tc>
        <w:tc>
          <w:tcPr>
            <w:tcW w:w="2131"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0"/>
                <w:szCs w:val="20"/>
                <w:vertAlign w:val="baseline"/>
              </w:rPr>
            </w:pPr>
            <w:r>
              <w:rPr>
                <w:rFonts w:hint="eastAsia" w:ascii="仿宋_GB2312" w:hAnsi="仿宋_GB2312" w:eastAsia="仿宋_GB2312" w:cs="仿宋_GB2312"/>
                <w:sz w:val="20"/>
                <w:szCs w:val="20"/>
                <w:highlight w:val="none"/>
                <w:lang w:val="en-US" w:eastAsia="zh-CN"/>
              </w:rPr>
              <w:t>467.17</w:t>
            </w:r>
          </w:p>
        </w:tc>
        <w:tc>
          <w:tcPr>
            <w:tcW w:w="2131" w:type="dxa"/>
            <w:noWrap w:val="0"/>
            <w:vAlign w:val="top"/>
          </w:tcPr>
          <w:p>
            <w:pPr>
              <w:keepNext w:val="0"/>
              <w:keepLines w:val="0"/>
              <w:pageBreakBefore w:val="0"/>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sz w:val="20"/>
                <w:szCs w:val="20"/>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sz w:val="20"/>
                <w:szCs w:val="20"/>
                <w:vertAlign w:val="baseline"/>
              </w:rPr>
            </w:pPr>
            <w:r>
              <w:rPr>
                <w:rFonts w:hint="eastAsia" w:ascii="仿宋_GB2312" w:hAnsi="仿宋_GB2312" w:eastAsia="仿宋_GB2312" w:cs="仿宋_GB2312"/>
                <w:color w:val="000000"/>
                <w:sz w:val="20"/>
                <w:szCs w:val="20"/>
                <w:highlight w:val="none"/>
              </w:rPr>
              <w:t>岳阳市住房和城乡建设局</w:t>
            </w:r>
            <w:r>
              <w:rPr>
                <w:rFonts w:hint="eastAsia" w:ascii="仿宋_GB2312" w:hAnsi="仿宋_GB2312" w:eastAsia="仿宋_GB2312" w:cs="仿宋_GB2312"/>
                <w:color w:val="000000"/>
                <w:sz w:val="20"/>
                <w:szCs w:val="20"/>
                <w:highlight w:val="none"/>
                <w:lang w:val="en-US" w:eastAsia="zh-CN"/>
              </w:rPr>
              <w:t>本级</w:t>
            </w:r>
          </w:p>
        </w:tc>
        <w:tc>
          <w:tcPr>
            <w:tcW w:w="2130"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sz w:val="20"/>
                <w:szCs w:val="20"/>
                <w:vertAlign w:val="baseline"/>
              </w:rPr>
            </w:pPr>
            <w:r>
              <w:rPr>
                <w:rFonts w:hint="eastAsia" w:ascii="仿宋_GB2312" w:hAnsi="仿宋_GB2312" w:eastAsia="仿宋_GB2312" w:cs="仿宋_GB2312"/>
                <w:sz w:val="20"/>
                <w:szCs w:val="20"/>
                <w:highlight w:val="none"/>
                <w:lang w:val="en-US" w:eastAsia="zh-CN"/>
              </w:rPr>
              <w:t>城市管网及污水处理补助资金</w:t>
            </w:r>
          </w:p>
        </w:tc>
        <w:tc>
          <w:tcPr>
            <w:tcW w:w="2131"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0"/>
                <w:szCs w:val="20"/>
                <w:vertAlign w:val="baseline"/>
              </w:rPr>
            </w:pPr>
            <w:r>
              <w:rPr>
                <w:rFonts w:hint="eastAsia" w:ascii="仿宋_GB2312" w:hAnsi="仿宋_GB2312" w:eastAsia="仿宋_GB2312" w:cs="仿宋_GB2312"/>
                <w:sz w:val="20"/>
                <w:szCs w:val="20"/>
                <w:highlight w:val="none"/>
                <w:lang w:val="en-US" w:eastAsia="zh-CN"/>
              </w:rPr>
              <w:t>1629.28</w:t>
            </w:r>
          </w:p>
        </w:tc>
        <w:tc>
          <w:tcPr>
            <w:tcW w:w="2131" w:type="dxa"/>
            <w:noWrap w:val="0"/>
            <w:vAlign w:val="top"/>
          </w:tcPr>
          <w:p>
            <w:pPr>
              <w:keepNext w:val="0"/>
              <w:keepLines w:val="0"/>
              <w:pageBreakBefore w:val="0"/>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sz w:val="20"/>
                <w:szCs w:val="20"/>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sz w:val="20"/>
                <w:szCs w:val="20"/>
                <w:vertAlign w:val="baseline"/>
              </w:rPr>
            </w:pPr>
            <w:r>
              <w:rPr>
                <w:rFonts w:hint="eastAsia" w:ascii="仿宋_GB2312" w:hAnsi="仿宋_GB2312" w:eastAsia="仿宋_GB2312" w:cs="仿宋_GB2312"/>
                <w:color w:val="000000"/>
                <w:sz w:val="20"/>
                <w:szCs w:val="20"/>
                <w:highlight w:val="none"/>
              </w:rPr>
              <w:t>岳阳市住房和城乡建设局</w:t>
            </w:r>
            <w:r>
              <w:rPr>
                <w:rFonts w:hint="eastAsia" w:ascii="仿宋_GB2312" w:hAnsi="仿宋_GB2312" w:eastAsia="仿宋_GB2312" w:cs="仿宋_GB2312"/>
                <w:color w:val="000000"/>
                <w:sz w:val="20"/>
                <w:szCs w:val="20"/>
                <w:highlight w:val="none"/>
                <w:lang w:val="en-US" w:eastAsia="zh-CN"/>
              </w:rPr>
              <w:t>本级</w:t>
            </w:r>
          </w:p>
        </w:tc>
        <w:tc>
          <w:tcPr>
            <w:tcW w:w="2130"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sz w:val="20"/>
                <w:szCs w:val="20"/>
                <w:vertAlign w:val="baseline"/>
              </w:rPr>
            </w:pPr>
            <w:r>
              <w:rPr>
                <w:rFonts w:hint="eastAsia" w:ascii="仿宋_GB2312" w:hAnsi="仿宋_GB2312" w:eastAsia="仿宋_GB2312" w:cs="仿宋_GB2312"/>
                <w:sz w:val="20"/>
                <w:szCs w:val="20"/>
                <w:highlight w:val="none"/>
                <w:lang w:val="en-US" w:eastAsia="zh-CN"/>
              </w:rPr>
              <w:t>住房城乡建设引导专项资金</w:t>
            </w:r>
          </w:p>
        </w:tc>
        <w:tc>
          <w:tcPr>
            <w:tcW w:w="2131"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0"/>
                <w:szCs w:val="20"/>
                <w:vertAlign w:val="baseline"/>
              </w:rPr>
            </w:pPr>
            <w:r>
              <w:rPr>
                <w:rFonts w:hint="eastAsia" w:ascii="仿宋_GB2312" w:hAnsi="仿宋_GB2312" w:eastAsia="仿宋_GB2312" w:cs="仿宋_GB2312"/>
                <w:sz w:val="20"/>
                <w:szCs w:val="20"/>
                <w:highlight w:val="none"/>
                <w:lang w:val="en-US" w:eastAsia="zh-CN"/>
              </w:rPr>
              <w:t>95.06</w:t>
            </w:r>
          </w:p>
        </w:tc>
        <w:tc>
          <w:tcPr>
            <w:tcW w:w="2131" w:type="dxa"/>
            <w:noWrap w:val="0"/>
            <w:vAlign w:val="top"/>
          </w:tcPr>
          <w:p>
            <w:pPr>
              <w:keepNext w:val="0"/>
              <w:keepLines w:val="0"/>
              <w:pageBreakBefore w:val="0"/>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sz w:val="20"/>
                <w:szCs w:val="20"/>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sz w:val="20"/>
                <w:szCs w:val="20"/>
                <w:vertAlign w:val="baseline"/>
              </w:rPr>
            </w:pPr>
            <w:r>
              <w:rPr>
                <w:rFonts w:hint="eastAsia" w:ascii="仿宋_GB2312" w:hAnsi="仿宋_GB2312" w:eastAsia="仿宋_GB2312" w:cs="仿宋_GB2312"/>
                <w:color w:val="000000"/>
                <w:sz w:val="20"/>
                <w:szCs w:val="20"/>
                <w:highlight w:val="none"/>
              </w:rPr>
              <w:t>岳阳市住房和城乡建设局</w:t>
            </w:r>
            <w:r>
              <w:rPr>
                <w:rFonts w:hint="eastAsia" w:ascii="仿宋_GB2312" w:hAnsi="仿宋_GB2312" w:eastAsia="仿宋_GB2312" w:cs="仿宋_GB2312"/>
                <w:color w:val="000000"/>
                <w:sz w:val="20"/>
                <w:szCs w:val="20"/>
                <w:highlight w:val="none"/>
                <w:lang w:val="en-US" w:eastAsia="zh-CN"/>
              </w:rPr>
              <w:t>本级</w:t>
            </w:r>
          </w:p>
        </w:tc>
        <w:tc>
          <w:tcPr>
            <w:tcW w:w="2130"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sz w:val="20"/>
                <w:szCs w:val="20"/>
                <w:vertAlign w:val="baseline"/>
              </w:rPr>
            </w:pPr>
            <w:r>
              <w:rPr>
                <w:rFonts w:hint="eastAsia" w:ascii="仿宋_GB2312" w:hAnsi="仿宋_GB2312" w:eastAsia="仿宋_GB2312" w:cs="仿宋_GB2312"/>
                <w:sz w:val="20"/>
                <w:szCs w:val="20"/>
                <w:highlight w:val="none"/>
                <w:lang w:val="en-US" w:eastAsia="zh-CN"/>
              </w:rPr>
              <w:t>四中人行天桥EPC建设项目</w:t>
            </w:r>
          </w:p>
        </w:tc>
        <w:tc>
          <w:tcPr>
            <w:tcW w:w="2131"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0"/>
                <w:szCs w:val="20"/>
                <w:vertAlign w:val="baseline"/>
              </w:rPr>
            </w:pPr>
            <w:r>
              <w:rPr>
                <w:rFonts w:hint="eastAsia" w:ascii="仿宋_GB2312" w:hAnsi="仿宋_GB2312" w:eastAsia="仿宋_GB2312" w:cs="仿宋_GB2312"/>
                <w:sz w:val="20"/>
                <w:szCs w:val="20"/>
                <w:highlight w:val="none"/>
                <w:lang w:val="en-US" w:eastAsia="zh-CN"/>
              </w:rPr>
              <w:t>5.64</w:t>
            </w:r>
          </w:p>
        </w:tc>
        <w:tc>
          <w:tcPr>
            <w:tcW w:w="2131" w:type="dxa"/>
            <w:noWrap w:val="0"/>
            <w:vAlign w:val="top"/>
          </w:tcPr>
          <w:p>
            <w:pPr>
              <w:keepNext w:val="0"/>
              <w:keepLines w:val="0"/>
              <w:pageBreakBefore w:val="0"/>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sz w:val="20"/>
                <w:szCs w:val="20"/>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sz w:val="20"/>
                <w:szCs w:val="20"/>
                <w:vertAlign w:val="baseline"/>
              </w:rPr>
            </w:pPr>
            <w:r>
              <w:rPr>
                <w:rFonts w:hint="eastAsia" w:ascii="仿宋_GB2312" w:hAnsi="仿宋_GB2312" w:eastAsia="仿宋_GB2312" w:cs="仿宋_GB2312"/>
                <w:color w:val="000000"/>
                <w:sz w:val="20"/>
                <w:szCs w:val="20"/>
                <w:highlight w:val="none"/>
              </w:rPr>
              <w:t>岳阳市住房和城乡建设局</w:t>
            </w:r>
            <w:r>
              <w:rPr>
                <w:rFonts w:hint="eastAsia" w:ascii="仿宋_GB2312" w:hAnsi="仿宋_GB2312" w:eastAsia="仿宋_GB2312" w:cs="仿宋_GB2312"/>
                <w:color w:val="000000"/>
                <w:sz w:val="20"/>
                <w:szCs w:val="20"/>
                <w:highlight w:val="none"/>
                <w:lang w:val="en-US" w:eastAsia="zh-CN"/>
              </w:rPr>
              <w:t>本级</w:t>
            </w:r>
          </w:p>
        </w:tc>
        <w:tc>
          <w:tcPr>
            <w:tcW w:w="2130"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sz w:val="20"/>
                <w:szCs w:val="20"/>
                <w:vertAlign w:val="baseline"/>
              </w:rPr>
            </w:pPr>
            <w:r>
              <w:rPr>
                <w:rFonts w:hint="eastAsia" w:ascii="仿宋_GB2312" w:hAnsi="仿宋_GB2312" w:eastAsia="仿宋_GB2312" w:cs="仿宋_GB2312"/>
                <w:sz w:val="20"/>
                <w:szCs w:val="20"/>
                <w:highlight w:val="none"/>
                <w:lang w:val="en-US" w:eastAsia="zh-CN"/>
              </w:rPr>
              <w:t>历史文化名城保护经费</w:t>
            </w:r>
          </w:p>
        </w:tc>
        <w:tc>
          <w:tcPr>
            <w:tcW w:w="2131"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0"/>
                <w:szCs w:val="20"/>
                <w:vertAlign w:val="baseline"/>
              </w:rPr>
            </w:pPr>
            <w:r>
              <w:rPr>
                <w:rFonts w:hint="eastAsia" w:ascii="仿宋_GB2312" w:hAnsi="仿宋_GB2312" w:eastAsia="仿宋_GB2312" w:cs="仿宋_GB2312"/>
                <w:sz w:val="20"/>
                <w:szCs w:val="20"/>
                <w:highlight w:val="none"/>
                <w:lang w:val="en-US" w:eastAsia="zh-CN"/>
              </w:rPr>
              <w:t>68.43</w:t>
            </w:r>
          </w:p>
        </w:tc>
        <w:tc>
          <w:tcPr>
            <w:tcW w:w="2131" w:type="dxa"/>
            <w:noWrap w:val="0"/>
            <w:vAlign w:val="top"/>
          </w:tcPr>
          <w:p>
            <w:pPr>
              <w:keepNext w:val="0"/>
              <w:keepLines w:val="0"/>
              <w:pageBreakBefore w:val="0"/>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sz w:val="20"/>
                <w:szCs w:val="20"/>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sz w:val="20"/>
                <w:szCs w:val="20"/>
                <w:vertAlign w:val="baseline"/>
              </w:rPr>
            </w:pPr>
            <w:r>
              <w:rPr>
                <w:rFonts w:hint="eastAsia" w:ascii="仿宋_GB2312" w:hAnsi="仿宋_GB2312" w:eastAsia="仿宋_GB2312" w:cs="仿宋_GB2312"/>
                <w:color w:val="000000"/>
                <w:sz w:val="20"/>
                <w:szCs w:val="20"/>
                <w:highlight w:val="none"/>
                <w:lang w:val="en-US" w:eastAsia="zh-CN"/>
              </w:rPr>
              <w:t>岳阳市城市建设档案馆</w:t>
            </w:r>
          </w:p>
        </w:tc>
        <w:tc>
          <w:tcPr>
            <w:tcW w:w="2130"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sz w:val="20"/>
                <w:szCs w:val="20"/>
                <w:vertAlign w:val="baseline"/>
              </w:rPr>
            </w:pPr>
            <w:r>
              <w:rPr>
                <w:rFonts w:hint="eastAsia" w:ascii="仿宋_GB2312" w:hAnsi="仿宋_GB2312" w:eastAsia="仿宋_GB2312" w:cs="仿宋_GB2312"/>
                <w:color w:val="000000"/>
                <w:sz w:val="20"/>
                <w:szCs w:val="20"/>
                <w:highlight w:val="none"/>
                <w:lang w:val="en-US" w:eastAsia="zh-CN"/>
              </w:rPr>
              <w:t>建设档案事务管理经费</w:t>
            </w:r>
          </w:p>
        </w:tc>
        <w:tc>
          <w:tcPr>
            <w:tcW w:w="2131"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0"/>
                <w:szCs w:val="20"/>
                <w:vertAlign w:val="baseline"/>
              </w:rPr>
            </w:pPr>
            <w:r>
              <w:rPr>
                <w:rFonts w:hint="eastAsia" w:ascii="仿宋_GB2312" w:hAnsi="仿宋_GB2312" w:eastAsia="仿宋_GB2312" w:cs="仿宋_GB2312"/>
                <w:color w:val="000000"/>
                <w:sz w:val="20"/>
                <w:szCs w:val="20"/>
                <w:highlight w:val="none"/>
                <w:lang w:val="en-US" w:eastAsia="zh-CN"/>
              </w:rPr>
              <w:t>89.86</w:t>
            </w:r>
          </w:p>
        </w:tc>
        <w:tc>
          <w:tcPr>
            <w:tcW w:w="2131" w:type="dxa"/>
            <w:noWrap w:val="0"/>
            <w:vAlign w:val="top"/>
          </w:tcPr>
          <w:p>
            <w:pPr>
              <w:keepNext w:val="0"/>
              <w:keepLines w:val="0"/>
              <w:pageBreakBefore w:val="0"/>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sz w:val="20"/>
                <w:szCs w:val="20"/>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sz w:val="20"/>
                <w:szCs w:val="20"/>
                <w:vertAlign w:val="baseline"/>
              </w:rPr>
            </w:pPr>
            <w:r>
              <w:rPr>
                <w:rFonts w:hint="eastAsia" w:ascii="仿宋_GB2312" w:hAnsi="仿宋_GB2312" w:eastAsia="仿宋_GB2312" w:cs="仿宋_GB2312"/>
                <w:color w:val="000000"/>
                <w:sz w:val="20"/>
                <w:szCs w:val="20"/>
                <w:highlight w:val="none"/>
                <w:lang w:val="en-US" w:eastAsia="zh-CN"/>
              </w:rPr>
              <w:t>岳阳市城市建设档案馆</w:t>
            </w:r>
          </w:p>
        </w:tc>
        <w:tc>
          <w:tcPr>
            <w:tcW w:w="2130"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sz w:val="20"/>
                <w:szCs w:val="20"/>
                <w:vertAlign w:val="baseline"/>
              </w:rPr>
            </w:pPr>
            <w:r>
              <w:rPr>
                <w:rFonts w:hint="eastAsia" w:ascii="仿宋_GB2312" w:hAnsi="仿宋_GB2312" w:eastAsia="仿宋_GB2312" w:cs="仿宋_GB2312"/>
                <w:color w:val="000000"/>
                <w:sz w:val="20"/>
                <w:szCs w:val="20"/>
                <w:highlight w:val="none"/>
                <w:lang w:val="en-US" w:eastAsia="zh-CN"/>
              </w:rPr>
              <w:t>城市管网及污水处理补助</w:t>
            </w:r>
          </w:p>
        </w:tc>
        <w:tc>
          <w:tcPr>
            <w:tcW w:w="2131"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0"/>
                <w:szCs w:val="20"/>
                <w:vertAlign w:val="baseline"/>
              </w:rPr>
            </w:pPr>
            <w:r>
              <w:rPr>
                <w:rFonts w:hint="eastAsia" w:ascii="仿宋_GB2312" w:hAnsi="仿宋_GB2312" w:eastAsia="仿宋_GB2312" w:cs="仿宋_GB2312"/>
                <w:color w:val="000000"/>
                <w:sz w:val="20"/>
                <w:szCs w:val="20"/>
                <w:highlight w:val="none"/>
                <w:lang w:val="en-US" w:eastAsia="zh-CN"/>
              </w:rPr>
              <w:t>440.08</w:t>
            </w:r>
          </w:p>
        </w:tc>
        <w:tc>
          <w:tcPr>
            <w:tcW w:w="2131" w:type="dxa"/>
            <w:noWrap w:val="0"/>
            <w:vAlign w:val="top"/>
          </w:tcPr>
          <w:p>
            <w:pPr>
              <w:keepNext w:val="0"/>
              <w:keepLines w:val="0"/>
              <w:pageBreakBefore w:val="0"/>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sz w:val="20"/>
                <w:szCs w:val="20"/>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sz w:val="20"/>
                <w:szCs w:val="20"/>
                <w:vertAlign w:val="baseline"/>
              </w:rPr>
            </w:pPr>
            <w:r>
              <w:rPr>
                <w:rFonts w:hint="eastAsia" w:ascii="仿宋_GB2312" w:hAnsi="仿宋_GB2312" w:eastAsia="仿宋_GB2312" w:cs="仿宋_GB2312"/>
                <w:color w:val="000000"/>
                <w:sz w:val="20"/>
                <w:szCs w:val="20"/>
                <w:highlight w:val="none"/>
                <w:lang w:val="en-US" w:eastAsia="zh-CN"/>
              </w:rPr>
              <w:t>岳阳市城市建设档案馆</w:t>
            </w:r>
          </w:p>
        </w:tc>
        <w:tc>
          <w:tcPr>
            <w:tcW w:w="2130"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sz w:val="20"/>
                <w:szCs w:val="20"/>
                <w:vertAlign w:val="baseline"/>
              </w:rPr>
            </w:pPr>
            <w:r>
              <w:rPr>
                <w:rFonts w:hint="eastAsia" w:ascii="仿宋_GB2312" w:hAnsi="仿宋_GB2312" w:eastAsia="仿宋_GB2312" w:cs="仿宋_GB2312"/>
                <w:color w:val="000000"/>
                <w:sz w:val="20"/>
                <w:szCs w:val="20"/>
                <w:highlight w:val="none"/>
                <w:lang w:val="en-US" w:eastAsia="zh-CN"/>
              </w:rPr>
              <w:t>地下管线平台运行维护经费</w:t>
            </w:r>
          </w:p>
        </w:tc>
        <w:tc>
          <w:tcPr>
            <w:tcW w:w="2131"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800" w:firstLineChars="400"/>
              <w:jc w:val="both"/>
              <w:textAlignment w:val="auto"/>
              <w:rPr>
                <w:rFonts w:hint="eastAsia" w:ascii="仿宋_GB2312" w:hAnsi="仿宋_GB2312" w:eastAsia="仿宋_GB2312" w:cs="仿宋_GB2312"/>
                <w:sz w:val="20"/>
                <w:szCs w:val="20"/>
                <w:vertAlign w:val="baseline"/>
              </w:rPr>
            </w:pPr>
            <w:r>
              <w:rPr>
                <w:rFonts w:hint="eastAsia" w:ascii="仿宋_GB2312" w:hAnsi="仿宋_GB2312" w:eastAsia="仿宋_GB2312" w:cs="仿宋_GB2312"/>
                <w:color w:val="000000"/>
                <w:sz w:val="20"/>
                <w:szCs w:val="20"/>
                <w:highlight w:val="none"/>
                <w:lang w:val="en-US" w:eastAsia="zh-CN"/>
              </w:rPr>
              <w:t>61.28</w:t>
            </w:r>
          </w:p>
        </w:tc>
        <w:tc>
          <w:tcPr>
            <w:tcW w:w="2131" w:type="dxa"/>
            <w:noWrap w:val="0"/>
            <w:vAlign w:val="top"/>
          </w:tcPr>
          <w:p>
            <w:pPr>
              <w:keepNext w:val="0"/>
              <w:keepLines w:val="0"/>
              <w:pageBreakBefore w:val="0"/>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sz w:val="20"/>
                <w:szCs w:val="20"/>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sz w:val="20"/>
                <w:szCs w:val="20"/>
                <w:vertAlign w:val="baseline"/>
              </w:rPr>
            </w:pPr>
            <w:r>
              <w:rPr>
                <w:rFonts w:hint="eastAsia" w:ascii="仿宋_GB2312" w:hAnsi="仿宋_GB2312" w:eastAsia="仿宋_GB2312" w:cs="仿宋_GB2312"/>
                <w:color w:val="000000"/>
                <w:sz w:val="20"/>
                <w:szCs w:val="20"/>
              </w:rPr>
              <w:t>岳阳市城乡建设事务中心</w:t>
            </w:r>
          </w:p>
        </w:tc>
        <w:tc>
          <w:tcPr>
            <w:tcW w:w="2130"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sz w:val="20"/>
                <w:szCs w:val="20"/>
                <w:vertAlign w:val="baseline"/>
              </w:rPr>
            </w:pPr>
            <w:r>
              <w:rPr>
                <w:rFonts w:hint="eastAsia" w:ascii="仿宋_GB2312" w:hAnsi="仿宋_GB2312" w:eastAsia="仿宋_GB2312" w:cs="仿宋_GB2312"/>
                <w:sz w:val="20"/>
                <w:szCs w:val="20"/>
              </w:rPr>
              <w:t>城乡建设事务管理经费</w:t>
            </w:r>
          </w:p>
        </w:tc>
        <w:tc>
          <w:tcPr>
            <w:tcW w:w="2131"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0"/>
                <w:szCs w:val="20"/>
                <w:vertAlign w:val="baseline"/>
              </w:rPr>
            </w:pPr>
            <w:r>
              <w:rPr>
                <w:rFonts w:hint="eastAsia" w:ascii="仿宋_GB2312" w:hAnsi="仿宋_GB2312" w:eastAsia="仿宋_GB2312" w:cs="仿宋_GB2312"/>
                <w:color w:val="000000"/>
                <w:sz w:val="20"/>
                <w:szCs w:val="20"/>
              </w:rPr>
              <w:t>143.59</w:t>
            </w:r>
          </w:p>
        </w:tc>
        <w:tc>
          <w:tcPr>
            <w:tcW w:w="2131" w:type="dxa"/>
            <w:noWrap w:val="0"/>
            <w:vAlign w:val="top"/>
          </w:tcPr>
          <w:p>
            <w:pPr>
              <w:keepNext w:val="0"/>
              <w:keepLines w:val="0"/>
              <w:pageBreakBefore w:val="0"/>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sz w:val="20"/>
                <w:szCs w:val="20"/>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2130"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sz w:val="20"/>
                <w:szCs w:val="20"/>
                <w:vertAlign w:val="baseline"/>
              </w:rPr>
            </w:pPr>
            <w:r>
              <w:rPr>
                <w:rFonts w:hint="eastAsia" w:ascii="仿宋_GB2312" w:hAnsi="仿宋_GB2312" w:eastAsia="仿宋_GB2312" w:cs="仿宋_GB2312"/>
                <w:color w:val="000000"/>
                <w:sz w:val="20"/>
                <w:szCs w:val="20"/>
              </w:rPr>
              <w:t>岳阳市城乡建设事务中心</w:t>
            </w:r>
          </w:p>
        </w:tc>
        <w:tc>
          <w:tcPr>
            <w:tcW w:w="2130"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sz w:val="20"/>
                <w:szCs w:val="20"/>
                <w:vertAlign w:val="baseline"/>
              </w:rPr>
            </w:pPr>
            <w:r>
              <w:rPr>
                <w:rFonts w:hint="eastAsia" w:ascii="仿宋_GB2312" w:hAnsi="仿宋_GB2312" w:eastAsia="仿宋_GB2312" w:cs="仿宋_GB2312"/>
                <w:sz w:val="20"/>
                <w:szCs w:val="20"/>
              </w:rPr>
              <w:t>2022年非税收入结转</w:t>
            </w:r>
          </w:p>
        </w:tc>
        <w:tc>
          <w:tcPr>
            <w:tcW w:w="2131"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0"/>
                <w:szCs w:val="20"/>
                <w:vertAlign w:val="baseline"/>
              </w:rPr>
            </w:pPr>
            <w:r>
              <w:rPr>
                <w:rFonts w:hint="eastAsia" w:ascii="仿宋_GB2312" w:hAnsi="仿宋_GB2312" w:eastAsia="仿宋_GB2312" w:cs="仿宋_GB2312"/>
                <w:sz w:val="20"/>
                <w:szCs w:val="20"/>
              </w:rPr>
              <w:t>42.18</w:t>
            </w:r>
          </w:p>
        </w:tc>
        <w:tc>
          <w:tcPr>
            <w:tcW w:w="2131" w:type="dxa"/>
            <w:noWrap w:val="0"/>
            <w:vAlign w:val="top"/>
          </w:tcPr>
          <w:p>
            <w:pPr>
              <w:keepNext w:val="0"/>
              <w:keepLines w:val="0"/>
              <w:pageBreakBefore w:val="0"/>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sz w:val="20"/>
                <w:szCs w:val="20"/>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trPr>
        <w:tc>
          <w:tcPr>
            <w:tcW w:w="2130"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sz w:val="20"/>
                <w:szCs w:val="20"/>
                <w:vertAlign w:val="baseline"/>
              </w:rPr>
            </w:pPr>
            <w:r>
              <w:rPr>
                <w:rFonts w:hint="eastAsia" w:ascii="仿宋_GB2312" w:hAnsi="仿宋_GB2312" w:eastAsia="仿宋_GB2312" w:cs="仿宋_GB2312"/>
                <w:color w:val="000000"/>
                <w:sz w:val="20"/>
                <w:szCs w:val="20"/>
              </w:rPr>
              <w:t>岳阳市城乡建设事务中心</w:t>
            </w:r>
          </w:p>
        </w:tc>
        <w:tc>
          <w:tcPr>
            <w:tcW w:w="2130"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sz w:val="20"/>
                <w:szCs w:val="20"/>
                <w:vertAlign w:val="baseline"/>
              </w:rPr>
            </w:pPr>
            <w:r>
              <w:rPr>
                <w:rFonts w:hint="eastAsia" w:ascii="仿宋_GB2312" w:hAnsi="仿宋_GB2312" w:eastAsia="仿宋_GB2312" w:cs="仿宋_GB2312"/>
                <w:sz w:val="20"/>
                <w:szCs w:val="20"/>
              </w:rPr>
              <w:t>财政补助（城市管网及污水补助资金）</w:t>
            </w:r>
          </w:p>
        </w:tc>
        <w:tc>
          <w:tcPr>
            <w:tcW w:w="2131"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0"/>
                <w:szCs w:val="20"/>
                <w:vertAlign w:val="baseline"/>
              </w:rPr>
            </w:pPr>
            <w:r>
              <w:rPr>
                <w:rFonts w:hint="eastAsia" w:ascii="仿宋_GB2312" w:hAnsi="仿宋_GB2312" w:eastAsia="仿宋_GB2312" w:cs="仿宋_GB2312"/>
                <w:sz w:val="20"/>
                <w:szCs w:val="20"/>
              </w:rPr>
              <w:t>783.97</w:t>
            </w:r>
          </w:p>
        </w:tc>
        <w:tc>
          <w:tcPr>
            <w:tcW w:w="2131" w:type="dxa"/>
            <w:noWrap w:val="0"/>
            <w:vAlign w:val="top"/>
          </w:tcPr>
          <w:p>
            <w:pPr>
              <w:keepNext w:val="0"/>
              <w:keepLines w:val="0"/>
              <w:pageBreakBefore w:val="0"/>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sz w:val="20"/>
                <w:szCs w:val="20"/>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sz w:val="20"/>
                <w:szCs w:val="20"/>
                <w:vertAlign w:val="baseline"/>
              </w:rPr>
            </w:pPr>
            <w:r>
              <w:rPr>
                <w:rFonts w:hint="eastAsia" w:ascii="仿宋_GB2312" w:hAnsi="仿宋_GB2312" w:eastAsia="仿宋_GB2312" w:cs="仿宋_GB2312"/>
                <w:color w:val="000000"/>
                <w:sz w:val="20"/>
                <w:szCs w:val="20"/>
                <w:lang w:val="en-US" w:eastAsia="zh-CN"/>
              </w:rPr>
              <w:t>岳阳市污水处理监督中心</w:t>
            </w:r>
          </w:p>
        </w:tc>
        <w:tc>
          <w:tcPr>
            <w:tcW w:w="2130"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sz w:val="20"/>
                <w:szCs w:val="20"/>
                <w:vertAlign w:val="baseline"/>
              </w:rPr>
            </w:pPr>
            <w:r>
              <w:rPr>
                <w:rFonts w:hint="eastAsia" w:ascii="仿宋_GB2312" w:hAnsi="仿宋_GB2312" w:eastAsia="仿宋_GB2312" w:cs="仿宋_GB2312"/>
                <w:sz w:val="20"/>
                <w:szCs w:val="20"/>
                <w:lang w:val="en-US" w:eastAsia="zh-CN"/>
              </w:rPr>
              <w:t>污水处理事务经费</w:t>
            </w:r>
          </w:p>
        </w:tc>
        <w:tc>
          <w:tcPr>
            <w:tcW w:w="2131"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0"/>
                <w:szCs w:val="20"/>
                <w:vertAlign w:val="baseline"/>
              </w:rPr>
            </w:pPr>
            <w:r>
              <w:rPr>
                <w:rFonts w:hint="eastAsia" w:ascii="仿宋_GB2312" w:hAnsi="仿宋_GB2312" w:eastAsia="仿宋_GB2312" w:cs="仿宋_GB2312"/>
                <w:sz w:val="20"/>
                <w:szCs w:val="20"/>
                <w:lang w:val="en-US" w:eastAsia="zh-CN"/>
              </w:rPr>
              <w:t>128.55</w:t>
            </w:r>
          </w:p>
        </w:tc>
        <w:tc>
          <w:tcPr>
            <w:tcW w:w="2131" w:type="dxa"/>
            <w:noWrap w:val="0"/>
            <w:vAlign w:val="top"/>
          </w:tcPr>
          <w:p>
            <w:pPr>
              <w:keepNext w:val="0"/>
              <w:keepLines w:val="0"/>
              <w:pageBreakBefore w:val="0"/>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sz w:val="20"/>
                <w:szCs w:val="20"/>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sz w:val="20"/>
                <w:szCs w:val="20"/>
                <w:vertAlign w:val="baseline"/>
              </w:rPr>
            </w:pPr>
            <w:r>
              <w:rPr>
                <w:rFonts w:hint="eastAsia" w:ascii="仿宋_GB2312" w:hAnsi="仿宋_GB2312" w:eastAsia="仿宋_GB2312" w:cs="仿宋_GB2312"/>
                <w:color w:val="000000"/>
                <w:sz w:val="20"/>
                <w:szCs w:val="20"/>
                <w:lang w:val="en-US" w:eastAsia="zh-CN"/>
              </w:rPr>
              <w:t>岳阳市污水处理监督中心</w:t>
            </w:r>
          </w:p>
        </w:tc>
        <w:tc>
          <w:tcPr>
            <w:tcW w:w="2130"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sz w:val="20"/>
                <w:szCs w:val="20"/>
                <w:vertAlign w:val="baseline"/>
              </w:rPr>
            </w:pPr>
            <w:r>
              <w:rPr>
                <w:rFonts w:hint="eastAsia" w:ascii="仿宋_GB2312" w:hAnsi="仿宋_GB2312" w:eastAsia="仿宋_GB2312" w:cs="仿宋_GB2312"/>
                <w:sz w:val="20"/>
                <w:szCs w:val="20"/>
                <w:lang w:val="en-US" w:eastAsia="zh-CN"/>
              </w:rPr>
              <w:t>城市管网及污水处理补助（污水处理监督系统）</w:t>
            </w:r>
          </w:p>
        </w:tc>
        <w:tc>
          <w:tcPr>
            <w:tcW w:w="2131"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0"/>
                <w:szCs w:val="20"/>
                <w:vertAlign w:val="baseline"/>
              </w:rPr>
            </w:pPr>
            <w:r>
              <w:rPr>
                <w:rFonts w:hint="eastAsia" w:ascii="仿宋_GB2312" w:hAnsi="仿宋_GB2312" w:eastAsia="仿宋_GB2312" w:cs="仿宋_GB2312"/>
                <w:sz w:val="20"/>
                <w:szCs w:val="20"/>
                <w:lang w:val="en-US" w:eastAsia="zh-CN"/>
              </w:rPr>
              <w:t>146.69</w:t>
            </w:r>
          </w:p>
        </w:tc>
        <w:tc>
          <w:tcPr>
            <w:tcW w:w="2131" w:type="dxa"/>
            <w:noWrap w:val="0"/>
            <w:vAlign w:val="top"/>
          </w:tcPr>
          <w:p>
            <w:pPr>
              <w:keepNext w:val="0"/>
              <w:keepLines w:val="0"/>
              <w:pageBreakBefore w:val="0"/>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sz w:val="20"/>
                <w:szCs w:val="20"/>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noWrap w:val="0"/>
            <w:vAlign w:val="center"/>
          </w:tcPr>
          <w:p>
            <w:pPr>
              <w:pStyle w:val="4"/>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left"/>
              <w:textAlignment w:val="auto"/>
              <w:rPr>
                <w:rFonts w:hint="eastAsia" w:ascii="仿宋_GB2312" w:hAnsi="仿宋_GB2312" w:eastAsia="仿宋_GB2312" w:cs="仿宋_GB2312"/>
                <w:sz w:val="20"/>
                <w:szCs w:val="20"/>
                <w:vertAlign w:val="baseline"/>
              </w:rPr>
            </w:pPr>
            <w:r>
              <w:rPr>
                <w:rFonts w:hint="eastAsia" w:ascii="仿宋_GB2312" w:hAnsi="仿宋_GB2312" w:eastAsia="仿宋_GB2312" w:cs="仿宋_GB2312"/>
                <w:color w:val="000000"/>
                <w:kern w:val="0"/>
                <w:sz w:val="20"/>
                <w:szCs w:val="20"/>
                <w:lang w:val="en-US" w:eastAsia="zh-CN" w:bidi="ar-SA"/>
              </w:rPr>
              <w:t>岳阳市住房保障服务中心</w:t>
            </w:r>
          </w:p>
        </w:tc>
        <w:tc>
          <w:tcPr>
            <w:tcW w:w="2130"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sz w:val="20"/>
                <w:szCs w:val="20"/>
                <w:vertAlign w:val="baseline"/>
              </w:rPr>
            </w:pPr>
            <w:r>
              <w:rPr>
                <w:rFonts w:hint="eastAsia" w:ascii="仿宋_GB2312" w:hAnsi="仿宋_GB2312" w:eastAsia="仿宋_GB2312" w:cs="仿宋_GB2312"/>
                <w:color w:val="000000"/>
                <w:sz w:val="20"/>
                <w:szCs w:val="20"/>
                <w:highlight w:val="none"/>
                <w:lang w:val="en-US" w:eastAsia="zh-CN"/>
              </w:rPr>
              <w:t>保障房建设资金</w:t>
            </w:r>
          </w:p>
        </w:tc>
        <w:tc>
          <w:tcPr>
            <w:tcW w:w="2131"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0"/>
                <w:szCs w:val="20"/>
                <w:vertAlign w:val="baseline"/>
              </w:rPr>
            </w:pPr>
            <w:r>
              <w:rPr>
                <w:rFonts w:hint="eastAsia" w:ascii="仿宋_GB2312" w:hAnsi="仿宋_GB2312" w:eastAsia="仿宋_GB2312" w:cs="仿宋_GB2312"/>
                <w:color w:val="auto"/>
                <w:sz w:val="20"/>
                <w:szCs w:val="20"/>
                <w:highlight w:val="none"/>
                <w:lang w:val="en-US" w:eastAsia="zh-CN"/>
              </w:rPr>
              <w:t>1500.00</w:t>
            </w:r>
          </w:p>
        </w:tc>
        <w:tc>
          <w:tcPr>
            <w:tcW w:w="2131" w:type="dxa"/>
            <w:noWrap w:val="0"/>
            <w:vAlign w:val="top"/>
          </w:tcPr>
          <w:p>
            <w:pPr>
              <w:keepNext w:val="0"/>
              <w:keepLines w:val="0"/>
              <w:pageBreakBefore w:val="0"/>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sz w:val="20"/>
                <w:szCs w:val="20"/>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sz w:val="20"/>
                <w:szCs w:val="20"/>
                <w:vertAlign w:val="baseline"/>
              </w:rPr>
            </w:pPr>
            <w:r>
              <w:rPr>
                <w:rFonts w:hint="eastAsia" w:ascii="仿宋_GB2312" w:hAnsi="仿宋_GB2312" w:eastAsia="仿宋_GB2312" w:cs="仿宋_GB2312"/>
                <w:color w:val="000000"/>
                <w:kern w:val="0"/>
                <w:sz w:val="20"/>
                <w:szCs w:val="20"/>
                <w:lang w:val="en-US" w:eastAsia="zh-CN" w:bidi="ar-SA"/>
              </w:rPr>
              <w:t>岳阳市住房保障服务中心</w:t>
            </w:r>
          </w:p>
        </w:tc>
        <w:tc>
          <w:tcPr>
            <w:tcW w:w="2130"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sz w:val="20"/>
                <w:szCs w:val="20"/>
                <w:vertAlign w:val="baseline"/>
              </w:rPr>
            </w:pPr>
            <w:r>
              <w:rPr>
                <w:rFonts w:hint="eastAsia" w:ascii="仿宋_GB2312" w:hAnsi="仿宋_GB2312" w:eastAsia="仿宋_GB2312" w:cs="仿宋_GB2312"/>
                <w:color w:val="000000"/>
                <w:sz w:val="20"/>
                <w:szCs w:val="20"/>
                <w:highlight w:val="none"/>
                <w:lang w:val="en-US" w:eastAsia="zh-CN"/>
              </w:rPr>
              <w:t>老旧小区配套改造</w:t>
            </w:r>
          </w:p>
        </w:tc>
        <w:tc>
          <w:tcPr>
            <w:tcW w:w="2131"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0"/>
                <w:szCs w:val="20"/>
                <w:vertAlign w:val="baseline"/>
              </w:rPr>
            </w:pPr>
            <w:r>
              <w:rPr>
                <w:rFonts w:hint="eastAsia" w:ascii="仿宋_GB2312" w:hAnsi="仿宋_GB2312" w:eastAsia="仿宋_GB2312" w:cs="仿宋_GB2312"/>
                <w:color w:val="auto"/>
                <w:sz w:val="20"/>
                <w:szCs w:val="20"/>
                <w:highlight w:val="none"/>
                <w:lang w:val="en-US" w:eastAsia="zh-CN"/>
              </w:rPr>
              <w:t>32.81</w:t>
            </w:r>
          </w:p>
        </w:tc>
        <w:tc>
          <w:tcPr>
            <w:tcW w:w="2131" w:type="dxa"/>
            <w:noWrap w:val="0"/>
            <w:vAlign w:val="top"/>
          </w:tcPr>
          <w:p>
            <w:pPr>
              <w:keepNext w:val="0"/>
              <w:keepLines w:val="0"/>
              <w:pageBreakBefore w:val="0"/>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sz w:val="20"/>
                <w:szCs w:val="20"/>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sz w:val="20"/>
                <w:szCs w:val="20"/>
                <w:vertAlign w:val="baseline"/>
              </w:rPr>
            </w:pPr>
            <w:r>
              <w:rPr>
                <w:rFonts w:hint="eastAsia" w:ascii="仿宋_GB2312" w:hAnsi="仿宋_GB2312" w:eastAsia="仿宋_GB2312" w:cs="仿宋_GB2312"/>
                <w:color w:val="000000"/>
                <w:kern w:val="0"/>
                <w:sz w:val="20"/>
                <w:szCs w:val="20"/>
                <w:lang w:val="en-US" w:eastAsia="zh-CN" w:bidi="ar-SA"/>
              </w:rPr>
              <w:t>岳阳市住房保障服务中心</w:t>
            </w:r>
          </w:p>
        </w:tc>
        <w:tc>
          <w:tcPr>
            <w:tcW w:w="2130"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sz w:val="20"/>
                <w:szCs w:val="20"/>
                <w:vertAlign w:val="baseline"/>
              </w:rPr>
            </w:pPr>
            <w:r>
              <w:rPr>
                <w:rFonts w:hint="eastAsia" w:ascii="仿宋_GB2312" w:hAnsi="仿宋_GB2312" w:eastAsia="仿宋_GB2312" w:cs="仿宋_GB2312"/>
                <w:color w:val="000000"/>
                <w:sz w:val="20"/>
                <w:szCs w:val="20"/>
                <w:highlight w:val="none"/>
                <w:lang w:val="en-US" w:eastAsia="zh-CN"/>
              </w:rPr>
              <w:t>工作经费及其他资金</w:t>
            </w:r>
          </w:p>
        </w:tc>
        <w:tc>
          <w:tcPr>
            <w:tcW w:w="2131"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0"/>
                <w:szCs w:val="20"/>
                <w:vertAlign w:val="baseline"/>
                <w:lang w:val="en-US"/>
              </w:rPr>
            </w:pPr>
            <w:r>
              <w:rPr>
                <w:rFonts w:hint="eastAsia" w:ascii="仿宋_GB2312" w:hAnsi="仿宋_GB2312" w:eastAsia="仿宋_GB2312" w:cs="仿宋_GB2312"/>
                <w:color w:val="auto"/>
                <w:sz w:val="20"/>
                <w:szCs w:val="20"/>
                <w:highlight w:val="none"/>
                <w:lang w:val="en-US" w:eastAsia="zh-CN"/>
              </w:rPr>
              <w:t>66.33</w:t>
            </w:r>
          </w:p>
        </w:tc>
        <w:tc>
          <w:tcPr>
            <w:tcW w:w="2131" w:type="dxa"/>
            <w:noWrap w:val="0"/>
            <w:vAlign w:val="top"/>
          </w:tcPr>
          <w:p>
            <w:pPr>
              <w:keepNext w:val="0"/>
              <w:keepLines w:val="0"/>
              <w:pageBreakBefore w:val="0"/>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sz w:val="20"/>
                <w:szCs w:val="20"/>
                <w:vertAlign w:val="baseline"/>
                <w:lang w:val="en-US" w:eastAsia="zh-CN"/>
              </w:rPr>
            </w:pPr>
            <w:r>
              <w:rPr>
                <w:rFonts w:hint="eastAsia" w:ascii="仿宋_GB2312" w:hAnsi="仿宋_GB2312" w:eastAsia="仿宋_GB2312" w:cs="仿宋_GB2312"/>
                <w:sz w:val="20"/>
                <w:szCs w:val="20"/>
                <w:vertAlign w:val="baseline"/>
                <w:lang w:eastAsia="zh-CN"/>
              </w:rPr>
              <w:t>未包括其他资金支出</w:t>
            </w:r>
            <w:r>
              <w:rPr>
                <w:rFonts w:hint="eastAsia" w:ascii="仿宋_GB2312" w:hAnsi="仿宋_GB2312" w:eastAsia="仿宋_GB2312" w:cs="仿宋_GB2312"/>
                <w:sz w:val="20"/>
                <w:szCs w:val="20"/>
                <w:vertAlign w:val="baseline"/>
                <w:lang w:val="en-US" w:eastAsia="zh-CN"/>
              </w:rPr>
              <w:t>11.76万元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lang w:val="en-US" w:eastAsia="zh-CN" w:bidi="ar-SA"/>
              </w:rPr>
              <w:t>岳阳市住房保障服务中心</w:t>
            </w:r>
          </w:p>
        </w:tc>
        <w:tc>
          <w:tcPr>
            <w:tcW w:w="213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i w:val="0"/>
                <w:color w:val="000000"/>
                <w:kern w:val="0"/>
                <w:sz w:val="20"/>
                <w:szCs w:val="20"/>
                <w:u w:val="none"/>
                <w:lang w:val="en-US" w:eastAsia="zh-CN" w:bidi="ar"/>
              </w:rPr>
              <w:t>业务工作经费</w:t>
            </w:r>
          </w:p>
        </w:tc>
        <w:tc>
          <w:tcPr>
            <w:tcW w:w="2131"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146.86</w:t>
            </w:r>
          </w:p>
        </w:tc>
        <w:tc>
          <w:tcPr>
            <w:tcW w:w="2131" w:type="dxa"/>
            <w:noWrap w:val="0"/>
            <w:vAlign w:val="top"/>
          </w:tcPr>
          <w:p>
            <w:pPr>
              <w:keepNext w:val="0"/>
              <w:keepLines w:val="0"/>
              <w:pageBreakBefore w:val="0"/>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sz w:val="20"/>
                <w:szCs w:val="20"/>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lang w:val="en-US" w:eastAsia="zh-CN" w:bidi="ar-SA"/>
              </w:rPr>
              <w:t>岳阳市住房保障服务中心</w:t>
            </w:r>
          </w:p>
        </w:tc>
        <w:tc>
          <w:tcPr>
            <w:tcW w:w="213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i w:val="0"/>
                <w:color w:val="000000"/>
                <w:kern w:val="0"/>
                <w:sz w:val="20"/>
                <w:szCs w:val="20"/>
                <w:u w:val="none"/>
                <w:lang w:val="en-US" w:eastAsia="zh-CN" w:bidi="ar"/>
              </w:rPr>
              <w:t>运行维护经费</w:t>
            </w:r>
          </w:p>
        </w:tc>
        <w:tc>
          <w:tcPr>
            <w:tcW w:w="2131"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116.29</w:t>
            </w:r>
          </w:p>
        </w:tc>
        <w:tc>
          <w:tcPr>
            <w:tcW w:w="2131" w:type="dxa"/>
            <w:noWrap w:val="0"/>
            <w:vAlign w:val="top"/>
          </w:tcPr>
          <w:p>
            <w:pPr>
              <w:keepNext w:val="0"/>
              <w:keepLines w:val="0"/>
              <w:pageBreakBefore w:val="0"/>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sz w:val="20"/>
                <w:szCs w:val="20"/>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i w:val="0"/>
                <w:iCs w:val="0"/>
                <w:color w:val="000000"/>
                <w:kern w:val="0"/>
                <w:sz w:val="20"/>
                <w:szCs w:val="20"/>
                <w:u w:val="none"/>
                <w:lang w:val="en-US" w:eastAsia="zh-CN" w:bidi="ar"/>
              </w:rPr>
              <w:t>岳阳市建设工程质量安全监督站</w:t>
            </w:r>
          </w:p>
        </w:tc>
        <w:tc>
          <w:tcPr>
            <w:tcW w:w="2130"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i w:val="0"/>
                <w:color w:val="000000"/>
                <w:kern w:val="0"/>
                <w:sz w:val="20"/>
                <w:szCs w:val="20"/>
                <w:u w:val="none"/>
                <w:lang w:val="en-US" w:eastAsia="zh-CN" w:bidi="ar"/>
              </w:rPr>
              <w:t>业务工作经费</w:t>
            </w:r>
          </w:p>
        </w:tc>
        <w:tc>
          <w:tcPr>
            <w:tcW w:w="2131"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41.64</w:t>
            </w:r>
          </w:p>
        </w:tc>
        <w:tc>
          <w:tcPr>
            <w:tcW w:w="2131" w:type="dxa"/>
            <w:noWrap w:val="0"/>
            <w:vAlign w:val="top"/>
          </w:tcPr>
          <w:p>
            <w:pPr>
              <w:keepNext w:val="0"/>
              <w:keepLines w:val="0"/>
              <w:pageBreakBefore w:val="0"/>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sz w:val="20"/>
                <w:szCs w:val="20"/>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600" w:firstLineChars="300"/>
              <w:jc w:val="left"/>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lang w:val="en-US" w:eastAsia="zh-CN" w:bidi="ar-SA"/>
              </w:rPr>
              <w:t>合   计</w:t>
            </w:r>
          </w:p>
        </w:tc>
        <w:tc>
          <w:tcPr>
            <w:tcW w:w="2130"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color w:val="000000"/>
                <w:sz w:val="20"/>
                <w:szCs w:val="20"/>
                <w:highlight w:val="none"/>
                <w:lang w:val="en-US" w:eastAsia="zh-CN"/>
              </w:rPr>
            </w:pPr>
          </w:p>
        </w:tc>
        <w:tc>
          <w:tcPr>
            <w:tcW w:w="2131"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6788.47</w:t>
            </w:r>
          </w:p>
        </w:tc>
        <w:tc>
          <w:tcPr>
            <w:tcW w:w="2131" w:type="dxa"/>
            <w:noWrap w:val="0"/>
            <w:vAlign w:val="top"/>
          </w:tcPr>
          <w:p>
            <w:pPr>
              <w:keepNext w:val="0"/>
              <w:keepLines w:val="0"/>
              <w:pageBreakBefore w:val="0"/>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sz w:val="20"/>
                <w:szCs w:val="20"/>
                <w:vertAlign w:val="baseline"/>
              </w:rPr>
            </w:pPr>
          </w:p>
        </w:tc>
      </w:tr>
    </w:tbl>
    <w:p>
      <w:pPr>
        <w:pStyle w:val="3"/>
        <w:rPr>
          <w:rFonts w:hint="eastAsia" w:ascii="仿宋_GB2312" w:hAnsi="仿宋_GB2312" w:eastAsia="仿宋_GB2312" w:cs="仿宋_GB2312"/>
          <w:sz w:val="20"/>
          <w:szCs w:val="20"/>
          <w:lang w:val="en-US" w:eastAsia="zh-CN"/>
        </w:rPr>
      </w:pPr>
    </w:p>
    <w:p>
      <w:pPr>
        <w:pStyle w:val="21"/>
        <w:keepNext w:val="0"/>
        <w:keepLines w:val="0"/>
        <w:pageBreakBefore w:val="0"/>
        <w:widowControl/>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黑体" w:cs="Times New Roman"/>
          <w:sz w:val="32"/>
          <w:szCs w:val="32"/>
        </w:rPr>
      </w:pPr>
      <w:r>
        <w:rPr>
          <w:rFonts w:hint="eastAsia" w:ascii="Times New Roman" w:hAnsi="Times New Roman" w:eastAsia="黑体" w:cs="Times New Roman"/>
          <w:sz w:val="32"/>
          <w:szCs w:val="32"/>
          <w:lang w:val="en-US" w:eastAsia="zh-CN"/>
        </w:rPr>
        <w:t>三、</w:t>
      </w:r>
      <w:r>
        <w:rPr>
          <w:rFonts w:hint="default" w:ascii="Times New Roman" w:hAnsi="Times New Roman" w:eastAsia="黑体" w:cs="Times New Roman"/>
          <w:sz w:val="32"/>
          <w:szCs w:val="32"/>
        </w:rPr>
        <w:t>政府性基金预算</w:t>
      </w:r>
      <w:r>
        <w:rPr>
          <w:rFonts w:hint="eastAsia" w:ascii="Times New Roman" w:hAnsi="Times New Roman" w:eastAsia="黑体" w:cs="Times New Roman"/>
          <w:sz w:val="32"/>
          <w:szCs w:val="32"/>
          <w:lang w:eastAsia="zh-CN"/>
        </w:rPr>
        <w:t>、</w:t>
      </w:r>
      <w:r>
        <w:rPr>
          <w:rFonts w:hint="default" w:ascii="Times New Roman" w:hAnsi="Times New Roman" w:eastAsia="黑体" w:cs="Times New Roman"/>
          <w:sz w:val="32"/>
          <w:szCs w:val="32"/>
        </w:rPr>
        <w:t>国有资本经营预算</w:t>
      </w:r>
      <w:r>
        <w:rPr>
          <w:rFonts w:hint="eastAsia" w:ascii="Times New Roman" w:hAnsi="Times New Roman" w:eastAsia="黑体" w:cs="Times New Roman"/>
          <w:sz w:val="32"/>
          <w:szCs w:val="32"/>
          <w:lang w:eastAsia="zh-CN"/>
        </w:rPr>
        <w:t>、</w:t>
      </w:r>
      <w:r>
        <w:rPr>
          <w:rFonts w:hint="default" w:ascii="Times New Roman" w:hAnsi="Times New Roman" w:eastAsia="黑体" w:cs="Times New Roman"/>
          <w:sz w:val="32"/>
          <w:szCs w:val="32"/>
        </w:rPr>
        <w:t>社会保险基金预算支出情况</w:t>
      </w:r>
    </w:p>
    <w:p>
      <w:pPr>
        <w:pStyle w:val="21"/>
        <w:keepNext w:val="0"/>
        <w:keepLines w:val="0"/>
        <w:pageBreakBefore w:val="0"/>
        <w:widowControl/>
        <w:numPr>
          <w:ilvl w:val="0"/>
          <w:numId w:val="0"/>
        </w:numPr>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本部门无</w:t>
      </w:r>
      <w:r>
        <w:rPr>
          <w:rFonts w:hint="eastAsia" w:ascii="仿宋_GB2312" w:hAnsi="仿宋_GB2312" w:eastAsia="仿宋_GB2312" w:cs="仿宋_GB2312"/>
          <w:sz w:val="32"/>
          <w:szCs w:val="32"/>
        </w:rPr>
        <w:t>政府性基金预算</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国有资本经营预算</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社会保险基金预算支出</w:t>
      </w:r>
      <w:r>
        <w:rPr>
          <w:rFonts w:hint="eastAsia" w:ascii="仿宋_GB2312" w:hAnsi="仿宋_GB2312" w:eastAsia="仿宋_GB2312" w:cs="仿宋_GB2312"/>
          <w:sz w:val="32"/>
          <w:szCs w:val="32"/>
          <w:lang w:val="en-US" w:eastAsia="zh-CN"/>
        </w:rPr>
        <w:t>。</w:t>
      </w:r>
    </w:p>
    <w:p>
      <w:pPr>
        <w:keepNext w:val="0"/>
        <w:keepLines w:val="0"/>
        <w:pageBreakBefore w:val="0"/>
        <w:widowControl/>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黑体" w:cs="Times New Roman"/>
          <w:sz w:val="32"/>
          <w:szCs w:val="32"/>
        </w:rPr>
      </w:pPr>
      <w:r>
        <w:rPr>
          <w:rFonts w:hint="eastAsia" w:ascii="Times New Roman" w:hAnsi="Times New Roman" w:eastAsia="黑体" w:cs="Times New Roman"/>
          <w:sz w:val="32"/>
          <w:szCs w:val="32"/>
          <w:lang w:val="en-US" w:eastAsia="zh-CN"/>
        </w:rPr>
        <w:t>四</w:t>
      </w:r>
      <w:r>
        <w:rPr>
          <w:rFonts w:hint="default" w:ascii="Times New Roman" w:hAnsi="Times New Roman" w:eastAsia="黑体" w:cs="Times New Roman"/>
          <w:sz w:val="32"/>
          <w:szCs w:val="32"/>
        </w:rPr>
        <w:t>、部门整体支出绩效情况</w:t>
      </w:r>
    </w:p>
    <w:p>
      <w:pPr>
        <w:pStyle w:val="10"/>
        <w:keepNext w:val="0"/>
        <w:keepLines w:val="0"/>
        <w:pageBreakBefore w:val="0"/>
        <w:widowControl w:val="0"/>
        <w:kinsoku/>
        <w:wordWrap/>
        <w:overflowPunct/>
        <w:topLinePunct w:val="0"/>
        <w:autoSpaceDE/>
        <w:autoSpaceDN/>
        <w:bidi w:val="0"/>
        <w:adjustRightInd/>
        <w:snapToGrid/>
        <w:spacing w:line="580" w:lineRule="exact"/>
        <w:ind w:left="0" w:leftChars="0" w:firstLine="643" w:firstLineChars="200"/>
        <w:jc w:val="both"/>
        <w:textAlignment w:val="auto"/>
        <w:rPr>
          <w:rFonts w:hint="eastAsia" w:ascii="楷体_GB2312" w:hAnsi="楷体_GB2312" w:eastAsia="楷体_GB2312" w:cs="楷体_GB2312"/>
          <w:b/>
          <w:bCs w:val="0"/>
          <w:color w:val="auto"/>
          <w:kern w:val="2"/>
          <w:sz w:val="32"/>
          <w:szCs w:val="32"/>
          <w:highlight w:val="none"/>
          <w:lang w:val="en-US" w:eastAsia="zh-CN" w:bidi="ar-SA"/>
        </w:rPr>
      </w:pPr>
      <w:r>
        <w:rPr>
          <w:rFonts w:hint="eastAsia" w:ascii="楷体_GB2312" w:hAnsi="楷体_GB2312" w:eastAsia="楷体_GB2312" w:cs="楷体_GB2312"/>
          <w:b/>
          <w:bCs w:val="0"/>
          <w:color w:val="auto"/>
          <w:kern w:val="2"/>
          <w:sz w:val="32"/>
          <w:szCs w:val="32"/>
          <w:highlight w:val="none"/>
          <w:lang w:val="en-US" w:eastAsia="zh-CN" w:bidi="ar-SA"/>
        </w:rPr>
        <w:t>（一）年度绩效目标</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eastAsia="zh-CN"/>
        </w:rPr>
        <w:t>防范化解建筑产业和房产交易市场风险，促进建筑产业健康绿色发展；</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2、加速推进城乡污水处理管网工程建设</w:t>
      </w:r>
      <w:r>
        <w:rPr>
          <w:rFonts w:hint="eastAsia" w:ascii="仿宋_GB2312" w:hAnsi="仿宋_GB2312" w:eastAsia="仿宋_GB2312" w:cs="仿宋_GB2312"/>
          <w:color w:val="auto"/>
          <w:sz w:val="32"/>
          <w:szCs w:val="32"/>
          <w:lang w:eastAsia="zh-CN"/>
        </w:rPr>
        <w:t>；</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3、突出抓好建设项目安全管理工作</w:t>
      </w:r>
      <w:r>
        <w:rPr>
          <w:rFonts w:hint="eastAsia" w:ascii="仿宋_GB2312" w:hAnsi="仿宋_GB2312" w:eastAsia="仿宋_GB2312" w:cs="仿宋_GB2312"/>
          <w:color w:val="auto"/>
          <w:sz w:val="32"/>
          <w:szCs w:val="32"/>
          <w:lang w:eastAsia="zh-CN"/>
        </w:rPr>
        <w:t>，防范化解安全隐患；</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4、</w:t>
      </w:r>
      <w:r>
        <w:rPr>
          <w:rFonts w:hint="eastAsia" w:ascii="仿宋_GB2312" w:hAnsi="仿宋_GB2312" w:eastAsia="仿宋_GB2312" w:cs="仿宋_GB2312"/>
          <w:color w:val="auto"/>
          <w:sz w:val="32"/>
          <w:szCs w:val="32"/>
          <w:lang w:eastAsia="zh-CN"/>
        </w:rPr>
        <w:t>提升城乡住房保障服务工</w:t>
      </w:r>
      <w:r>
        <w:rPr>
          <w:rFonts w:hint="eastAsia" w:ascii="仿宋_GB2312" w:hAnsi="仿宋_GB2312" w:eastAsia="仿宋_GB2312" w:cs="仿宋_GB2312"/>
          <w:color w:val="auto"/>
          <w:sz w:val="32"/>
          <w:szCs w:val="32"/>
        </w:rPr>
        <w:t>作</w:t>
      </w:r>
      <w:r>
        <w:rPr>
          <w:rFonts w:hint="eastAsia" w:ascii="仿宋_GB2312" w:hAnsi="仿宋_GB2312" w:eastAsia="仿宋_GB2312" w:cs="仿宋_GB2312"/>
          <w:color w:val="auto"/>
          <w:sz w:val="32"/>
          <w:szCs w:val="32"/>
          <w:lang w:eastAsia="zh-CN"/>
        </w:rPr>
        <w:t>，增进民生福祉；</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5、全域推进海绵城市建设，建立健全全域海绵城市建设长效机制</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 xml:space="preserve"> </w:t>
      </w:r>
    </w:p>
    <w:p>
      <w:pPr>
        <w:pStyle w:val="7"/>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auto"/>
          <w:sz w:val="32"/>
          <w:szCs w:val="32"/>
          <w:lang w:val="en" w:eastAsia="zh-CN"/>
        </w:rPr>
      </w:pPr>
      <w:r>
        <w:rPr>
          <w:rFonts w:hint="eastAsia" w:ascii="仿宋_GB2312" w:hAnsi="仿宋_GB2312" w:eastAsia="仿宋_GB2312" w:cs="仿宋_GB2312"/>
          <w:color w:val="auto"/>
          <w:sz w:val="32"/>
          <w:szCs w:val="32"/>
          <w:lang w:val="en-US" w:eastAsia="zh-CN"/>
        </w:rPr>
        <w:t>6、搞好住建领域企业和群众相关工作服务保障。</w:t>
      </w:r>
    </w:p>
    <w:p>
      <w:pPr>
        <w:pStyle w:val="21"/>
        <w:keepNext w:val="0"/>
        <w:keepLines w:val="0"/>
        <w:pageBreakBefore w:val="0"/>
        <w:widowControl/>
        <w:numPr>
          <w:ilvl w:val="0"/>
          <w:numId w:val="0"/>
        </w:numPr>
        <w:kinsoku/>
        <w:wordWrap/>
        <w:overflowPunct/>
        <w:topLinePunct w:val="0"/>
        <w:autoSpaceDE/>
        <w:autoSpaceDN/>
        <w:bidi w:val="0"/>
        <w:adjustRightInd/>
        <w:snapToGrid/>
        <w:spacing w:line="580" w:lineRule="exact"/>
        <w:ind w:firstLine="643" w:firstLineChars="200"/>
        <w:jc w:val="both"/>
        <w:textAlignment w:val="auto"/>
        <w:rPr>
          <w:rFonts w:hint="eastAsia" w:ascii="楷体_GB2312" w:hAnsi="楷体_GB2312" w:eastAsia="楷体_GB2312" w:cs="楷体_GB2312"/>
          <w:b/>
          <w:bCs/>
          <w:color w:val="auto"/>
          <w:kern w:val="0"/>
          <w:sz w:val="32"/>
          <w:szCs w:val="32"/>
          <w:lang w:val="en-US" w:eastAsia="zh-CN"/>
        </w:rPr>
      </w:pPr>
      <w:r>
        <w:rPr>
          <w:rFonts w:hint="eastAsia" w:ascii="楷体_GB2312" w:hAnsi="楷体_GB2312" w:eastAsia="楷体_GB2312" w:cs="楷体_GB2312"/>
          <w:b/>
          <w:bCs w:val="0"/>
          <w:color w:val="auto"/>
          <w:kern w:val="2"/>
          <w:sz w:val="32"/>
          <w:szCs w:val="32"/>
          <w:highlight w:val="none"/>
          <w:lang w:val="en-US" w:eastAsia="zh-CN" w:bidi="ar-SA"/>
        </w:rPr>
        <w:t>（二）完成情况</w:t>
      </w:r>
      <w:r>
        <w:rPr>
          <w:rFonts w:hint="eastAsia" w:ascii="楷体_GB2312" w:hAnsi="楷体_GB2312" w:eastAsia="楷体_GB2312" w:cs="楷体_GB2312"/>
          <w:b/>
          <w:bCs/>
          <w:color w:val="auto"/>
          <w:kern w:val="0"/>
          <w:sz w:val="32"/>
          <w:szCs w:val="32"/>
          <w:lang w:val="en-US" w:eastAsia="zh-CN"/>
        </w:rPr>
        <w:t>和取得效益</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sz w:val="32"/>
          <w:szCs w:val="32"/>
          <w:lang w:val="en-US" w:eastAsia="zh-CN"/>
        </w:rPr>
        <w:t>1、出台房地产稳市“25条”，并举办了惠民房交会，市场企稳回升。绿色建造全省第</w:t>
      </w:r>
      <w:r>
        <w:rPr>
          <w:rFonts w:hint="eastAsia" w:ascii="仿宋_GB2312" w:hAnsi="仿宋_GB2312" w:eastAsia="仿宋_GB2312" w:cs="仿宋_GB2312"/>
          <w:sz w:val="32"/>
          <w:szCs w:val="32"/>
          <w:lang w:val="en-US" w:eastAsia="zh-CN"/>
        </w:rPr>
        <w:t>一，成功申报省级绿色建造、浅层地热能建筑规模化应用试点城市，全市实施装配式总建筑面积202万平方米，超额完成省定任务。</w:t>
      </w:r>
    </w:p>
    <w:p>
      <w:pPr>
        <w:pStyle w:val="4"/>
        <w:keepNext w:val="0"/>
        <w:keepLines w:val="0"/>
        <w:pageBreakBefore w:val="0"/>
        <w:kinsoku/>
        <w:wordWrap/>
        <w:overflowPunct/>
        <w:topLinePunct w:val="0"/>
        <w:autoSpaceDE/>
        <w:autoSpaceDN/>
        <w:bidi w:val="0"/>
        <w:adjustRightInd/>
        <w:snapToGrid/>
        <w:spacing w:line="600" w:lineRule="exact"/>
        <w:jc w:val="both"/>
        <w:textAlignment w:val="auto"/>
        <w:rPr>
          <w:rFonts w:hint="default" w:ascii="仿宋_GB2312" w:hAnsi="仿宋_GB2312" w:eastAsia="仿宋_GB2312" w:cs="仿宋_GB2312"/>
          <w:color w:val="auto"/>
          <w:sz w:val="32"/>
          <w:szCs w:val="32"/>
          <w:lang w:val="en-US"/>
        </w:rPr>
      </w:pPr>
      <w:r>
        <w:rPr>
          <w:rFonts w:hint="eastAsia" w:ascii="仿宋_GB2312" w:hAnsi="仿宋_GB2312" w:eastAsia="仿宋_GB2312" w:cs="仿宋_GB2312"/>
          <w:color w:val="auto"/>
          <w:sz w:val="32"/>
          <w:szCs w:val="32"/>
          <w:lang w:val="en-US" w:eastAsia="zh-CN"/>
        </w:rPr>
        <w:t>2、对中心城区三大流域、六大纳污系统进行了整体策划，构建了排污“高速网”，形成了“厂网河湖岸一体化治理”的岳阳模式。</w:t>
      </w:r>
    </w:p>
    <w:p>
      <w:pPr>
        <w:pStyle w:val="4"/>
        <w:keepNext w:val="0"/>
        <w:keepLines w:val="0"/>
        <w:pageBreakBefore w:val="0"/>
        <w:kinsoku/>
        <w:wordWrap/>
        <w:overflowPunct/>
        <w:topLinePunct w:val="0"/>
        <w:autoSpaceDE/>
        <w:autoSpaceDN/>
        <w:bidi w:val="0"/>
        <w:adjustRightInd/>
        <w:snapToGrid/>
        <w:spacing w:line="600" w:lineRule="exact"/>
        <w:jc w:val="both"/>
        <w:textAlignment w:val="auto"/>
        <w:rPr>
          <w:rFonts w:hint="default" w:ascii="仿宋_GB2312" w:hAnsi="仿宋_GB2312" w:eastAsia="仿宋_GB2312" w:cs="仿宋_GB2312"/>
          <w:color w:val="FF0000"/>
          <w:sz w:val="32"/>
          <w:szCs w:val="32"/>
          <w:lang w:val="en-US" w:eastAsia="zh-CN"/>
        </w:rPr>
      </w:pPr>
      <w:r>
        <w:rPr>
          <w:rFonts w:hint="eastAsia" w:ascii="仿宋_GB2312" w:hAnsi="仿宋_GB2312" w:eastAsia="仿宋_GB2312" w:cs="仿宋_GB2312"/>
          <w:color w:val="auto"/>
          <w:sz w:val="32"/>
          <w:szCs w:val="32"/>
          <w:lang w:val="en-US" w:eastAsia="zh-CN"/>
        </w:rPr>
        <w:t>3、全市鉴定为C、D级非经营性居民自建房2924栋，采取工程措施销号2696栋，销号率92%，未完成整治销号的均已采取了封控、停业等管控措施。市本级共办理消防验收和</w:t>
      </w:r>
      <w:r>
        <w:rPr>
          <w:rFonts w:hint="eastAsia" w:ascii="仿宋_GB2312" w:hAnsi="仿宋_GB2312" w:eastAsia="仿宋_GB2312" w:cs="仿宋_GB2312"/>
          <w:sz w:val="32"/>
          <w:szCs w:val="32"/>
          <w:lang w:val="en-US" w:eastAsia="zh-CN"/>
        </w:rPr>
        <w:t>备案抽查项目144个，顺利通过国务院安委会消防验收专项检查，我局荣获全市安全生产和消防考核工作先进单位。</w:t>
      </w:r>
    </w:p>
    <w:p>
      <w:pPr>
        <w:pStyle w:val="4"/>
        <w:keepNext w:val="0"/>
        <w:keepLines w:val="0"/>
        <w:pageBreakBefore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4、完成了保交楼项目24个，交付14304套，交付率96%；</w:t>
      </w:r>
      <w:r>
        <w:rPr>
          <w:rFonts w:hint="eastAsia" w:ascii="仿宋_GB2312" w:hAnsi="仿宋_GB2312" w:eastAsia="仿宋_GB2312" w:cs="仿宋_GB2312"/>
          <w:color w:val="auto"/>
          <w:sz w:val="32"/>
          <w:szCs w:val="32"/>
          <w:lang w:eastAsia="zh-CN"/>
        </w:rPr>
        <w:t>全市保障性租赁房已开工4205套，公共租赁住房已开工1281套，棚户区改造1981套，全部开工率100%；全市477个城镇老旧小区开工率100%，已完工130个，累计完成投资9.8亿元，</w:t>
      </w:r>
      <w:r>
        <w:rPr>
          <w:rFonts w:hint="eastAsia" w:ascii="仿宋_GB2312" w:hAnsi="仿宋_GB2312" w:eastAsia="仿宋_GB2312" w:cs="仿宋_GB2312"/>
          <w:color w:val="auto"/>
          <w:sz w:val="32"/>
          <w:szCs w:val="32"/>
          <w:lang w:val="en-US" w:eastAsia="zh-CN"/>
        </w:rPr>
        <w:t>平江县相关工作被国务院办公厅、《人民日报》推介。</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b w:val="0"/>
          <w:bCs w:val="0"/>
          <w:color w:val="auto"/>
          <w:sz w:val="32"/>
          <w:szCs w:val="32"/>
          <w:lang w:val="en-US" w:eastAsia="zh-CN"/>
        </w:rPr>
        <w:t>加强了海绵城市建设全过程管控，设计把关、日常巡查、竣工验收已形成完整闭环，海绵监测平台初步建成并试运行，海绵城市建设信息化管理全面提速。全市海绵城市建设项目完工98项，城市水面率、绿化率以及可渗透地面面积比例大幅提升，先后通过住建部及省市两次阶段性考核。</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lang w:eastAsia="zh-CN"/>
        </w:rPr>
        <w:t>为659家企业办理3868个审批事项</w:t>
      </w:r>
      <w:r>
        <w:rPr>
          <w:rFonts w:hint="eastAsia" w:ascii="仿宋_GB2312" w:hAnsi="仿宋_GB2312" w:eastAsia="仿宋_GB2312" w:cs="仿宋_GB2312"/>
          <w:color w:val="auto"/>
          <w:sz w:val="32"/>
          <w:szCs w:val="32"/>
          <w:lang w:val="en-US" w:eastAsia="zh-CN"/>
        </w:rPr>
        <w:t>实施</w:t>
      </w:r>
      <w:r>
        <w:rPr>
          <w:rFonts w:hint="eastAsia" w:ascii="仿宋_GB2312" w:hAnsi="仿宋_GB2312" w:eastAsia="仿宋_GB2312" w:cs="仿宋_GB2312"/>
          <w:color w:val="auto"/>
          <w:sz w:val="32"/>
          <w:szCs w:val="32"/>
          <w:lang w:eastAsia="zh-CN"/>
        </w:rPr>
        <w:t>工程项目帮办代办。“拿地即开工”全年共实施项目13个，共核发分阶段施工许可证46个，“多设合一”“多审合一”完成项目11个。区域评估成果范围扩大到124.49平方公里，惠及538个项目，平均减少报建时间30余天。</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仿宋_GB2312" w:hAnsi="仿宋_GB2312" w:eastAsia="仿宋_GB2312" w:cs="仿宋_GB2312"/>
          <w:b w:val="0"/>
          <w:bCs w:val="0"/>
          <w:color w:val="auto"/>
          <w:spacing w:val="0"/>
          <w:position w:val="0"/>
          <w:sz w:val="32"/>
          <w:szCs w:val="32"/>
          <w:u w:val="none"/>
          <w:shd w:val="clear" w:color="auto" w:fill="auto"/>
          <w:lang w:val="en-US" w:eastAsia="zh-CN"/>
        </w:rPr>
      </w:pPr>
      <w:r>
        <w:rPr>
          <w:rFonts w:hint="eastAsia" w:ascii="仿宋_GB2312" w:hAnsi="仿宋_GB2312" w:eastAsia="仿宋_GB2312" w:cs="仿宋_GB2312"/>
          <w:sz w:val="32"/>
          <w:szCs w:val="32"/>
          <w:lang w:val="en-US" w:eastAsia="zh-CN"/>
        </w:rPr>
        <w:t>市住建局党组</w:t>
      </w:r>
      <w:r>
        <w:rPr>
          <w:rFonts w:hint="eastAsia" w:ascii="仿宋_GB2312" w:hAnsi="仿宋_GB2312" w:eastAsia="仿宋_GB2312" w:cs="仿宋_GB2312"/>
          <w:sz w:val="32"/>
          <w:szCs w:val="32"/>
          <w:lang w:eastAsia="zh-CN"/>
        </w:rPr>
        <w:t>全面贯彻落实习近平新时代中国特色社会主义思想和党的二十大精神、中央经济工作会议精神、全国全省住房城乡建设工作会议精神及全国、省市两会精神和市纪委全会精神，</w:t>
      </w:r>
      <w:r>
        <w:rPr>
          <w:rFonts w:hint="eastAsia" w:ascii="仿宋_GB2312" w:hAnsi="仿宋_GB2312" w:eastAsia="仿宋_GB2312" w:cs="仿宋_GB2312"/>
          <w:sz w:val="32"/>
          <w:szCs w:val="32"/>
          <w:lang w:val="en-US" w:eastAsia="zh-CN"/>
        </w:rPr>
        <w:t>面对经济下行、压力重重的2023年，迎难而上、</w:t>
      </w:r>
      <w:r>
        <w:rPr>
          <w:rFonts w:hint="default" w:ascii="Times New Roman" w:hAnsi="Times New Roman" w:eastAsia="仿宋_GB2312" w:cs="Times New Roman"/>
          <w:sz w:val="32"/>
          <w:szCs w:val="32"/>
          <w:lang w:val="en-US" w:eastAsia="zh-CN"/>
        </w:rPr>
        <w:t>团结奋斗、锐意进取，</w:t>
      </w:r>
      <w:r>
        <w:rPr>
          <w:rFonts w:hint="default" w:ascii="Times New Roman" w:hAnsi="Times New Roman" w:eastAsia="仿宋_GB2312" w:cs="Times New Roman"/>
          <w:kern w:val="2"/>
          <w:sz w:val="32"/>
          <w:szCs w:val="32"/>
          <w:lang w:val="en-US" w:eastAsia="zh-CN" w:bidi="ar-SA"/>
        </w:rPr>
        <w:t>发展质效稳步提升、环境质量持续改善、民生福祉不断增进、社会大局和谐稳定</w:t>
      </w:r>
      <w:r>
        <w:rPr>
          <w:rFonts w:hint="eastAsia" w:ascii="Times New Roman" w:hAnsi="Times New Roman" w:eastAsia="仿宋_GB2312" w:cs="Times New Roman"/>
          <w:kern w:val="2"/>
          <w:sz w:val="32"/>
          <w:szCs w:val="32"/>
          <w:lang w:val="en-US" w:eastAsia="zh-CN" w:bidi="ar-SA"/>
        </w:rPr>
        <w:t>。</w:t>
      </w:r>
      <w:r>
        <w:rPr>
          <w:rFonts w:hint="eastAsia" w:ascii="仿宋_GB2312" w:hAnsi="仿宋_GB2312" w:eastAsia="仿宋_GB2312" w:cs="仿宋_GB2312"/>
          <w:sz w:val="32"/>
          <w:szCs w:val="32"/>
          <w:lang w:val="en-US" w:eastAsia="zh-CN"/>
        </w:rPr>
        <w:t>至2023年底</w:t>
      </w:r>
      <w:r>
        <w:rPr>
          <w:rFonts w:hint="eastAsia" w:ascii="仿宋_GB2312" w:hAnsi="仿宋_GB2312" w:eastAsia="仿宋_GB2312" w:cs="仿宋_GB2312"/>
          <w:b w:val="0"/>
          <w:bCs w:val="0"/>
          <w:sz w:val="32"/>
          <w:szCs w:val="32"/>
          <w:lang w:val="en-US" w:eastAsia="zh-CN"/>
        </w:rPr>
        <w:t>，</w:t>
      </w:r>
      <w:r>
        <w:rPr>
          <w:rFonts w:hint="eastAsia" w:ascii="仿宋_GB2312" w:hAnsi="仿宋_GB2312" w:eastAsia="仿宋_GB2312" w:cs="仿宋_GB2312"/>
          <w:sz w:val="32"/>
          <w:szCs w:val="32"/>
          <w:lang w:val="en-US" w:eastAsia="zh-CN"/>
        </w:rPr>
        <w:t>全市海绵城市</w:t>
      </w:r>
      <w:r>
        <w:rPr>
          <w:rFonts w:hint="eastAsia" w:ascii="仿宋_GB2312" w:hAnsi="仿宋_GB2312" w:eastAsia="仿宋_GB2312" w:cs="仿宋_GB2312"/>
          <w:b w:val="0"/>
          <w:bCs w:val="0"/>
          <w:sz w:val="32"/>
          <w:szCs w:val="32"/>
          <w:lang w:val="en-US" w:eastAsia="zh-CN"/>
        </w:rPr>
        <w:t>建设项目完工98 项，城市水面率、绿化率以及可渗透地面面积比例大幅提升，先后通过住建部及省市两次阶段性考核，其中西瓜山海绵湿地公园被评为全省污染防治攻坚战“夏季攻势”典型示范项目，汨罗市海绵城市建设成功申报省级试点城市。全市</w:t>
      </w:r>
      <w:r>
        <w:rPr>
          <w:rFonts w:hint="eastAsia" w:ascii="仿宋_GB2312" w:hAnsi="仿宋_GB2312" w:eastAsia="仿宋_GB2312" w:cs="仿宋_GB2312"/>
          <w:b w:val="0"/>
          <w:bCs w:val="0"/>
          <w:sz w:val="32"/>
          <w:szCs w:val="32"/>
          <w:lang w:eastAsia="zh-CN"/>
        </w:rPr>
        <w:t>老旧小区改造有序推进，</w:t>
      </w:r>
      <w:r>
        <w:rPr>
          <w:rFonts w:hint="eastAsia" w:ascii="仿宋_GB2312" w:hAnsi="仿宋_GB2312" w:eastAsia="仿宋_GB2312" w:cs="仿宋_GB2312"/>
          <w:b w:val="0"/>
          <w:bCs w:val="0"/>
          <w:color w:val="000000"/>
          <w:sz w:val="32"/>
          <w:szCs w:val="32"/>
          <w:lang w:val="en-US" w:eastAsia="zh-CN"/>
        </w:rPr>
        <w:t>平江县</w:t>
      </w:r>
      <w:r>
        <w:rPr>
          <w:rFonts w:hint="eastAsia" w:ascii="仿宋_GB2312" w:hAnsi="仿宋_GB2312" w:eastAsia="仿宋_GB2312" w:cs="仿宋_GB2312"/>
          <w:b w:val="0"/>
          <w:bCs w:val="0"/>
          <w:kern w:val="2"/>
          <w:sz w:val="32"/>
          <w:szCs w:val="32"/>
          <w:u w:val="none"/>
          <w:lang w:val="en-US" w:eastAsia="zh-CN" w:bidi="ar-SA"/>
        </w:rPr>
        <w:t>相关工作被国务院办公厅、《人民日报》推介。</w:t>
      </w:r>
      <w:r>
        <w:rPr>
          <w:rFonts w:hint="default" w:ascii="仿宋_GB2312" w:hAnsi="仿宋_GB2312" w:eastAsia="仿宋_GB2312" w:cs="仿宋_GB2312"/>
          <w:b w:val="0"/>
          <w:bCs w:val="0"/>
          <w:color w:val="auto"/>
          <w:spacing w:val="0"/>
          <w:position w:val="0"/>
          <w:sz w:val="32"/>
          <w:szCs w:val="32"/>
          <w:u w:val="none"/>
          <w:shd w:val="clear" w:color="auto" w:fill="auto"/>
          <w:lang w:val="en-US" w:eastAsia="zh-CN"/>
        </w:rPr>
        <w:t>消防验收</w:t>
      </w:r>
      <w:r>
        <w:rPr>
          <w:rFonts w:hint="eastAsia" w:ascii="仿宋_GB2312" w:hAnsi="仿宋_GB2312" w:eastAsia="仿宋_GB2312" w:cs="仿宋_GB2312"/>
          <w:b w:val="0"/>
          <w:bCs w:val="0"/>
          <w:color w:val="auto"/>
          <w:spacing w:val="0"/>
          <w:position w:val="0"/>
          <w:sz w:val="32"/>
          <w:szCs w:val="32"/>
          <w:u w:val="none"/>
          <w:shd w:val="clear" w:color="auto" w:fill="auto"/>
          <w:lang w:val="en-US" w:eastAsia="zh-CN"/>
        </w:rPr>
        <w:t>工作方面，</w:t>
      </w:r>
      <w:r>
        <w:rPr>
          <w:rFonts w:hint="default" w:ascii="仿宋_GB2312" w:hAnsi="仿宋_GB2312" w:eastAsia="仿宋_GB2312" w:cs="仿宋_GB2312"/>
          <w:b w:val="0"/>
          <w:bCs w:val="0"/>
          <w:color w:val="auto"/>
          <w:spacing w:val="0"/>
          <w:position w:val="0"/>
          <w:sz w:val="32"/>
          <w:szCs w:val="32"/>
          <w:u w:val="none"/>
          <w:shd w:val="clear" w:color="auto" w:fill="auto"/>
          <w:lang w:val="en-US" w:eastAsia="zh-CN"/>
        </w:rPr>
        <w:t>市本级顺利通过国务院安委会消防验收专项检查</w:t>
      </w:r>
      <w:r>
        <w:rPr>
          <w:rFonts w:hint="eastAsia" w:ascii="仿宋_GB2312" w:hAnsi="仿宋_GB2312" w:eastAsia="仿宋_GB2312" w:cs="仿宋_GB2312"/>
          <w:b w:val="0"/>
          <w:bCs w:val="0"/>
          <w:color w:val="auto"/>
          <w:spacing w:val="0"/>
          <w:position w:val="0"/>
          <w:sz w:val="32"/>
          <w:szCs w:val="32"/>
          <w:u w:val="none"/>
          <w:shd w:val="clear" w:color="auto" w:fill="auto"/>
          <w:lang w:val="en-US" w:eastAsia="zh-CN"/>
        </w:rPr>
        <w:t>，我局</w:t>
      </w:r>
      <w:r>
        <w:rPr>
          <w:rFonts w:hint="default" w:ascii="仿宋_GB2312" w:hAnsi="仿宋_GB2312" w:eastAsia="仿宋_GB2312" w:cs="仿宋_GB2312"/>
          <w:b w:val="0"/>
          <w:bCs w:val="0"/>
          <w:color w:val="auto"/>
          <w:spacing w:val="0"/>
          <w:position w:val="0"/>
          <w:sz w:val="32"/>
          <w:szCs w:val="32"/>
          <w:u w:val="none"/>
          <w:shd w:val="clear" w:color="auto" w:fill="auto"/>
          <w:lang w:val="en-US" w:eastAsia="zh-CN"/>
        </w:rPr>
        <w:t>荣获全市安全生产和消防考核工作先进单位。</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67" w:firstLineChars="200"/>
        <w:textAlignment w:val="auto"/>
        <w:rPr>
          <w:rFonts w:hint="eastAsia" w:ascii="楷体_GB2312" w:hAnsi="楷体_GB2312" w:eastAsia="楷体_GB2312" w:cs="楷体_GB2312"/>
          <w:bCs/>
          <w:sz w:val="32"/>
          <w:szCs w:val="32"/>
          <w:highlight w:val="none"/>
          <w:lang w:val="en-US" w:eastAsia="zh-CN"/>
        </w:rPr>
      </w:pPr>
      <w:r>
        <w:rPr>
          <w:rFonts w:hint="eastAsia" w:ascii="楷体_GB2312" w:hAnsi="楷体_GB2312" w:eastAsia="楷体_GB2312" w:cs="楷体_GB2312"/>
          <w:b/>
          <w:bCs/>
          <w:spacing w:val="6"/>
          <w:kern w:val="0"/>
          <w:sz w:val="32"/>
          <w:szCs w:val="32"/>
          <w:lang w:val="en-US" w:eastAsia="zh-CN"/>
        </w:rPr>
        <w:t>（三）</w:t>
      </w:r>
      <w:r>
        <w:rPr>
          <w:rFonts w:hint="eastAsia" w:ascii="楷体_GB2312" w:hAnsi="楷体_GB2312" w:eastAsia="楷体_GB2312" w:cs="楷体_GB2312"/>
          <w:b/>
          <w:bCs w:val="0"/>
          <w:sz w:val="32"/>
          <w:szCs w:val="32"/>
          <w:highlight w:val="none"/>
          <w:lang w:val="en-US" w:eastAsia="zh-CN"/>
        </w:rPr>
        <w:t>部门整体支出绩效评价工作实施情况</w:t>
      </w:r>
    </w:p>
    <w:p>
      <w:pPr>
        <w:pStyle w:val="7"/>
        <w:keepNext w:val="0"/>
        <w:keepLines w:val="0"/>
        <w:pageBreakBefore w:val="0"/>
        <w:numPr>
          <w:ilvl w:val="0"/>
          <w:numId w:val="0"/>
        </w:numPr>
        <w:kinsoku/>
        <w:wordWrap/>
        <w:overflowPunct/>
        <w:topLinePunct w:val="0"/>
        <w:autoSpaceDE/>
        <w:autoSpaceDN/>
        <w:bidi w:val="0"/>
        <w:spacing w:line="60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根据</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中共岳阳市委办公室 岳阳市人民政府办公室关于印发</w:t>
      </w:r>
      <w:r>
        <w:rPr>
          <w:rFonts w:hint="eastAsia" w:ascii="仿宋" w:hAnsi="仿宋" w:eastAsia="仿宋" w:cs="仿宋"/>
          <w:color w:val="auto"/>
          <w:sz w:val="32"/>
          <w:szCs w:val="32"/>
          <w:lang w:val="en-US" w:eastAsia="zh-CN"/>
        </w:rPr>
        <w:t>&lt;</w:t>
      </w:r>
      <w:r>
        <w:rPr>
          <w:rFonts w:hint="eastAsia" w:ascii="仿宋_GB2312" w:hAnsi="仿宋_GB2312" w:eastAsia="仿宋_GB2312" w:cs="仿宋_GB2312"/>
          <w:color w:val="auto"/>
          <w:sz w:val="32"/>
          <w:szCs w:val="32"/>
          <w:lang w:val="en-US" w:eastAsia="zh-CN"/>
        </w:rPr>
        <w:t>岳阳市</w:t>
      </w:r>
      <w:r>
        <w:rPr>
          <w:rFonts w:hint="eastAsia" w:ascii="仿宋_GB2312" w:hAnsi="仿宋_GB2312" w:eastAsia="仿宋_GB2312" w:cs="仿宋_GB2312"/>
          <w:color w:val="auto"/>
          <w:sz w:val="32"/>
          <w:szCs w:val="32"/>
        </w:rPr>
        <w:t>预算绩效管理</w:t>
      </w:r>
      <w:r>
        <w:rPr>
          <w:rFonts w:hint="eastAsia" w:ascii="仿宋_GB2312" w:hAnsi="仿宋_GB2312" w:eastAsia="仿宋_GB2312" w:cs="仿宋_GB2312"/>
          <w:color w:val="auto"/>
          <w:sz w:val="32"/>
          <w:szCs w:val="32"/>
          <w:lang w:val="en-US" w:eastAsia="zh-CN"/>
        </w:rPr>
        <w:t>实施办法&gt;</w:t>
      </w:r>
      <w:r>
        <w:rPr>
          <w:rFonts w:hint="eastAsia" w:ascii="仿宋_GB2312" w:hAnsi="仿宋_GB2312" w:eastAsia="仿宋_GB2312" w:cs="仿宋_GB2312"/>
          <w:color w:val="auto"/>
          <w:sz w:val="32"/>
          <w:szCs w:val="32"/>
        </w:rPr>
        <w:t>的通知》（岳办</w:t>
      </w:r>
      <w:r>
        <w:rPr>
          <w:rFonts w:hint="eastAsia" w:ascii="仿宋_GB2312" w:hAnsi="仿宋_GB2312" w:eastAsia="仿宋_GB2312" w:cs="仿宋_GB2312"/>
          <w:color w:val="auto"/>
          <w:sz w:val="32"/>
          <w:szCs w:val="32"/>
          <w:lang w:val="en-US" w:eastAsia="zh-CN"/>
        </w:rPr>
        <w:t>发</w:t>
      </w:r>
      <w:r>
        <w:rPr>
          <w:rFonts w:hint="eastAsia" w:ascii="仿宋_GB2312" w:hAnsi="仿宋_GB2312" w:eastAsia="仿宋_GB2312" w:cs="仿宋_GB2312"/>
          <w:color w:val="auto"/>
          <w:sz w:val="32"/>
          <w:szCs w:val="32"/>
        </w:rPr>
        <w:t>〔20</w:t>
      </w:r>
      <w:r>
        <w:rPr>
          <w:rFonts w:hint="eastAsia" w:ascii="仿宋_GB2312" w:hAnsi="仿宋_GB2312" w:eastAsia="仿宋_GB2312" w:cs="仿宋_GB2312"/>
          <w:color w:val="auto"/>
          <w:sz w:val="32"/>
          <w:szCs w:val="32"/>
          <w:lang w:val="en-US" w:eastAsia="zh-CN"/>
        </w:rPr>
        <w:t>20</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号）</w:t>
      </w:r>
      <w:r>
        <w:rPr>
          <w:rFonts w:hint="eastAsia" w:ascii="仿宋_GB2312" w:hAnsi="仿宋_GB2312" w:eastAsia="仿宋_GB2312" w:cs="仿宋_GB2312"/>
          <w:color w:val="auto"/>
          <w:sz w:val="32"/>
          <w:szCs w:val="32"/>
          <w:lang w:val="en-US" w:eastAsia="zh-CN"/>
        </w:rPr>
        <w:t>和</w:t>
      </w:r>
      <w:r>
        <w:rPr>
          <w:rFonts w:hint="eastAsia" w:ascii="仿宋_GB2312" w:hAnsi="仿宋_GB2312" w:eastAsia="仿宋_GB2312" w:cs="仿宋_GB2312"/>
          <w:color w:val="auto"/>
          <w:sz w:val="32"/>
          <w:szCs w:val="32"/>
          <w:lang w:eastAsia="zh-CN"/>
        </w:rPr>
        <w:t>岳</w:t>
      </w:r>
      <w:r>
        <w:rPr>
          <w:rFonts w:hint="eastAsia" w:ascii="仿宋_GB2312" w:hAnsi="仿宋_GB2312" w:eastAsia="仿宋_GB2312" w:cs="仿宋_GB2312"/>
          <w:sz w:val="32"/>
          <w:szCs w:val="32"/>
          <w:lang w:eastAsia="zh-CN"/>
        </w:rPr>
        <w:t>阳市</w:t>
      </w:r>
      <w:r>
        <w:rPr>
          <w:rFonts w:hint="eastAsia" w:ascii="仿宋_GB2312" w:hAnsi="仿宋_GB2312" w:eastAsia="仿宋_GB2312" w:cs="仿宋_GB2312"/>
          <w:sz w:val="32"/>
          <w:szCs w:val="32"/>
          <w:lang w:val="en-US" w:eastAsia="zh-CN"/>
        </w:rPr>
        <w:t>预算绩效领导小组《关于印发&lt;2023年度岳阳市绩效管理工作方案&gt;的通知》（岳绩效〔2023〕1号）及其他相关文件要求，我局成立了绩效评价工作小组，制定了绩效评价工作方案，并下发了通知。</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楷体_GB2312" w:hAnsi="楷体_GB2312" w:eastAsia="楷体_GB2312" w:cs="楷体_GB2312"/>
          <w:b/>
          <w:bCs w:val="0"/>
          <w:sz w:val="32"/>
          <w:szCs w:val="32"/>
          <w:highlight w:val="none"/>
          <w:lang w:val="en-US" w:eastAsia="zh-CN"/>
        </w:rPr>
      </w:pPr>
      <w:r>
        <w:rPr>
          <w:rFonts w:hint="eastAsia" w:ascii="楷体_GB2312" w:hAnsi="楷体_GB2312" w:eastAsia="楷体_GB2312" w:cs="楷体_GB2312"/>
          <w:b/>
          <w:bCs w:val="0"/>
          <w:sz w:val="32"/>
          <w:szCs w:val="32"/>
          <w:highlight w:val="none"/>
          <w:lang w:val="en-US" w:eastAsia="zh-CN"/>
        </w:rPr>
        <w:t>1.绩效评价工作的目的</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bCs/>
          <w:sz w:val="32"/>
          <w:szCs w:val="32"/>
          <w:highlight w:val="none"/>
          <w:lang w:val="en-US" w:eastAsia="zh-CN"/>
        </w:rPr>
      </w:pPr>
      <w:r>
        <w:rPr>
          <w:rFonts w:hint="eastAsia" w:ascii="仿宋_GB2312" w:hAnsi="仿宋_GB2312" w:eastAsia="仿宋_GB2312" w:cs="仿宋_GB2312"/>
          <w:bCs/>
          <w:sz w:val="32"/>
          <w:szCs w:val="32"/>
          <w:highlight w:val="none"/>
          <w:lang w:val="en-US" w:eastAsia="zh-CN"/>
        </w:rPr>
        <w:t>通过绩效评价，全面了解工作目标是否合理；工作计划与实际完成情况之间的差异；管理制度健全性；实际人员与编制人员的控制比率；完成重点项目的力度；预算执行的完成率；“三公经费”控制率；政府采购执行率；资金使用合规性；资产管理利用率；社会效益、经济效益、服务对象满意率等。充分发挥财政资金的使用效益，更好地为住房和城乡建设事业服务。</w:t>
      </w:r>
    </w:p>
    <w:p>
      <w:pPr>
        <w:keepNext w:val="0"/>
        <w:keepLines w:val="0"/>
        <w:pageBreakBefore w:val="0"/>
        <w:numPr>
          <w:ilvl w:val="0"/>
          <w:numId w:val="0"/>
        </w:numPr>
        <w:kinsoku/>
        <w:wordWrap/>
        <w:overflowPunct/>
        <w:topLinePunct w:val="0"/>
        <w:autoSpaceDE/>
        <w:autoSpaceDN/>
        <w:bidi w:val="0"/>
        <w:spacing w:line="600" w:lineRule="exact"/>
        <w:ind w:firstLine="643" w:firstLineChars="200"/>
        <w:jc w:val="left"/>
        <w:textAlignment w:val="auto"/>
        <w:rPr>
          <w:rFonts w:hint="eastAsia" w:ascii="仿宋_GB2312" w:hAnsi="仿宋_GB2312" w:eastAsia="仿宋_GB2312" w:cs="仿宋_GB2312"/>
          <w:b/>
          <w:bCs w:val="0"/>
          <w:sz w:val="32"/>
          <w:szCs w:val="32"/>
          <w:lang w:val="en-US" w:eastAsia="zh-CN"/>
        </w:rPr>
      </w:pPr>
      <w:r>
        <w:rPr>
          <w:rFonts w:hint="eastAsia" w:ascii="华文楷体" w:hAnsi="华文楷体" w:eastAsia="华文楷体" w:cs="华文楷体"/>
          <w:b/>
          <w:bCs w:val="0"/>
          <w:sz w:val="32"/>
          <w:szCs w:val="32"/>
          <w:highlight w:val="none"/>
          <w:lang w:val="en-US" w:eastAsia="zh-CN"/>
        </w:rPr>
        <w:t>2.</w:t>
      </w:r>
      <w:r>
        <w:rPr>
          <w:rFonts w:hint="eastAsia" w:ascii="华文楷体" w:hAnsi="华文楷体" w:eastAsia="华文楷体" w:cs="华文楷体"/>
          <w:b/>
          <w:bCs w:val="0"/>
          <w:sz w:val="32"/>
          <w:szCs w:val="32"/>
          <w:lang w:val="en-US" w:eastAsia="zh-CN"/>
        </w:rPr>
        <w:t>评价范围</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bCs/>
          <w:sz w:val="32"/>
          <w:szCs w:val="32"/>
          <w:highlight w:val="none"/>
          <w:lang w:val="en-US" w:eastAsia="zh-CN"/>
        </w:rPr>
      </w:pPr>
      <w:r>
        <w:rPr>
          <w:rFonts w:hint="eastAsia" w:ascii="仿宋_GB2312" w:hAnsi="仿宋_GB2312" w:eastAsia="仿宋_GB2312" w:cs="仿宋_GB2312"/>
          <w:b w:val="0"/>
          <w:bCs w:val="0"/>
          <w:sz w:val="32"/>
          <w:szCs w:val="32"/>
          <w:lang w:val="en-US" w:eastAsia="zh-CN"/>
        </w:rPr>
        <w:t>绩效自评的资金范围包括市级财政安排一般公共预算支出、政府性基金预算支出、国有资本经营预算支出和社会保险基金预算支出。其中，一般公共预算支出绩效自评中包括基本支出和项目支出（含市本级预算支出和对下县市区转移支付）。</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楷体_GB2312" w:hAnsi="楷体_GB2312" w:eastAsia="楷体_GB2312" w:cs="楷体_GB2312"/>
          <w:bCs/>
          <w:sz w:val="32"/>
          <w:szCs w:val="32"/>
          <w:highlight w:val="none"/>
          <w:lang w:val="en-US" w:eastAsia="zh-CN"/>
        </w:rPr>
      </w:pPr>
      <w:r>
        <w:rPr>
          <w:rFonts w:hint="eastAsia" w:ascii="楷体_GB2312" w:hAnsi="楷体_GB2312" w:eastAsia="楷体_GB2312" w:cs="楷体_GB2312"/>
          <w:b/>
          <w:bCs w:val="0"/>
          <w:sz w:val="32"/>
          <w:szCs w:val="32"/>
          <w:highlight w:val="none"/>
          <w:lang w:val="en-US" w:eastAsia="zh-CN"/>
        </w:rPr>
        <w:t>3.绩效自评的主要依据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中华人民共和国</w:t>
      </w:r>
      <w:r>
        <w:rPr>
          <w:rFonts w:hint="eastAsia" w:ascii="仿宋_GB2312" w:hAnsi="仿宋_GB2312" w:eastAsia="仿宋_GB2312" w:cs="仿宋_GB2312"/>
          <w:sz w:val="32"/>
          <w:szCs w:val="32"/>
        </w:rPr>
        <w:t>预算法》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国家其他相关法律、法规和规章</w:t>
      </w:r>
      <w:r>
        <w:rPr>
          <w:rFonts w:hint="eastAsia" w:ascii="仿宋_GB2312" w:hAnsi="仿宋_GB2312" w:eastAsia="仿宋_GB2312" w:cs="仿宋_GB2312"/>
          <w:sz w:val="32"/>
          <w:szCs w:val="32"/>
        </w:rPr>
        <w:t>制度</w:t>
      </w:r>
      <w:r>
        <w:rPr>
          <w:rFonts w:hint="eastAsia"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中共岳阳市委办公室 岳阳市人民政府办公室关于印发&lt;岳阳市预算绩效管理实施办法&gt;的通知》（岳办发〔2020〕4号）和《岳阳市财政局关于印发&lt;岳阳市市级预算部门绩效自评操作规程&gt;的通知》（岳财函〔2022〕209号）；</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部门职能职责、年度工作计划，</w:t>
      </w:r>
      <w:r>
        <w:rPr>
          <w:rFonts w:hint="eastAsia" w:ascii="仿宋_GB2312" w:hAnsi="仿宋_GB2312" w:eastAsia="仿宋_GB2312" w:cs="仿宋_GB2312"/>
          <w:sz w:val="32"/>
          <w:szCs w:val="32"/>
          <w:lang w:val="en-US" w:eastAsia="zh-CN"/>
        </w:rPr>
        <w:t>预算</w:t>
      </w:r>
      <w:r>
        <w:rPr>
          <w:rFonts w:hint="eastAsia" w:ascii="仿宋_GB2312" w:hAnsi="仿宋_GB2312" w:eastAsia="仿宋_GB2312" w:cs="仿宋_GB2312"/>
          <w:sz w:val="32"/>
          <w:szCs w:val="32"/>
        </w:rPr>
        <w:t>绩效目标、专项资金及项目管理办法</w:t>
      </w:r>
      <w:r>
        <w:rPr>
          <w:rFonts w:hint="eastAsia"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部门预算资金、财政部门预算批复、部门年度预算执行情况、年度决算报告，项目审计报告和完成验收报告等</w:t>
      </w:r>
      <w:r>
        <w:rPr>
          <w:rFonts w:hint="eastAsia"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（5）相关行业政策、行业标准及专业技术规范；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（6）其他相关资料。</w:t>
      </w:r>
    </w:p>
    <w:p>
      <w:pPr>
        <w:keepNext w:val="0"/>
        <w:keepLines w:val="0"/>
        <w:pageBreakBefore w:val="0"/>
        <w:numPr>
          <w:ilvl w:val="0"/>
          <w:numId w:val="0"/>
        </w:numPr>
        <w:kinsoku/>
        <w:wordWrap/>
        <w:overflowPunct/>
        <w:topLinePunct w:val="0"/>
        <w:autoSpaceDE/>
        <w:autoSpaceDN/>
        <w:bidi w:val="0"/>
        <w:spacing w:line="600" w:lineRule="exact"/>
        <w:ind w:left="642" w:leftChars="0"/>
        <w:jc w:val="left"/>
        <w:textAlignment w:val="auto"/>
        <w:rPr>
          <w:rFonts w:hint="eastAsia" w:ascii="华文楷体" w:hAnsi="华文楷体" w:eastAsia="华文楷体" w:cs="华文楷体"/>
          <w:b/>
          <w:bCs/>
          <w:sz w:val="32"/>
          <w:szCs w:val="32"/>
          <w:lang w:val="en-US" w:eastAsia="zh-CN"/>
        </w:rPr>
      </w:pPr>
      <w:r>
        <w:rPr>
          <w:rFonts w:hint="eastAsia" w:ascii="华文楷体" w:hAnsi="华文楷体" w:eastAsia="华文楷体" w:cs="华文楷体"/>
          <w:b/>
          <w:bCs/>
          <w:sz w:val="32"/>
          <w:szCs w:val="32"/>
          <w:lang w:val="en-US" w:eastAsia="zh-CN"/>
        </w:rPr>
        <w:t>4.绩效自评</w:t>
      </w:r>
      <w:r>
        <w:rPr>
          <w:rFonts w:hint="eastAsia" w:ascii="华文楷体" w:hAnsi="华文楷体" w:eastAsia="华文楷体" w:cs="华文楷体"/>
          <w:b/>
          <w:bCs/>
          <w:sz w:val="32"/>
          <w:szCs w:val="32"/>
          <w:lang w:eastAsia="zh-CN"/>
        </w:rPr>
        <w:t>实施时间</w:t>
      </w:r>
      <w:r>
        <w:rPr>
          <w:rFonts w:hint="eastAsia" w:ascii="华文楷体" w:hAnsi="华文楷体" w:eastAsia="华文楷体" w:cs="华文楷体"/>
          <w:b/>
          <w:bCs/>
          <w:sz w:val="32"/>
          <w:szCs w:val="32"/>
          <w:lang w:val="en-US" w:eastAsia="zh-CN"/>
        </w:rPr>
        <w:t>安排</w:t>
      </w:r>
    </w:p>
    <w:p>
      <w:pPr>
        <w:keepNext w:val="0"/>
        <w:keepLines w:val="0"/>
        <w:pageBreakBefore w:val="0"/>
        <w:numPr>
          <w:ilvl w:val="0"/>
          <w:numId w:val="0"/>
        </w:numPr>
        <w:kinsoku/>
        <w:wordWrap/>
        <w:overflowPunct/>
        <w:topLinePunct w:val="0"/>
        <w:autoSpaceDE/>
        <w:autoSpaceDN/>
        <w:bidi w:val="0"/>
        <w:spacing w:line="240" w:lineRule="auto"/>
        <w:ind w:firstLine="640" w:firstLineChars="200"/>
        <w:jc w:val="left"/>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2024年4月10日至6月15日，为局属各单位（部门） 自评阶段，6月15日至6月30日为部门汇总评价阶段。</w:t>
      </w:r>
    </w:p>
    <w:p>
      <w:pPr>
        <w:pStyle w:val="7"/>
        <w:keepNext w:val="0"/>
        <w:keepLines w:val="0"/>
        <w:pageBreakBefore w:val="0"/>
        <w:numPr>
          <w:ilvl w:val="0"/>
          <w:numId w:val="0"/>
        </w:numPr>
        <w:kinsoku/>
        <w:wordWrap/>
        <w:overflowPunct/>
        <w:topLinePunct w:val="0"/>
        <w:autoSpaceDE/>
        <w:autoSpaceDN/>
        <w:bidi w:val="0"/>
        <w:spacing w:line="600" w:lineRule="exact"/>
        <w:ind w:firstLine="643" w:firstLineChars="200"/>
        <w:jc w:val="left"/>
        <w:textAlignment w:val="auto"/>
        <w:rPr>
          <w:rFonts w:hint="default" w:ascii="Times New Roman" w:hAnsi="Times New Roman" w:cs="Times New Roman"/>
          <w:color w:val="auto"/>
          <w:sz w:val="21"/>
          <w:szCs w:val="21"/>
        </w:rPr>
      </w:pPr>
      <w:r>
        <w:rPr>
          <w:rFonts w:hint="eastAsia" w:ascii="楷体_GB2312" w:hAnsi="楷体_GB2312" w:eastAsia="楷体_GB2312" w:cs="楷体_GB2312"/>
          <w:b/>
          <w:bCs w:val="0"/>
          <w:color w:val="auto"/>
          <w:sz w:val="32"/>
          <w:szCs w:val="32"/>
          <w:highlight w:val="none"/>
          <w:lang w:val="en-US" w:eastAsia="zh-CN"/>
        </w:rPr>
        <w:t>（四）部门</w:t>
      </w:r>
      <w:r>
        <w:rPr>
          <w:rFonts w:hint="eastAsia" w:ascii="楷体_GB2312" w:hAnsi="楷体_GB2312" w:eastAsia="楷体_GB2312" w:cs="楷体_GB2312"/>
          <w:b/>
          <w:bCs w:val="0"/>
          <w:color w:val="auto"/>
          <w:sz w:val="32"/>
          <w:szCs w:val="32"/>
          <w:u w:val="none"/>
          <w:shd w:val="clear" w:color="auto" w:fill="FFFFFF"/>
        </w:rPr>
        <w:t>预算支出主要绩效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2023年，市住建局党组在市委、市政府的正确领导下，坚持以人民为中心，为民服务为宗旨。全体干部职工迎难而上、团结奋斗、锐意进取，发展质效稳步提升、环境质量持续改善、民生福祉不断增进、社会大局和谐稳定，全市住房城乡建设事业高质量发展再上新台阶，助力了打造宜居省域副中心城市建设，得到各级领导的充分肯定和市民的广泛赞誉。主要成绩如下：</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（1）支柱产业持续巩固，经济运行稳进向好。</w:t>
      </w:r>
      <w:r>
        <w:rPr>
          <w:rFonts w:hint="eastAsia" w:ascii="仿宋_GB2312" w:hAnsi="仿宋_GB2312" w:eastAsia="仿宋_GB2312" w:cs="仿宋_GB2312"/>
          <w:sz w:val="32"/>
          <w:szCs w:val="32"/>
          <w:lang w:val="en-US" w:eastAsia="zh-CN"/>
        </w:rPr>
        <w:t>在市场经济持续下行的艰难情况下，全力以赴拼经济。协税护税助增长。完成争资争项4.7亿元，</w:t>
      </w:r>
      <w:r>
        <w:rPr>
          <w:rFonts w:hint="eastAsia" w:ascii="仿宋_GB2312" w:hAnsi="仿宋_GB2312" w:eastAsia="仿宋_GB2312" w:cs="仿宋_GB2312"/>
          <w:sz w:val="32"/>
          <w:szCs w:val="32"/>
        </w:rPr>
        <w:t>完成建筑业房地产业税收</w:t>
      </w:r>
      <w:r>
        <w:rPr>
          <w:rFonts w:hint="eastAsia" w:ascii="仿宋_GB2312" w:hAnsi="仿宋_GB2312" w:eastAsia="仿宋_GB2312" w:cs="仿宋_GB2312"/>
          <w:sz w:val="32"/>
          <w:szCs w:val="32"/>
          <w:lang w:val="en-US" w:eastAsia="zh-CN"/>
        </w:rPr>
        <w:t>57</w:t>
      </w:r>
      <w:r>
        <w:rPr>
          <w:rFonts w:hint="eastAsia" w:ascii="仿宋_GB2312" w:hAnsi="仿宋_GB2312" w:eastAsia="仿宋_GB2312" w:cs="仿宋_GB2312"/>
          <w:sz w:val="32"/>
          <w:szCs w:val="32"/>
        </w:rPr>
        <w:t>亿元</w:t>
      </w:r>
      <w:r>
        <w:rPr>
          <w:rFonts w:hint="eastAsia" w:ascii="仿宋_GB2312" w:hAnsi="仿宋_GB2312" w:eastAsia="仿宋_GB2312" w:cs="仿宋_GB2312"/>
          <w:sz w:val="32"/>
          <w:szCs w:val="32"/>
          <w:lang w:val="en-US" w:eastAsia="zh-CN"/>
        </w:rPr>
        <w:t>、物业服务税收4175万元、商品混凝土税收2.1亿元，占全市税收总量的22.34%，较好完成了协税护税任务。预算绩效和财源建设在全市排名前列，被评为市级预算绩效管理工作优秀单位。稳市活市出良策。</w:t>
      </w:r>
      <w:r>
        <w:rPr>
          <w:rFonts w:hint="eastAsia" w:ascii="仿宋_GB2312" w:hAnsi="仿宋_GB2312" w:eastAsia="仿宋_GB2312" w:cs="仿宋_GB2312"/>
          <w:sz w:val="32"/>
          <w:szCs w:val="32"/>
        </w:rPr>
        <w:t>出台房地产稳市“25条”，成功举办惠民房交会</w:t>
      </w:r>
      <w:r>
        <w:rPr>
          <w:rFonts w:hint="eastAsia" w:ascii="仿宋_GB2312" w:hAnsi="仿宋_GB2312" w:eastAsia="仿宋_GB2312" w:cs="仿宋_GB2312"/>
          <w:sz w:val="32"/>
          <w:szCs w:val="32"/>
          <w:lang w:eastAsia="zh-CN"/>
        </w:rPr>
        <w:t>，全</w:t>
      </w:r>
      <w:r>
        <w:rPr>
          <w:rFonts w:hint="eastAsia" w:ascii="仿宋_GB2312" w:hAnsi="仿宋_GB2312" w:eastAsia="仿宋_GB2312" w:cs="仿宋_GB2312"/>
          <w:sz w:val="32"/>
          <w:szCs w:val="32"/>
        </w:rPr>
        <w:t>市房地产完成投资168亿元，同比增长8%</w:t>
      </w:r>
      <w:r>
        <w:rPr>
          <w:rFonts w:hint="eastAsia" w:ascii="仿宋_GB2312" w:hAnsi="仿宋_GB2312" w:eastAsia="仿宋_GB2312" w:cs="仿宋_GB2312"/>
          <w:sz w:val="32"/>
          <w:szCs w:val="32"/>
          <w:lang w:val="en-US" w:eastAsia="zh-CN"/>
        </w:rPr>
        <w:t>，增速排名全省第一，市场企稳回升。强业</w:t>
      </w:r>
      <w:r>
        <w:rPr>
          <w:rFonts w:hint="eastAsia" w:ascii="仿宋_GB2312" w:hAnsi="仿宋_GB2312" w:eastAsia="仿宋_GB2312" w:cs="仿宋_GB2312"/>
          <w:sz w:val="32"/>
          <w:szCs w:val="32"/>
          <w:lang w:eastAsia="zh-CN"/>
        </w:rPr>
        <w:t>兴业创佳绩。</w:t>
      </w:r>
      <w:r>
        <w:rPr>
          <w:rFonts w:hint="eastAsia" w:ascii="仿宋_GB2312" w:hAnsi="仿宋_GB2312" w:eastAsia="仿宋_GB2312" w:cs="仿宋_GB2312"/>
          <w:sz w:val="32"/>
          <w:szCs w:val="32"/>
        </w:rPr>
        <w:t>全市建筑业完成总产值</w:t>
      </w:r>
      <w:r>
        <w:rPr>
          <w:rFonts w:hint="eastAsia" w:ascii="仿宋_GB2312" w:hAnsi="仿宋_GB2312" w:eastAsia="仿宋_GB2312" w:cs="仿宋_GB2312"/>
          <w:sz w:val="32"/>
          <w:szCs w:val="32"/>
          <w:lang w:val="en-US" w:eastAsia="zh-CN"/>
        </w:rPr>
        <w:t>793</w:t>
      </w:r>
      <w:r>
        <w:rPr>
          <w:rFonts w:hint="eastAsia" w:ascii="仿宋_GB2312" w:hAnsi="仿宋_GB2312" w:eastAsia="仿宋_GB2312" w:cs="仿宋_GB2312"/>
          <w:sz w:val="32"/>
          <w:szCs w:val="32"/>
        </w:rPr>
        <w:t>亿元，新开工建设房屋总建筑面积</w:t>
      </w:r>
      <w:r>
        <w:rPr>
          <w:rFonts w:hint="eastAsia" w:ascii="仿宋_GB2312" w:hAnsi="仿宋_GB2312" w:eastAsia="仿宋_GB2312" w:cs="仿宋_GB2312"/>
          <w:sz w:val="32"/>
          <w:szCs w:val="32"/>
          <w:lang w:val="en-US" w:eastAsia="zh-CN"/>
        </w:rPr>
        <w:t>417</w:t>
      </w:r>
      <w:r>
        <w:rPr>
          <w:rFonts w:hint="eastAsia" w:ascii="仿宋_GB2312" w:hAnsi="仿宋_GB2312" w:eastAsia="仿宋_GB2312" w:cs="仿宋_GB2312"/>
          <w:sz w:val="32"/>
          <w:szCs w:val="32"/>
        </w:rPr>
        <w:t>万平方米</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绿色建造全省第一，成功申报省级绿色建造、浅层地热能建筑规模化应用试点城市，全市实施装配式总建筑面积202万平方米，超额完成省定任务。</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（2）生态建设持续推进，环境治理成效明显。</w:t>
      </w:r>
      <w:r>
        <w:rPr>
          <w:rFonts w:hint="eastAsia" w:ascii="仿宋_GB2312" w:hAnsi="仿宋_GB2312" w:eastAsia="仿宋_GB2312" w:cs="仿宋_GB2312"/>
          <w:sz w:val="32"/>
          <w:szCs w:val="32"/>
          <w:lang w:val="en-US" w:eastAsia="zh-CN"/>
        </w:rPr>
        <w:t>牢记“守护好一江碧水”殷殷嘱托，强力推进生态优先绿色发展。环境设施建设加力。通过三峡PPP项目建设，对中心城区三大流域、六大纳污系统进行整体策划，构建了排污“高速网”。完成了68个污水直排口改造、11个渍水点治理，消除污水空白区面积3.7平方公里，形成可供借鉴“厂网河湖岸一体化治理”的岳阳模式。黑臭水体治理加强。通过控源截污、内源治理、生态修复、活水循环等措施，中心城区32处黑臭水体整治初步达到长制久清目标。全面加强生活污水厂升级改造，日均处理水量、BOD污染物处理总量和城市生活污水集中收集率均大幅提升，中央环保督查反馈的湖滨、城陵矶新港区、云溪污水处理厂COD进水浓度不足问题得到有效改善。海绵城市建设加速。坚持高位推动、规划先行、立法保障，加强海绵城市建设全过程管控，设计把关、日常</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巡查、竣工验收已形成完整闭环，海绵监测平台初步建成并试运行，海绵城市建设信息化管理全面提速。加快市中心医院、西环线片区等示范项目建设，西瓜山海绵湿地公园被评为全省污染防治攻坚战“夏季攻势”典型示范项目。同时强化全域管控规划，将海绵城市专项规划向县市区延伸覆盖，打造了华容状元湖公园、临湘麦坡路人工湿地等一批精品项目，其中汨罗市海绵城市建设成功申报省级试点城市。目前，全市海绵城市建设项目完工98 项，城市水面率、绿化率以及可渗透地面面积比例大幅提升，先后通过住建部及省市两次阶段性考核。乡镇污水处理设施建设加快。全市累计建成乡镇污水管网1635公里，其中主干管777 公里，入户管858公里。全市乡镇污水处理设施运行稳定，平均负荷率达到70%以上。</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（3）民生福祉持续增进，保障服务提标扩面。</w:t>
      </w:r>
      <w:r>
        <w:rPr>
          <w:rFonts w:hint="eastAsia" w:ascii="仿宋_GB2312" w:hAnsi="仿宋_GB2312" w:eastAsia="仿宋_GB2312" w:cs="仿宋_GB2312"/>
          <w:sz w:val="32"/>
          <w:szCs w:val="32"/>
          <w:lang w:val="en-US" w:eastAsia="zh-CN"/>
        </w:rPr>
        <w:t>坚持人民至上，兜牢民生底线，全面完成省市重点实事，</w:t>
      </w:r>
      <w:r>
        <w:rPr>
          <w:rFonts w:hint="eastAsia" w:ascii="仿宋_GB2312" w:hAnsi="仿宋_GB2312" w:eastAsia="仿宋_GB2312" w:cs="仿宋_GB2312"/>
          <w:sz w:val="32"/>
          <w:szCs w:val="32"/>
          <w:lang w:eastAsia="zh-CN"/>
        </w:rPr>
        <w:t>市本级、华容县、临湘市住建部门获省政府真抓实干激励措施奖。</w:t>
      </w:r>
      <w:r>
        <w:rPr>
          <w:rFonts w:hint="eastAsia" w:ascii="仿宋_GB2312" w:hAnsi="仿宋_GB2312" w:eastAsia="仿宋_GB2312" w:cs="仿宋_GB2312"/>
          <w:sz w:val="32"/>
          <w:szCs w:val="32"/>
          <w:lang w:val="en-US" w:eastAsia="zh-CN"/>
        </w:rPr>
        <w:t>保交楼工作成效显著。任务完成率在全省8个一类市州中排名第一，完成保交楼项目24个，交付14304套，交付率96%，且为全省唯一全部精装房交付市州。湘阴县完成交付4304套，交付率97%，全市排名第一。</w:t>
      </w:r>
      <w:r>
        <w:rPr>
          <w:rFonts w:hint="eastAsia" w:ascii="仿宋_GB2312" w:hAnsi="仿宋_GB2312" w:eastAsia="仿宋_GB2312" w:cs="仿宋_GB2312"/>
          <w:sz w:val="32"/>
          <w:szCs w:val="32"/>
          <w:lang w:eastAsia="zh-CN"/>
        </w:rPr>
        <w:t>保障性住房建设全面开工。全市保障性租赁房已开工4205套，公共租赁住房已开工1281套，棚户区改造1981套，全部开工率100%。岳阳县计划数量全市居首，补助资金拨付进度最快。农村危房排查整治卓有成效。</w:t>
      </w:r>
      <w:r>
        <w:rPr>
          <w:rFonts w:hint="eastAsia" w:ascii="仿宋_GB2312" w:hAnsi="仿宋_GB2312" w:eastAsia="仿宋_GB2312" w:cs="仿宋_GB2312"/>
          <w:sz w:val="32"/>
          <w:szCs w:val="32"/>
          <w:lang w:val="en-US" w:eastAsia="zh-CN"/>
        </w:rPr>
        <w:t>对全市初判存在风险的9855栋农村隐患房屋，全部完成整治销号；完成842户危改任务，争取中央补助资金1727万元，确保了省乡村振兴战略考核不失厘毫。</w:t>
      </w:r>
      <w:r>
        <w:rPr>
          <w:rFonts w:hint="eastAsia" w:ascii="仿宋_GB2312" w:hAnsi="仿宋_GB2312" w:eastAsia="仿宋_GB2312" w:cs="仿宋_GB2312"/>
          <w:sz w:val="32"/>
          <w:szCs w:val="32"/>
          <w:lang w:eastAsia="zh-CN"/>
        </w:rPr>
        <w:t>老旧小区改造有序推进。全市477个城镇老旧小区开工率100%，已完工130个，累计完成投资9.8亿元，</w:t>
      </w:r>
      <w:r>
        <w:rPr>
          <w:rFonts w:hint="eastAsia" w:ascii="仿宋_GB2312" w:hAnsi="仿宋_GB2312" w:eastAsia="仿宋_GB2312" w:cs="仿宋_GB2312"/>
          <w:sz w:val="32"/>
          <w:szCs w:val="32"/>
          <w:lang w:val="en-US" w:eastAsia="zh-CN"/>
        </w:rPr>
        <w:t>平江县相关工作被国务院办公厅、《人民日报》推介。</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（4）质量安全持续夯实，风险隐患全力化解。</w:t>
      </w:r>
      <w:r>
        <w:rPr>
          <w:rFonts w:hint="eastAsia" w:ascii="仿宋_GB2312" w:hAnsi="仿宋_GB2312" w:eastAsia="仿宋_GB2312" w:cs="仿宋_GB2312"/>
          <w:sz w:val="32"/>
          <w:szCs w:val="32"/>
          <w:lang w:val="en-US" w:eastAsia="zh-CN"/>
        </w:rPr>
        <w:t>进一步强化底线思维，增强风险意识，压实各方责任。安全专项治理强力推进。</w:t>
      </w:r>
      <w:r>
        <w:rPr>
          <w:rFonts w:hint="eastAsia" w:ascii="仿宋_GB2312" w:hAnsi="仿宋_GB2312" w:eastAsia="仿宋_GB2312" w:cs="仿宋_GB2312"/>
          <w:sz w:val="32"/>
          <w:szCs w:val="32"/>
        </w:rPr>
        <w:t>深入开展建筑施工安全生产“打非治违”行动，严厉打击</w:t>
      </w:r>
      <w:r>
        <w:rPr>
          <w:rFonts w:hint="eastAsia" w:ascii="仿宋_GB2312" w:hAnsi="仿宋_GB2312" w:eastAsia="仿宋_GB2312" w:cs="仿宋_GB2312"/>
          <w:sz w:val="32"/>
          <w:szCs w:val="32"/>
          <w:lang w:eastAsia="zh-CN"/>
        </w:rPr>
        <w:t>层层</w:t>
      </w:r>
      <w:r>
        <w:rPr>
          <w:rFonts w:hint="eastAsia" w:ascii="仿宋_GB2312" w:hAnsi="仿宋_GB2312" w:eastAsia="仿宋_GB2312" w:cs="仿宋_GB2312"/>
          <w:sz w:val="32"/>
          <w:szCs w:val="32"/>
        </w:rPr>
        <w:t>转包、违法分包等各类违法违规行为</w:t>
      </w:r>
      <w:r>
        <w:rPr>
          <w:rFonts w:hint="eastAsia" w:ascii="仿宋_GB2312" w:hAnsi="仿宋_GB2312" w:eastAsia="仿宋_GB2312" w:cs="仿宋_GB2312"/>
          <w:sz w:val="32"/>
          <w:szCs w:val="32"/>
          <w:lang w:eastAsia="zh-CN"/>
        </w:rPr>
        <w:t>，在全省率先</w:t>
      </w:r>
      <w:r>
        <w:rPr>
          <w:rFonts w:hint="eastAsia" w:ascii="仿宋_GB2312" w:hAnsi="仿宋_GB2312" w:eastAsia="仿宋_GB2312" w:cs="仿宋_GB2312"/>
          <w:sz w:val="32"/>
          <w:szCs w:val="32"/>
          <w:lang w:val="en-US" w:eastAsia="zh-CN"/>
        </w:rPr>
        <w:t>推行</w:t>
      </w:r>
      <w:r>
        <w:rPr>
          <w:rFonts w:hint="eastAsia" w:ascii="仿宋_GB2312" w:hAnsi="仿宋_GB2312" w:eastAsia="仿宋_GB2312" w:cs="仿宋_GB2312"/>
          <w:sz w:val="32"/>
          <w:szCs w:val="32"/>
          <w:lang w:eastAsia="zh-CN"/>
        </w:rPr>
        <w:t>特种作业考培基地并强化“考培分离”监管，筑牢安全生产防线。</w:t>
      </w:r>
      <w:r>
        <w:rPr>
          <w:rFonts w:hint="eastAsia" w:ascii="仿宋_GB2312" w:hAnsi="仿宋_GB2312" w:eastAsia="仿宋_GB2312" w:cs="仿宋_GB2312"/>
          <w:sz w:val="32"/>
          <w:szCs w:val="32"/>
        </w:rPr>
        <w:t>全</w:t>
      </w:r>
      <w:r>
        <w:rPr>
          <w:rFonts w:hint="eastAsia" w:ascii="仿宋_GB2312" w:hAnsi="仿宋_GB2312" w:eastAsia="仿宋_GB2312" w:cs="仿宋_GB2312"/>
          <w:sz w:val="32"/>
          <w:szCs w:val="32"/>
          <w:lang w:eastAsia="zh-CN"/>
        </w:rPr>
        <w:t>年</w:t>
      </w:r>
      <w:r>
        <w:rPr>
          <w:rFonts w:hint="eastAsia" w:ascii="仿宋_GB2312" w:hAnsi="仿宋_GB2312" w:eastAsia="仿宋_GB2312" w:cs="仿宋_GB2312"/>
          <w:sz w:val="32"/>
          <w:szCs w:val="32"/>
        </w:rPr>
        <w:t>共排查非法违法行为635起，关停取缔非法混凝土搅拌站61家</w:t>
      </w:r>
      <w:r>
        <w:rPr>
          <w:rFonts w:hint="eastAsia" w:ascii="仿宋_GB2312" w:hAnsi="仿宋_GB2312" w:eastAsia="仿宋_GB2312" w:cs="仿宋_GB2312"/>
          <w:sz w:val="32"/>
          <w:szCs w:val="32"/>
          <w:lang w:eastAsia="zh-CN"/>
        </w:rPr>
        <w:t>，整改、拆除废弃烟囱</w:t>
      </w:r>
      <w:r>
        <w:rPr>
          <w:rFonts w:hint="eastAsia" w:ascii="仿宋_GB2312" w:hAnsi="仿宋_GB2312" w:eastAsia="仿宋_GB2312" w:cs="仿宋_GB2312"/>
          <w:sz w:val="32"/>
          <w:szCs w:val="32"/>
          <w:lang w:val="en-US" w:eastAsia="zh-CN"/>
        </w:rPr>
        <w:t>23</w:t>
      </w:r>
      <w:r>
        <w:rPr>
          <w:rFonts w:hint="eastAsia" w:ascii="仿宋_GB2312" w:hAnsi="仿宋_GB2312" w:eastAsia="仿宋_GB2312" w:cs="仿宋_GB2312"/>
          <w:sz w:val="32"/>
          <w:szCs w:val="32"/>
          <w:lang w:eastAsia="zh-CN"/>
        </w:rPr>
        <w:t>个，</w:t>
      </w:r>
      <w:r>
        <w:rPr>
          <w:rFonts w:hint="eastAsia" w:ascii="仿宋_GB2312" w:hAnsi="仿宋_GB2312" w:eastAsia="仿宋_GB2312" w:cs="仿宋_GB2312"/>
          <w:sz w:val="32"/>
          <w:szCs w:val="32"/>
        </w:rPr>
        <w:t>完成169个重大安全事故隐患整改销号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实现事故起数和死亡人数“双下降”</w:t>
      </w:r>
      <w:r>
        <w:rPr>
          <w:rFonts w:hint="eastAsia" w:ascii="仿宋_GB2312" w:hAnsi="仿宋_GB2312" w:eastAsia="仿宋_GB2312" w:cs="仿宋_GB2312"/>
          <w:sz w:val="32"/>
          <w:szCs w:val="32"/>
          <w:lang w:eastAsia="zh-CN"/>
        </w:rPr>
        <w:t>。同时</w:t>
      </w:r>
      <w:r>
        <w:rPr>
          <w:rFonts w:hint="eastAsia" w:ascii="仿宋_GB2312" w:hAnsi="仿宋_GB2312" w:eastAsia="仿宋_GB2312" w:cs="仿宋_GB2312"/>
          <w:sz w:val="32"/>
          <w:szCs w:val="32"/>
          <w:lang w:val="en-US" w:eastAsia="zh-CN"/>
        </w:rPr>
        <w:t>严把消防验收关，市本级共办理消防验收和备案抽查项目144个，顺利通过国务院安委会消防验收专项检查，我局荣获全市安全生产和消防考核工作先进单位。自建房整治提质提速。全市鉴定为C、D级非经营性居民自建房2924栋，采取工程措施销号2696栋，销号率92%，未完成整治销号的，均已采取了封控、停业等管控措施，提前50天完成省厅50%销号比例目标任务，在省级考评中排名第一。云溪区着力于真查真改，省第三方专家突击检查通过率100%。信访维稳源头治理。注重主动创稳和积案化解，全年完成58件省委巡视组移交信访件、19件省厅交办信访事项、35件国家信访系统交办件，受理率、按期办结率100%，群众满意率90%。我市住建领域信访总量远低全省平均水平，不到同类市州的十分之一，得到省信访局和省住建厅的充分肯定。省委巡视组交办情况通报中，我局信访件回访群众满意率排名全市第一，荣获全市信访工作示范单位。</w:t>
      </w:r>
    </w:p>
    <w:p>
      <w:pPr>
        <w:tabs>
          <w:tab w:val="left" w:pos="365"/>
        </w:tabs>
        <w:bidi w:val="0"/>
        <w:ind w:firstLine="643" w:firstLineChars="200"/>
        <w:jc w:val="both"/>
        <w:rPr>
          <w:rFonts w:hint="eastAsia"/>
          <w:lang w:val="en-US" w:eastAsia="zh-CN"/>
        </w:rPr>
        <w:sectPr>
          <w:footerReference r:id="rId5" w:type="default"/>
          <w:pgSz w:w="11906" w:h="16838"/>
          <w:pgMar w:top="1701" w:right="1531" w:bottom="1701" w:left="1531" w:header="851" w:footer="1134" w:gutter="0"/>
          <w:pgNumType w:fmt="decimal" w:start="1"/>
          <w:cols w:space="0" w:num="1"/>
          <w:rtlGutter w:val="0"/>
          <w:docGrid w:type="lines" w:linePitch="312" w:charSpace="0"/>
        </w:sectPr>
      </w:pP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lang w:val="en-US" w:eastAsia="zh-CN"/>
        </w:rPr>
        <w:t>5</w:t>
      </w:r>
      <w:r>
        <w:rPr>
          <w:rFonts w:hint="eastAsia" w:ascii="仿宋_GB2312" w:hAnsi="仿宋_GB2312" w:eastAsia="仿宋_GB2312" w:cs="仿宋_GB2312"/>
          <w:b/>
          <w:bCs/>
          <w:sz w:val="32"/>
          <w:szCs w:val="32"/>
          <w:lang w:eastAsia="zh-CN"/>
        </w:rPr>
        <w:t>）党建引领持续强化，</w:t>
      </w:r>
      <w:r>
        <w:rPr>
          <w:rFonts w:hint="eastAsia" w:ascii="仿宋_GB2312" w:hAnsi="仿宋_GB2312" w:eastAsia="仿宋_GB2312" w:cs="仿宋_GB2312"/>
          <w:b/>
          <w:bCs/>
          <w:sz w:val="32"/>
          <w:szCs w:val="32"/>
          <w:lang w:val="en-US" w:eastAsia="zh-CN"/>
        </w:rPr>
        <w:t>队伍建设奋勇争先。</w:t>
      </w:r>
      <w:r>
        <w:rPr>
          <w:rFonts w:hint="eastAsia" w:ascii="仿宋_GB2312" w:hAnsi="仿宋_GB2312" w:eastAsia="仿宋_GB2312" w:cs="仿宋_GB2312"/>
          <w:sz w:val="32"/>
          <w:szCs w:val="32"/>
          <w:lang w:val="en-US" w:eastAsia="zh-CN"/>
        </w:rPr>
        <w:t>坚持党建强基筑魂，精心培育“先锋住建360”党建品牌，锻造全面过硬干部队伍。点燃党建“红引擎”。强化理论武装，建立分级分类常态化学习机制，形成以党组理论中心组学习为“头雁”、支部学习为基础、全员学习为补充的全覆盖学习格局。以主题教育一体推进理论学习、调查研究、推动发展、检视整改。以党建引领项目建设，在84个在建项目建立支部，扩展党建引领体系。春节前后两次雨雪冰冻天气，我们两次组织全系统党员干部以及岳阳建工、岳阳市政、岳阳路桥、岳阳城建、湖南港晨、湖南沿湖、省三岳阳分公司等七家建筑企业120余台机械、2000余人次，夜以继日完成了岳阳大道、巴陵路、青年路等11条主干道的清</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障扫雪除冰工作，获得广大市民点赞。展现队伍“新活力”。广泛开展“四下基层”活动，“走找想促”调研问题办结率排名全市前列。持续培育“先锋住建360”党建品牌，全面实施三大全员行动、六大先锋工程、三零管理模式，形成住建1+N党建品牌矩阵。首次获得市级党建方面表彰大满贯，荣获三表率一模范机关、“五化”建设提质工程示范党支部、优秀党务工作者、优秀党员全部4个奖项，增强了住建1+N党建品牌矩阵在全市的口碑和影响。强化经常性纪律教育、廉政</w:t>
      </w:r>
      <w:r>
        <w:rPr>
          <w:rFonts w:hint="eastAsia" w:ascii="仿宋_GB2312" w:hAnsi="仿宋_GB2312" w:eastAsia="仿宋_GB2312" w:cs="仿宋_GB2312"/>
          <w:sz w:val="32"/>
          <w:szCs w:val="32"/>
        </w:rPr>
        <w:t>警示教育</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日常管理监督，重点加强对在建工程、招投标、项目管理等监管人员的廉政监督，实现党员干部零违纪目标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在全市率先召开全面从严治党工作专题会商会，形成“局党组+机关党委+基层党委+党支部”四级意识形态工作格局，受到中央纪委国家监委网站、三湘风纪网的专题推介，成功创建</w:t>
      </w:r>
      <w:r>
        <w:rPr>
          <w:rFonts w:hint="eastAsia" w:ascii="仿宋_GB2312" w:hAnsi="仿宋_GB2312" w:eastAsia="仿宋_GB2312" w:cs="仿宋_GB2312"/>
          <w:sz w:val="32"/>
          <w:szCs w:val="32"/>
          <w:lang w:val="en" w:eastAsia="zh-CN"/>
        </w:rPr>
        <w:t>“岳阳市廉洁文化示范点”</w:t>
      </w:r>
      <w:r>
        <w:rPr>
          <w:rFonts w:hint="eastAsia" w:ascii="仿宋_GB2312" w:hAnsi="仿宋_GB2312" w:eastAsia="仿宋_GB2312" w:cs="仿宋_GB2312"/>
          <w:sz w:val="32"/>
          <w:szCs w:val="32"/>
          <w:lang w:val="en-US" w:eastAsia="zh-CN"/>
        </w:rPr>
        <w:t>。打好服务“组合拳”。</w:t>
      </w:r>
      <w:r>
        <w:rPr>
          <w:rFonts w:hint="eastAsia" w:ascii="仿宋_GB2312" w:hAnsi="仿宋_GB2312" w:eastAsia="仿宋_GB2312" w:cs="仿宋_GB2312"/>
          <w:sz w:val="32"/>
          <w:szCs w:val="32"/>
          <w:lang w:eastAsia="zh-CN"/>
        </w:rPr>
        <w:t>聚焦企业和群众的痛点难点问题，</w:t>
      </w:r>
      <w:r>
        <w:rPr>
          <w:rFonts w:hint="eastAsia" w:ascii="仿宋_GB2312" w:hAnsi="仿宋_GB2312" w:eastAsia="仿宋_GB2312" w:cs="仿宋_GB2312"/>
          <w:sz w:val="32"/>
          <w:szCs w:val="32"/>
          <w:lang w:val="en-US" w:eastAsia="zh-CN"/>
        </w:rPr>
        <w:t>探索服务新模式，</w:t>
      </w:r>
      <w:r>
        <w:rPr>
          <w:rFonts w:hint="eastAsia" w:ascii="仿宋_GB2312" w:hAnsi="仿宋_GB2312" w:eastAsia="仿宋_GB2312" w:cs="仿宋_GB2312"/>
          <w:sz w:val="32"/>
          <w:szCs w:val="32"/>
          <w:lang w:eastAsia="zh-CN"/>
        </w:rPr>
        <w:t>为659家企业办理3868个审批事项</w:t>
      </w:r>
      <w:r>
        <w:rPr>
          <w:rFonts w:hint="eastAsia" w:ascii="仿宋_GB2312" w:hAnsi="仿宋_GB2312" w:eastAsia="仿宋_GB2312" w:cs="仿宋_GB2312"/>
          <w:sz w:val="32"/>
          <w:szCs w:val="32"/>
          <w:lang w:val="en-US" w:eastAsia="zh-CN"/>
        </w:rPr>
        <w:t>实施</w:t>
      </w:r>
      <w:r>
        <w:rPr>
          <w:rFonts w:hint="eastAsia" w:ascii="仿宋_GB2312" w:hAnsi="仿宋_GB2312" w:eastAsia="仿宋_GB2312" w:cs="仿宋_GB2312"/>
          <w:sz w:val="32"/>
          <w:szCs w:val="32"/>
          <w:lang w:eastAsia="zh-CN"/>
        </w:rPr>
        <w:t>工程项目帮办代办。“拿地即开工”全年共实施项目13个，共核发分阶段施工许可证46个，“多设合一”“多审合一”完成项目11个。区域评估成果范围扩大到124.49平方公里，惠及538个项目，平均减少报建时间30余天。各项营商环境测评数据排名全省前列，我局改革工程项目审批制度、优化营商环境获得全省法治政府建设示范项目，临湘、汨罗、华容、湘阴、岳阳县等获得“办理建筑许可”指标全省先进。</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lang w:val="en-US" w:eastAsia="zh-CN"/>
        </w:rPr>
      </w:pPr>
      <w:r>
        <w:rPr>
          <w:rFonts w:hint="eastAsia" w:ascii="楷体" w:hAnsi="楷体" w:eastAsia="楷体" w:cs="楷体"/>
          <w:b/>
          <w:bCs/>
          <w:sz w:val="32"/>
          <w:szCs w:val="32"/>
          <w:lang w:val="en-US" w:eastAsia="zh-CN"/>
        </w:rPr>
        <w:t>（五）</w:t>
      </w:r>
      <w:r>
        <w:rPr>
          <w:rFonts w:hint="eastAsia" w:ascii="仿宋_GB2312" w:hAnsi="仿宋_GB2312" w:eastAsia="仿宋_GB2312" w:cs="仿宋_GB2312"/>
          <w:b/>
          <w:bCs w:val="0"/>
          <w:sz w:val="32"/>
          <w:szCs w:val="32"/>
          <w:highlight w:val="none"/>
          <w:lang w:val="en-US" w:eastAsia="zh-CN"/>
        </w:rPr>
        <w:t>部门履职和事业发展运行成本、管理效率及评价结论</w:t>
      </w:r>
    </w:p>
    <w:p>
      <w:pPr>
        <w:pStyle w:val="3"/>
        <w:ind w:firstLine="640" w:firstLineChars="200"/>
        <w:rPr>
          <w:rFonts w:hint="eastAsia"/>
          <w:lang w:val="en-US" w:eastAsia="zh-CN"/>
        </w:rPr>
      </w:pPr>
      <w:r>
        <w:rPr>
          <w:rFonts w:hint="eastAsia" w:ascii="仿宋_GB2312" w:hAnsi="仿宋_GB2312" w:eastAsia="仿宋_GB2312" w:cs="仿宋_GB2312"/>
          <w:color w:val="auto"/>
          <w:kern w:val="0"/>
          <w:sz w:val="32"/>
          <w:szCs w:val="32"/>
          <w:lang w:val="en-US" w:eastAsia="zh-CN" w:bidi="ar-SA"/>
        </w:rPr>
        <w:t>2023年度，</w:t>
      </w:r>
      <w:r>
        <w:rPr>
          <w:rFonts w:hint="eastAsia" w:ascii="仿宋_GB2312" w:hAnsi="仿宋_GB2312" w:eastAsia="仿宋_GB2312" w:cs="仿宋_GB2312"/>
          <w:sz w:val="32"/>
          <w:szCs w:val="32"/>
        </w:rPr>
        <w:t>本部门认真履行职能职责，</w:t>
      </w:r>
      <w:r>
        <w:rPr>
          <w:rFonts w:hint="eastAsia" w:ascii="仿宋_GB2312" w:hAnsi="仿宋_GB2312" w:eastAsia="仿宋_GB2312" w:cs="仿宋_GB2312"/>
          <w:sz w:val="32"/>
          <w:szCs w:val="32"/>
          <w:lang w:val="en-US" w:eastAsia="zh-CN"/>
        </w:rPr>
        <w:t>圆满完成了</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度</w:t>
      </w:r>
      <w:r>
        <w:rPr>
          <w:rFonts w:hint="eastAsia" w:ascii="仿宋_GB2312" w:hAnsi="仿宋_GB2312" w:eastAsia="仿宋_GB2312" w:cs="仿宋_GB2312"/>
          <w:sz w:val="32"/>
          <w:szCs w:val="32"/>
        </w:rPr>
        <w:t>目标任务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部门年度预算支出总金额为22257.69万元，</w:t>
      </w:r>
      <w:r>
        <w:rPr>
          <w:rFonts w:hint="eastAsia" w:ascii="仿宋_GB2312" w:hAnsi="仿宋_GB2312" w:eastAsia="仿宋_GB2312" w:cs="仿宋_GB2312"/>
          <w:color w:val="auto"/>
          <w:kern w:val="0"/>
          <w:sz w:val="32"/>
          <w:szCs w:val="32"/>
          <w:lang w:val="en-US" w:eastAsia="zh-CN" w:bidi="ar-SA"/>
        </w:rPr>
        <w:t>实际支出总金额为15698.18万元，其中基本支出8797.85万元（含其他资金支出593.41万元），项目支出总额为6900.33万元（含其他资金专项支出111.86万元），预算执行率为70.53%。预算成本控制较好，整体支出绩效良好，达到既定目标要求。</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绩效</w:t>
      </w:r>
      <w:r>
        <w:rPr>
          <w:rFonts w:hint="eastAsia" w:ascii="仿宋_GB2312" w:hAnsi="仿宋_GB2312" w:eastAsia="仿宋_GB2312" w:cs="仿宋_GB2312"/>
          <w:sz w:val="32"/>
          <w:szCs w:val="32"/>
          <w:lang w:val="en-US" w:eastAsia="zh-CN"/>
        </w:rPr>
        <w:t>评价小组依</w:t>
      </w:r>
      <w:r>
        <w:rPr>
          <w:rFonts w:hint="eastAsia" w:ascii="仿宋_GB2312" w:hAnsi="仿宋_GB2312" w:eastAsia="仿宋_GB2312" w:cs="仿宋_GB2312"/>
          <w:sz w:val="32"/>
          <w:szCs w:val="32"/>
        </w:rPr>
        <w:t>据</w:t>
      </w:r>
      <w:r>
        <w:rPr>
          <w:rFonts w:hint="eastAsia" w:ascii="仿宋_GB2312" w:hAnsi="仿宋_GB2312" w:eastAsia="仿宋_GB2312" w:cs="仿宋_GB2312"/>
          <w:sz w:val="32"/>
          <w:szCs w:val="32"/>
          <w:lang w:val="en-US" w:eastAsia="zh-CN"/>
        </w:rPr>
        <w:t>岳阳市财政局《关于印发&lt;岳阳市市级预算部门绩效自评操作规程&gt;的通知》岳财函〔2022〕209号文件精神，对本部门支出情况进行了定量和定性分析，并按相关</w:t>
      </w:r>
      <w:r>
        <w:rPr>
          <w:rFonts w:hint="eastAsia" w:ascii="仿宋_GB2312" w:hAnsi="仿宋_GB2312" w:eastAsia="仿宋_GB2312" w:cs="仿宋_GB2312"/>
          <w:sz w:val="32"/>
          <w:szCs w:val="32"/>
        </w:rPr>
        <w:t>评价指标</w:t>
      </w:r>
      <w:r>
        <w:rPr>
          <w:rFonts w:hint="eastAsia" w:ascii="仿宋_GB2312" w:hAnsi="仿宋_GB2312" w:eastAsia="仿宋_GB2312" w:cs="仿宋_GB2312"/>
          <w:sz w:val="32"/>
          <w:szCs w:val="32"/>
          <w:lang w:val="en-US" w:eastAsia="zh-CN"/>
        </w:rPr>
        <w:t>和标准进行了</w:t>
      </w:r>
      <w:r>
        <w:rPr>
          <w:rFonts w:hint="eastAsia" w:ascii="仿宋_GB2312" w:hAnsi="仿宋_GB2312" w:eastAsia="仿宋_GB2312" w:cs="仿宋_GB2312"/>
          <w:sz w:val="32"/>
          <w:szCs w:val="32"/>
        </w:rPr>
        <w:t>评分，20</w:t>
      </w:r>
      <w:r>
        <w:rPr>
          <w:rFonts w:hint="eastAsia" w:ascii="仿宋_GB2312" w:hAnsi="仿宋_GB2312" w:eastAsia="仿宋_GB2312" w:cs="仿宋_GB2312"/>
          <w:sz w:val="32"/>
          <w:szCs w:val="32"/>
          <w:lang w:val="en-US" w:eastAsia="zh-CN"/>
        </w:rPr>
        <w:t>23</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部门</w:t>
      </w:r>
      <w:r>
        <w:rPr>
          <w:rFonts w:hint="eastAsia" w:ascii="仿宋_GB2312" w:hAnsi="仿宋_GB2312" w:eastAsia="仿宋_GB2312" w:cs="仿宋_GB2312"/>
          <w:sz w:val="32"/>
          <w:szCs w:val="32"/>
        </w:rPr>
        <w:t>整体支出绩效自评得分为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auto"/>
          <w:sz w:val="32"/>
          <w:szCs w:val="32"/>
          <w:lang w:val="en-US" w:eastAsia="zh-CN"/>
        </w:rPr>
        <w:t>96.3</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分</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color w:val="333333"/>
          <w:sz w:val="32"/>
          <w:szCs w:val="32"/>
          <w:shd w:val="clear" w:color="auto" w:fill="FFFFFF"/>
        </w:rPr>
        <w:t>评价等级为优</w:t>
      </w:r>
      <w:r>
        <w:rPr>
          <w:rFonts w:hint="eastAsia" w:ascii="仿宋_GB2312" w:hAnsi="仿宋_GB2312" w:eastAsia="仿宋_GB2312" w:cs="仿宋_GB2312"/>
          <w:color w:val="333333"/>
          <w:sz w:val="32"/>
          <w:szCs w:val="32"/>
          <w:shd w:val="clear" w:color="auto" w:fill="FFFFFF"/>
          <w:lang w:val="en-US" w:eastAsia="zh-CN"/>
        </w:rPr>
        <w:t>秀</w:t>
      </w:r>
      <w:r>
        <w:rPr>
          <w:rFonts w:hint="eastAsia" w:ascii="仿宋_GB2312" w:hAnsi="仿宋_GB2312" w:eastAsia="仿宋_GB2312" w:cs="仿宋_GB2312"/>
          <w:sz w:val="32"/>
          <w:szCs w:val="32"/>
          <w:lang w:eastAsia="zh-CN"/>
        </w:rPr>
        <w:t>。</w:t>
      </w:r>
    </w:p>
    <w:tbl>
      <w:tblPr>
        <w:tblStyle w:val="16"/>
        <w:tblW w:w="840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26"/>
        <w:gridCol w:w="1980"/>
        <w:gridCol w:w="1203"/>
        <w:gridCol w:w="1077"/>
        <w:gridCol w:w="1155"/>
        <w:gridCol w:w="1260"/>
        <w:gridCol w:w="10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6"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序号</w:t>
            </w:r>
          </w:p>
        </w:tc>
        <w:tc>
          <w:tcPr>
            <w:tcW w:w="1980"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单位名称</w:t>
            </w:r>
          </w:p>
        </w:tc>
        <w:tc>
          <w:tcPr>
            <w:tcW w:w="120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预算执行（10分）</w:t>
            </w:r>
          </w:p>
        </w:tc>
        <w:tc>
          <w:tcPr>
            <w:tcW w:w="107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产出指标（50分）</w:t>
            </w:r>
          </w:p>
        </w:tc>
        <w:tc>
          <w:tcPr>
            <w:tcW w:w="115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效益指标（30分）</w:t>
            </w:r>
          </w:p>
        </w:tc>
        <w:tc>
          <w:tcPr>
            <w:tcW w:w="126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满意度指标（10分）</w:t>
            </w:r>
          </w:p>
        </w:tc>
        <w:tc>
          <w:tcPr>
            <w:tcW w:w="100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综合评分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2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_GB2312" w:hAnsi="仿宋_GB2312" w:eastAsia="仿宋_GB2312" w:cs="仿宋_GB2312"/>
                <w:i w:val="0"/>
                <w:iCs w:val="0"/>
                <w:color w:val="000000"/>
                <w:sz w:val="20"/>
                <w:szCs w:val="20"/>
                <w:u w:val="none"/>
              </w:rPr>
            </w:pPr>
          </w:p>
        </w:tc>
        <w:tc>
          <w:tcPr>
            <w:tcW w:w="198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_GB2312" w:hAnsi="仿宋_GB2312" w:eastAsia="仿宋_GB2312" w:cs="仿宋_GB2312"/>
                <w:i w:val="0"/>
                <w:iCs w:val="0"/>
                <w:color w:val="000000"/>
                <w:sz w:val="20"/>
                <w:szCs w:val="20"/>
                <w:u w:val="none"/>
              </w:rPr>
            </w:pPr>
          </w:p>
        </w:tc>
        <w:tc>
          <w:tcPr>
            <w:tcW w:w="120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iCs w:val="0"/>
                <w:color w:val="000000"/>
                <w:sz w:val="20"/>
                <w:szCs w:val="20"/>
                <w:u w:val="none"/>
              </w:rPr>
            </w:pPr>
          </w:p>
        </w:tc>
        <w:tc>
          <w:tcPr>
            <w:tcW w:w="107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iCs w:val="0"/>
                <w:color w:val="000000"/>
                <w:sz w:val="20"/>
                <w:szCs w:val="20"/>
                <w:u w:val="none"/>
              </w:rPr>
            </w:pPr>
          </w:p>
        </w:tc>
        <w:tc>
          <w:tcPr>
            <w:tcW w:w="115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iCs w:val="0"/>
                <w:color w:val="000000"/>
                <w:sz w:val="20"/>
                <w:szCs w:val="20"/>
                <w:u w:val="none"/>
              </w:rPr>
            </w:pPr>
          </w:p>
        </w:tc>
        <w:tc>
          <w:tcPr>
            <w:tcW w:w="126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iCs w:val="0"/>
                <w:color w:val="000000"/>
                <w:sz w:val="20"/>
                <w:szCs w:val="20"/>
                <w:u w:val="none"/>
              </w:rPr>
            </w:pPr>
          </w:p>
        </w:tc>
        <w:tc>
          <w:tcPr>
            <w:tcW w:w="100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岳阳市住房和城乡建设局本级</w:t>
            </w:r>
          </w:p>
        </w:tc>
        <w:tc>
          <w:tcPr>
            <w:tcW w:w="12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6.95</w:t>
            </w:r>
          </w:p>
        </w:tc>
        <w:tc>
          <w:tcPr>
            <w:tcW w:w="10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50</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29</w:t>
            </w:r>
          </w:p>
        </w:tc>
        <w:tc>
          <w:tcPr>
            <w:tcW w:w="12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10</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95.95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sz w:val="20"/>
                <w:szCs w:val="20"/>
                <w:u w:val="none"/>
              </w:rPr>
              <w:t>岳阳市城市建设档案馆</w:t>
            </w:r>
          </w:p>
        </w:tc>
        <w:tc>
          <w:tcPr>
            <w:tcW w:w="12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7.39</w:t>
            </w:r>
          </w:p>
        </w:tc>
        <w:tc>
          <w:tcPr>
            <w:tcW w:w="10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47.55</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30</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10</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94.94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3</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sz w:val="20"/>
                <w:szCs w:val="20"/>
                <w:u w:val="none"/>
              </w:rPr>
              <w:t>岳阳市城乡建设事务中心</w:t>
            </w:r>
          </w:p>
        </w:tc>
        <w:tc>
          <w:tcPr>
            <w:tcW w:w="12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4.13</w:t>
            </w:r>
          </w:p>
        </w:tc>
        <w:tc>
          <w:tcPr>
            <w:tcW w:w="10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50</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26</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10</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90.13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4</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sz w:val="20"/>
                <w:szCs w:val="20"/>
                <w:u w:val="none"/>
              </w:rPr>
              <w:t>岳阳市房地产交易中心</w:t>
            </w:r>
          </w:p>
        </w:tc>
        <w:tc>
          <w:tcPr>
            <w:tcW w:w="12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9.69</w:t>
            </w:r>
          </w:p>
        </w:tc>
        <w:tc>
          <w:tcPr>
            <w:tcW w:w="10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50</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27.21</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10</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96.90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5</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sz w:val="20"/>
                <w:szCs w:val="20"/>
                <w:u w:val="none"/>
              </w:rPr>
              <w:t>岳阳市房地产市场服务中心</w:t>
            </w:r>
          </w:p>
        </w:tc>
        <w:tc>
          <w:tcPr>
            <w:tcW w:w="12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7.73</w:t>
            </w:r>
          </w:p>
        </w:tc>
        <w:tc>
          <w:tcPr>
            <w:tcW w:w="10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50</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30</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10</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97.73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6</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sz w:val="20"/>
                <w:szCs w:val="20"/>
                <w:u w:val="none"/>
              </w:rPr>
              <w:t>岳阳市建设工程质量安全监督站</w:t>
            </w:r>
          </w:p>
        </w:tc>
        <w:tc>
          <w:tcPr>
            <w:tcW w:w="12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9.42</w:t>
            </w:r>
          </w:p>
        </w:tc>
        <w:tc>
          <w:tcPr>
            <w:tcW w:w="10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50</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30</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10</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99.42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7</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sz w:val="20"/>
                <w:szCs w:val="20"/>
                <w:u w:val="none"/>
              </w:rPr>
              <w:t>岳阳市绿色建筑产业发展服务中心</w:t>
            </w:r>
          </w:p>
        </w:tc>
        <w:tc>
          <w:tcPr>
            <w:tcW w:w="12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9.2</w:t>
            </w:r>
          </w:p>
        </w:tc>
        <w:tc>
          <w:tcPr>
            <w:tcW w:w="10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50</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30</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10</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99.2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7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8</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sz w:val="20"/>
                <w:szCs w:val="20"/>
                <w:u w:val="none"/>
              </w:rPr>
              <w:t>岳阳市污水处理监督中心</w:t>
            </w:r>
          </w:p>
        </w:tc>
        <w:tc>
          <w:tcPr>
            <w:tcW w:w="12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6.77</w:t>
            </w:r>
          </w:p>
        </w:tc>
        <w:tc>
          <w:tcPr>
            <w:tcW w:w="10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50</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28</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10</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94.77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9</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sz w:val="20"/>
                <w:szCs w:val="20"/>
                <w:u w:val="none"/>
              </w:rPr>
              <w:t>岳阳市住房保障服务中心</w:t>
            </w:r>
          </w:p>
        </w:tc>
        <w:tc>
          <w:tcPr>
            <w:tcW w:w="12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9.94</w:t>
            </w:r>
          </w:p>
        </w:tc>
        <w:tc>
          <w:tcPr>
            <w:tcW w:w="10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49</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29</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10</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97.94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06"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部门加权平均分</w:t>
            </w:r>
          </w:p>
        </w:tc>
        <w:tc>
          <w:tcPr>
            <w:tcW w:w="120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7.9</w:t>
            </w:r>
          </w:p>
        </w:tc>
        <w:tc>
          <w:tcPr>
            <w:tcW w:w="107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49.6</w:t>
            </w:r>
          </w:p>
        </w:tc>
        <w:tc>
          <w:tcPr>
            <w:tcW w:w="11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28.8</w:t>
            </w:r>
          </w:p>
        </w:tc>
        <w:tc>
          <w:tcPr>
            <w:tcW w:w="12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10</w:t>
            </w: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96.3</w:t>
            </w:r>
          </w:p>
        </w:tc>
      </w:tr>
    </w:tbl>
    <w:p>
      <w:pPr>
        <w:pStyle w:val="10"/>
        <w:ind w:left="0" w:leftChars="0" w:firstLine="0" w:firstLineChars="0"/>
        <w:rPr>
          <w:rFonts w:hint="eastAsia"/>
          <w:lang w:val="en-US" w:eastAsia="zh-CN"/>
        </w:rPr>
      </w:pPr>
    </w:p>
    <w:p>
      <w:pPr>
        <w:pStyle w:val="7"/>
        <w:keepNext w:val="0"/>
        <w:keepLines w:val="0"/>
        <w:pageBreakBefore w:val="0"/>
        <w:numPr>
          <w:ilvl w:val="0"/>
          <w:numId w:val="0"/>
        </w:numPr>
        <w:kinsoku/>
        <w:wordWrap/>
        <w:overflowPunct/>
        <w:topLinePunct w:val="0"/>
        <w:autoSpaceDE/>
        <w:autoSpaceDN/>
        <w:bidi w:val="0"/>
        <w:spacing w:line="580" w:lineRule="exact"/>
        <w:ind w:left="640" w:leftChars="0"/>
        <w:jc w:val="left"/>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（六）绩效指标分析</w:t>
      </w:r>
      <w:bookmarkStart w:id="0" w:name="_Toc28743"/>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 w:hAnsi="楷体" w:eastAsia="楷体" w:cs="楷体"/>
          <w:b w:val="0"/>
          <w:bCs w:val="0"/>
          <w:color w:val="auto"/>
          <w:sz w:val="32"/>
          <w:szCs w:val="32"/>
        </w:rPr>
      </w:pPr>
      <w:r>
        <w:rPr>
          <w:rFonts w:hint="eastAsia" w:ascii="仿宋_GB2312" w:hAnsi="仿宋_GB2312" w:eastAsia="仿宋_GB2312" w:cs="仿宋_GB2312"/>
          <w:b w:val="0"/>
          <w:bCs w:val="0"/>
          <w:color w:val="auto"/>
          <w:sz w:val="32"/>
          <w:szCs w:val="32"/>
          <w:lang w:val="en-US" w:eastAsia="zh-CN"/>
        </w:rPr>
        <w:t>1.</w:t>
      </w:r>
      <w:r>
        <w:rPr>
          <w:rFonts w:hint="eastAsia" w:ascii="仿宋_GB2312" w:hAnsi="仿宋_GB2312" w:eastAsia="仿宋_GB2312" w:cs="仿宋_GB2312"/>
          <w:b w:val="0"/>
          <w:bCs w:val="0"/>
          <w:color w:val="auto"/>
          <w:sz w:val="32"/>
          <w:szCs w:val="32"/>
        </w:rPr>
        <w:t>预算执行过程情况</w:t>
      </w:r>
      <w:bookmarkEnd w:id="0"/>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预算执行过程指标分值为</w:t>
      </w:r>
      <w:r>
        <w:rPr>
          <w:rFonts w:hint="eastAsia" w:ascii="仿宋_GB2312" w:hAnsi="仿宋_GB2312" w:eastAsia="仿宋_GB2312" w:cs="仿宋_GB2312"/>
          <w:color w:val="auto"/>
          <w:sz w:val="32"/>
          <w:szCs w:val="32"/>
          <w:lang w:val="en-US" w:eastAsia="zh-CN"/>
        </w:rPr>
        <w:t>10</w:t>
      </w:r>
      <w:r>
        <w:rPr>
          <w:rFonts w:hint="eastAsia" w:ascii="仿宋_GB2312" w:hAnsi="仿宋_GB2312" w:eastAsia="仿宋_GB2312" w:cs="仿宋_GB2312"/>
          <w:color w:val="auto"/>
          <w:sz w:val="32"/>
          <w:szCs w:val="32"/>
        </w:rPr>
        <w:t>分，评价得分</w:t>
      </w:r>
      <w:r>
        <w:rPr>
          <w:rFonts w:hint="eastAsia" w:ascii="仿宋_GB2312" w:hAnsi="仿宋_GB2312" w:eastAsia="仿宋_GB2312" w:cs="仿宋_GB2312"/>
          <w:color w:val="auto"/>
          <w:sz w:val="32"/>
          <w:szCs w:val="32"/>
          <w:lang w:val="en-US" w:eastAsia="zh-CN"/>
        </w:rPr>
        <w:t>7.9</w:t>
      </w:r>
      <w:r>
        <w:rPr>
          <w:rFonts w:hint="eastAsia" w:ascii="仿宋_GB2312" w:hAnsi="仿宋_GB2312" w:eastAsia="仿宋_GB2312" w:cs="仿宋_GB2312"/>
          <w:color w:val="auto"/>
          <w:sz w:val="32"/>
          <w:szCs w:val="32"/>
        </w:rPr>
        <w:t>分，主要扣分原因为</w:t>
      </w:r>
      <w:r>
        <w:rPr>
          <w:rFonts w:hint="eastAsia" w:ascii="仿宋_GB2312" w:hAnsi="仿宋_GB2312" w:eastAsia="仿宋_GB2312" w:cs="仿宋_GB2312"/>
          <w:b w:val="0"/>
          <w:bCs w:val="0"/>
          <w:color w:val="auto"/>
          <w:sz w:val="32"/>
          <w:szCs w:val="32"/>
          <w:lang w:val="en-US" w:eastAsia="zh-CN"/>
        </w:rPr>
        <w:t>部分项目预算执行率不高，</w:t>
      </w:r>
      <w:r>
        <w:rPr>
          <w:rFonts w:hint="eastAsia" w:ascii="仿宋_GB2312" w:hAnsi="仿宋_GB2312" w:eastAsia="仿宋_GB2312" w:cs="仿宋_GB2312"/>
          <w:color w:val="auto"/>
          <w:sz w:val="32"/>
          <w:szCs w:val="32"/>
          <w:lang w:val="en-US" w:eastAsia="zh-CN"/>
        </w:rPr>
        <w:t>导致部门整体</w:t>
      </w:r>
      <w:r>
        <w:rPr>
          <w:rFonts w:hint="eastAsia" w:ascii="仿宋_GB2312" w:hAnsi="仿宋_GB2312" w:eastAsia="仿宋_GB2312" w:cs="仿宋_GB2312"/>
          <w:color w:val="auto"/>
          <w:sz w:val="32"/>
          <w:szCs w:val="32"/>
        </w:rPr>
        <w:t>预算执行率</w:t>
      </w:r>
      <w:r>
        <w:rPr>
          <w:rFonts w:hint="eastAsia" w:ascii="仿宋_GB2312" w:hAnsi="仿宋_GB2312" w:eastAsia="仿宋_GB2312" w:cs="仿宋_GB2312"/>
          <w:color w:val="auto"/>
          <w:sz w:val="32"/>
          <w:szCs w:val="32"/>
          <w:lang w:val="en-US" w:eastAsia="zh-CN"/>
        </w:rPr>
        <w:t>偏低</w:t>
      </w:r>
      <w:r>
        <w:rPr>
          <w:rFonts w:hint="eastAsia" w:ascii="仿宋_GB2312" w:hAnsi="仿宋_GB2312" w:eastAsia="仿宋_GB2312" w:cs="仿宋_GB2312"/>
          <w:color w:val="auto"/>
          <w:sz w:val="32"/>
          <w:szCs w:val="32"/>
        </w:rPr>
        <w:t>，未</w:t>
      </w:r>
      <w:r>
        <w:rPr>
          <w:rFonts w:hint="eastAsia" w:ascii="仿宋_GB2312" w:hAnsi="仿宋_GB2312" w:eastAsia="仿宋_GB2312" w:cs="仿宋_GB2312"/>
          <w:color w:val="auto"/>
          <w:sz w:val="32"/>
          <w:szCs w:val="32"/>
          <w:lang w:val="en-US" w:eastAsia="zh-CN"/>
        </w:rPr>
        <w:t>更好的</w:t>
      </w:r>
      <w:r>
        <w:rPr>
          <w:rFonts w:hint="eastAsia" w:ascii="仿宋_GB2312" w:hAnsi="仿宋_GB2312" w:eastAsia="仿宋_GB2312" w:cs="仿宋_GB2312"/>
          <w:color w:val="auto"/>
          <w:sz w:val="32"/>
          <w:szCs w:val="32"/>
        </w:rPr>
        <w:t>发挥财政资金使用</w:t>
      </w:r>
      <w:bookmarkStart w:id="1" w:name="_Toc1611"/>
      <w:r>
        <w:rPr>
          <w:rFonts w:hint="eastAsia" w:ascii="仿宋_GB2312" w:hAnsi="仿宋_GB2312" w:eastAsia="仿宋_GB2312" w:cs="仿宋_GB2312"/>
          <w:color w:val="auto"/>
          <w:sz w:val="32"/>
          <w:szCs w:val="32"/>
          <w:lang w:val="en-US" w:eastAsia="zh-CN"/>
        </w:rPr>
        <w:t>效率。</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val="en-US" w:eastAsia="zh-CN"/>
        </w:rPr>
        <w:t>2.</w:t>
      </w:r>
      <w:r>
        <w:rPr>
          <w:rFonts w:hint="eastAsia" w:ascii="仿宋_GB2312" w:hAnsi="仿宋_GB2312" w:eastAsia="仿宋_GB2312" w:cs="仿宋_GB2312"/>
          <w:b w:val="0"/>
          <w:bCs w:val="0"/>
          <w:color w:val="auto"/>
          <w:sz w:val="32"/>
          <w:szCs w:val="32"/>
        </w:rPr>
        <w:t>预算支出产出情况</w:t>
      </w:r>
      <w:bookmarkEnd w:id="1"/>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预算支出产出指标分值50分，评价得分</w:t>
      </w:r>
      <w:r>
        <w:rPr>
          <w:rFonts w:hint="eastAsia" w:ascii="仿宋_GB2312" w:hAnsi="仿宋_GB2312" w:eastAsia="仿宋_GB2312" w:cs="仿宋_GB2312"/>
          <w:color w:val="auto"/>
          <w:sz w:val="32"/>
          <w:szCs w:val="32"/>
          <w:lang w:val="en-US" w:eastAsia="zh-CN"/>
        </w:rPr>
        <w:t>49.6</w:t>
      </w:r>
      <w:r>
        <w:rPr>
          <w:rFonts w:hint="eastAsia" w:ascii="仿宋_GB2312" w:hAnsi="仿宋_GB2312" w:eastAsia="仿宋_GB2312" w:cs="仿宋_GB2312"/>
          <w:color w:val="auto"/>
          <w:sz w:val="32"/>
          <w:szCs w:val="32"/>
        </w:rPr>
        <w:t>分</w:t>
      </w:r>
      <w:bookmarkStart w:id="2" w:name="_Toc25059"/>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除</w:t>
      </w:r>
      <w:r>
        <w:rPr>
          <w:rFonts w:hint="eastAsia" w:ascii="仿宋_GB2312" w:hAnsi="仿宋_GB2312" w:eastAsia="仿宋_GB2312" w:cs="仿宋_GB2312"/>
          <w:color w:val="auto"/>
          <w:sz w:val="32"/>
          <w:szCs w:val="32"/>
          <w:highlight w:val="none"/>
        </w:rPr>
        <w:t>城镇棚户区改造</w:t>
      </w:r>
      <w:r>
        <w:rPr>
          <w:rFonts w:hint="eastAsia" w:ascii="仿宋_GB2312" w:hAnsi="仿宋_GB2312" w:eastAsia="仿宋_GB2312" w:cs="仿宋_GB2312"/>
          <w:color w:val="auto"/>
          <w:sz w:val="32"/>
          <w:szCs w:val="32"/>
          <w:highlight w:val="none"/>
          <w:lang w:val="en-US" w:eastAsia="zh-CN"/>
        </w:rPr>
        <w:t>和</w:t>
      </w:r>
      <w:r>
        <w:rPr>
          <w:rFonts w:hint="eastAsia" w:ascii="仿宋_GB2312" w:hAnsi="仿宋_GB2312" w:eastAsia="仿宋_GB2312" w:cs="仿宋_GB2312"/>
          <w:i w:val="0"/>
          <w:iCs w:val="0"/>
          <w:color w:val="auto"/>
          <w:kern w:val="0"/>
          <w:sz w:val="32"/>
          <w:szCs w:val="32"/>
          <w:u w:val="none"/>
          <w:lang w:val="en-US" w:eastAsia="zh-CN" w:bidi="ar"/>
        </w:rPr>
        <w:t>保障性租赁住房2个</w:t>
      </w:r>
      <w:r>
        <w:rPr>
          <w:rFonts w:hint="eastAsia" w:ascii="仿宋_GB2312" w:hAnsi="仿宋_GB2312" w:eastAsia="仿宋_GB2312" w:cs="仿宋_GB2312"/>
          <w:color w:val="auto"/>
          <w:sz w:val="32"/>
          <w:szCs w:val="32"/>
          <w:highlight w:val="none"/>
        </w:rPr>
        <w:t>年度指标值</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按照</w:t>
      </w:r>
      <w:r>
        <w:rPr>
          <w:rFonts w:hint="eastAsia" w:ascii="仿宋_GB2312" w:hAnsi="仿宋_GB2312" w:eastAsia="仿宋_GB2312" w:cs="仿宋_GB2312"/>
          <w:color w:val="auto"/>
          <w:sz w:val="32"/>
          <w:szCs w:val="32"/>
          <w:highlight w:val="none"/>
          <w:lang w:eastAsia="zh-CN"/>
        </w:rPr>
        <w:t>省住建厅等</w:t>
      </w:r>
      <w:r>
        <w:rPr>
          <w:rFonts w:hint="eastAsia" w:ascii="仿宋_GB2312" w:hAnsi="仿宋_GB2312" w:eastAsia="仿宋_GB2312" w:cs="仿宋_GB2312"/>
          <w:color w:val="auto"/>
          <w:sz w:val="32"/>
          <w:szCs w:val="32"/>
          <w:highlight w:val="none"/>
          <w:lang w:val="en-US" w:eastAsia="zh-CN"/>
        </w:rPr>
        <w:t>3部门</w:t>
      </w:r>
      <w:r>
        <w:rPr>
          <w:rFonts w:hint="eastAsia" w:ascii="仿宋_GB2312" w:hAnsi="仿宋_GB2312" w:eastAsia="仿宋_GB2312" w:cs="仿宋_GB2312"/>
          <w:color w:val="auto"/>
          <w:sz w:val="32"/>
          <w:szCs w:val="32"/>
          <w:highlight w:val="none"/>
        </w:rPr>
        <w:t>业务批复文件</w:t>
      </w:r>
      <w:r>
        <w:rPr>
          <w:rFonts w:hint="eastAsia" w:ascii="仿宋_GB2312" w:hAnsi="仿宋_GB2312" w:eastAsia="仿宋_GB2312" w:cs="仿宋_GB2312"/>
          <w:color w:val="auto"/>
          <w:sz w:val="32"/>
          <w:szCs w:val="32"/>
          <w:highlight w:val="none"/>
          <w:lang w:val="en-US" w:eastAsia="zh-CN"/>
        </w:rPr>
        <w:t>分别</w:t>
      </w:r>
      <w:r>
        <w:rPr>
          <w:rFonts w:hint="eastAsia" w:ascii="仿宋_GB2312" w:hAnsi="仿宋_GB2312" w:eastAsia="仿宋_GB2312" w:cs="仿宋_GB2312"/>
          <w:color w:val="auto"/>
          <w:sz w:val="32"/>
          <w:szCs w:val="32"/>
          <w:highlight w:val="none"/>
        </w:rPr>
        <w:t>由2201套</w:t>
      </w:r>
      <w:r>
        <w:rPr>
          <w:rFonts w:hint="eastAsia" w:ascii="仿宋_GB2312" w:hAnsi="仿宋_GB2312" w:eastAsia="仿宋_GB2312" w:cs="仿宋_GB2312"/>
          <w:color w:val="auto"/>
          <w:sz w:val="32"/>
          <w:szCs w:val="32"/>
          <w:highlight w:val="none"/>
          <w:lang w:eastAsia="zh-CN"/>
        </w:rPr>
        <w:t>调整</w:t>
      </w:r>
      <w:r>
        <w:rPr>
          <w:rFonts w:hint="eastAsia" w:ascii="仿宋_GB2312" w:hAnsi="仿宋_GB2312" w:eastAsia="仿宋_GB2312" w:cs="仿宋_GB2312"/>
          <w:color w:val="auto"/>
          <w:sz w:val="32"/>
          <w:szCs w:val="32"/>
          <w:highlight w:val="none"/>
        </w:rPr>
        <w:t>为1981套</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5780套</w:t>
      </w:r>
      <w:r>
        <w:rPr>
          <w:rFonts w:hint="eastAsia" w:ascii="仿宋_GB2312" w:hAnsi="仿宋_GB2312" w:eastAsia="仿宋_GB2312" w:cs="仿宋_GB2312"/>
          <w:color w:val="auto"/>
          <w:sz w:val="32"/>
          <w:szCs w:val="32"/>
          <w:highlight w:val="none"/>
          <w:lang w:eastAsia="zh-CN"/>
        </w:rPr>
        <w:t>调整</w:t>
      </w:r>
      <w:r>
        <w:rPr>
          <w:rFonts w:hint="eastAsia" w:ascii="仿宋_GB2312" w:hAnsi="仿宋_GB2312" w:eastAsia="仿宋_GB2312" w:cs="仿宋_GB2312"/>
          <w:color w:val="auto"/>
          <w:sz w:val="32"/>
          <w:szCs w:val="32"/>
          <w:highlight w:val="none"/>
        </w:rPr>
        <w:t>为4205套</w:t>
      </w:r>
      <w:r>
        <w:rPr>
          <w:rFonts w:hint="eastAsia" w:ascii="仿宋_GB2312" w:hAnsi="仿宋_GB2312" w:eastAsia="仿宋_GB2312" w:cs="仿宋_GB2312"/>
          <w:color w:val="auto"/>
          <w:sz w:val="32"/>
          <w:szCs w:val="32"/>
          <w:highlight w:val="none"/>
          <w:lang w:val="en-US" w:eastAsia="zh-CN"/>
        </w:rPr>
        <w:t>外，其他年度指标均圆满完成。</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val="en-US" w:eastAsia="zh-CN"/>
        </w:rPr>
        <w:t>3.</w:t>
      </w:r>
      <w:r>
        <w:rPr>
          <w:rFonts w:hint="eastAsia" w:ascii="仿宋_GB2312" w:hAnsi="仿宋_GB2312" w:eastAsia="仿宋_GB2312" w:cs="仿宋_GB2312"/>
          <w:b w:val="0"/>
          <w:bCs w:val="0"/>
          <w:color w:val="auto"/>
          <w:sz w:val="32"/>
          <w:szCs w:val="32"/>
        </w:rPr>
        <w:t>预算支出效益情况</w:t>
      </w:r>
      <w:bookmarkEnd w:id="2"/>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FF0000"/>
          <w:sz w:val="32"/>
          <w:szCs w:val="32"/>
          <w:lang w:eastAsia="zh-CN"/>
        </w:rPr>
      </w:pPr>
      <w:r>
        <w:rPr>
          <w:rFonts w:hint="eastAsia" w:ascii="仿宋_GB2312" w:hAnsi="仿宋_GB2312" w:eastAsia="仿宋_GB2312" w:cs="仿宋_GB2312"/>
          <w:color w:val="auto"/>
          <w:sz w:val="32"/>
          <w:szCs w:val="32"/>
        </w:rPr>
        <w:t>预算支出效益指标分值</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0分，评价得分</w:t>
      </w:r>
      <w:r>
        <w:rPr>
          <w:rFonts w:hint="eastAsia" w:ascii="仿宋_GB2312" w:hAnsi="仿宋_GB2312" w:eastAsia="仿宋_GB2312" w:cs="仿宋_GB2312"/>
          <w:color w:val="auto"/>
          <w:sz w:val="32"/>
          <w:szCs w:val="32"/>
          <w:lang w:val="en-US" w:eastAsia="zh-CN"/>
        </w:rPr>
        <w:t>28.8</w:t>
      </w:r>
      <w:r>
        <w:rPr>
          <w:rFonts w:hint="eastAsia" w:ascii="仿宋_GB2312" w:hAnsi="仿宋_GB2312" w:eastAsia="仿宋_GB2312" w:cs="仿宋_GB2312"/>
          <w:color w:val="auto"/>
          <w:sz w:val="32"/>
          <w:szCs w:val="32"/>
        </w:rPr>
        <w:t>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主要扣分原因为</w:t>
      </w:r>
      <w:r>
        <w:rPr>
          <w:rFonts w:hint="eastAsia" w:ascii="仿宋_GB2312" w:hAnsi="仿宋_GB2312" w:eastAsia="仿宋_GB2312" w:cs="仿宋_GB2312"/>
          <w:color w:val="auto"/>
          <w:sz w:val="32"/>
          <w:szCs w:val="32"/>
          <w:highlight w:val="none"/>
          <w:lang w:eastAsia="zh-CN"/>
        </w:rPr>
        <w:t>海绵城市建设进度有待加快，下一步加强沟通协调，加快海绵城市建设步伐。</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4.服务对象</w:t>
      </w:r>
      <w:r>
        <w:rPr>
          <w:rFonts w:hint="eastAsia" w:ascii="仿宋_GB2312" w:hAnsi="仿宋_GB2312" w:eastAsia="仿宋_GB2312" w:cs="仿宋_GB2312"/>
          <w:b w:val="0"/>
          <w:bCs w:val="0"/>
          <w:color w:val="auto"/>
          <w:sz w:val="32"/>
          <w:szCs w:val="32"/>
        </w:rPr>
        <w:t>满意度</w:t>
      </w:r>
      <w:r>
        <w:rPr>
          <w:rFonts w:hint="eastAsia" w:ascii="仿宋_GB2312" w:hAnsi="仿宋_GB2312" w:eastAsia="仿宋_GB2312" w:cs="仿宋_GB2312"/>
          <w:b w:val="0"/>
          <w:bCs w:val="0"/>
          <w:color w:val="auto"/>
          <w:sz w:val="32"/>
          <w:szCs w:val="32"/>
          <w:lang w:val="en-US" w:eastAsia="zh-CN"/>
        </w:rPr>
        <w:t>情况</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color w:val="auto"/>
        </w:rPr>
      </w:pPr>
      <w:r>
        <w:rPr>
          <w:rFonts w:hint="eastAsia" w:ascii="仿宋_GB2312" w:hAnsi="仿宋_GB2312" w:eastAsia="仿宋_GB2312" w:cs="仿宋_GB2312"/>
          <w:color w:val="auto"/>
          <w:sz w:val="32"/>
          <w:szCs w:val="32"/>
        </w:rPr>
        <w:t>预算支出</w:t>
      </w:r>
      <w:r>
        <w:rPr>
          <w:rFonts w:hint="eastAsia" w:ascii="仿宋_GB2312" w:hAnsi="仿宋_GB2312" w:eastAsia="仿宋_GB2312" w:cs="仿宋_GB2312"/>
          <w:color w:val="auto"/>
          <w:sz w:val="32"/>
          <w:szCs w:val="32"/>
          <w:lang w:val="en-US" w:eastAsia="zh-CN"/>
        </w:rPr>
        <w:t>服务对象</w:t>
      </w:r>
      <w:r>
        <w:rPr>
          <w:rFonts w:hint="eastAsia" w:ascii="仿宋_GB2312" w:hAnsi="仿宋_GB2312" w:eastAsia="仿宋_GB2312" w:cs="仿宋_GB2312"/>
          <w:color w:val="auto"/>
          <w:sz w:val="32"/>
          <w:szCs w:val="32"/>
        </w:rPr>
        <w:t>满意度指标分值</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0分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评价得分</w:t>
      </w:r>
      <w:r>
        <w:rPr>
          <w:rFonts w:hint="eastAsia" w:ascii="仿宋_GB2312" w:hAnsi="仿宋_GB2312" w:eastAsia="仿宋_GB2312" w:cs="仿宋_GB2312"/>
          <w:color w:val="auto"/>
          <w:sz w:val="32"/>
          <w:szCs w:val="32"/>
          <w:lang w:val="en-US" w:eastAsia="zh-CN"/>
        </w:rPr>
        <w:t>10</w:t>
      </w:r>
      <w:r>
        <w:rPr>
          <w:rFonts w:hint="eastAsia" w:ascii="仿宋_GB2312" w:hAnsi="仿宋_GB2312" w:eastAsia="仿宋_GB2312" w:cs="仿宋_GB2312"/>
          <w:color w:val="auto"/>
          <w:sz w:val="32"/>
          <w:szCs w:val="32"/>
        </w:rPr>
        <w:t>分。</w:t>
      </w:r>
    </w:p>
    <w:p>
      <w:pPr>
        <w:pStyle w:val="21"/>
        <w:keepNext w:val="0"/>
        <w:keepLines w:val="0"/>
        <w:pageBreakBefore w:val="0"/>
        <w:widowControl/>
        <w:numPr>
          <w:ilvl w:val="0"/>
          <w:numId w:val="1"/>
        </w:numP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存在的问题及原因分析</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color w:val="000000"/>
          <w:kern w:val="0"/>
          <w:sz w:val="32"/>
          <w:szCs w:val="32"/>
          <w:lang w:val="en-US" w:eastAsia="zh-CN" w:bidi="ar-SA"/>
        </w:rPr>
        <w:t>（一）存在实际在岗人数超编制人数现象。</w:t>
      </w:r>
      <w:r>
        <w:rPr>
          <w:rFonts w:hint="eastAsia" w:ascii="仿宋_GB2312" w:hAnsi="仿宋_GB2312" w:eastAsia="仿宋_GB2312" w:cs="仿宋_GB2312"/>
          <w:color w:val="000000"/>
          <w:kern w:val="0"/>
          <w:sz w:val="32"/>
          <w:szCs w:val="32"/>
          <w:lang w:val="en-US" w:eastAsia="zh-CN"/>
        </w:rPr>
        <w:t>根据“三定方案”，局机关编制</w:t>
      </w:r>
      <w:r>
        <w:rPr>
          <w:rFonts w:hint="eastAsia" w:ascii="仿宋_GB2312" w:hAnsi="仿宋_GB2312" w:eastAsia="仿宋_GB2312" w:cs="仿宋_GB2312"/>
          <w:color w:val="auto"/>
          <w:kern w:val="0"/>
          <w:sz w:val="32"/>
          <w:szCs w:val="32"/>
          <w:lang w:val="en-US" w:eastAsia="zh-CN"/>
        </w:rPr>
        <w:t>57人</w:t>
      </w:r>
      <w:r>
        <w:rPr>
          <w:rFonts w:hint="eastAsia" w:ascii="仿宋_GB2312" w:hAnsi="仿宋_GB2312" w:eastAsia="仿宋_GB2312" w:cs="仿宋_GB2312"/>
          <w:color w:val="000000"/>
          <w:kern w:val="0"/>
          <w:sz w:val="32"/>
          <w:szCs w:val="32"/>
          <w:lang w:val="en-US" w:eastAsia="zh-CN"/>
        </w:rPr>
        <w:t>，2023年实有在岗人员</w:t>
      </w:r>
      <w:r>
        <w:rPr>
          <w:rFonts w:hint="eastAsia" w:ascii="仿宋_GB2312" w:hAnsi="仿宋_GB2312" w:eastAsia="仿宋_GB2312" w:cs="仿宋_GB2312"/>
          <w:color w:val="auto"/>
          <w:kern w:val="0"/>
          <w:sz w:val="32"/>
          <w:szCs w:val="32"/>
          <w:highlight w:val="none"/>
          <w:lang w:val="en-US" w:eastAsia="zh-CN"/>
        </w:rPr>
        <w:t>67人，</w:t>
      </w:r>
      <w:r>
        <w:rPr>
          <w:rFonts w:hint="eastAsia" w:ascii="仿宋_GB2312" w:hAnsi="仿宋_GB2312" w:eastAsia="仿宋_GB2312" w:cs="仿宋_GB2312"/>
          <w:color w:val="000000"/>
          <w:kern w:val="0"/>
          <w:sz w:val="32"/>
          <w:szCs w:val="32"/>
          <w:lang w:val="en-US" w:eastAsia="zh-CN" w:bidi="ar-SA"/>
        </w:rPr>
        <w:t>超过编制人数10人，主要原因为原住房和城乡建设局、原房地产管理</w:t>
      </w:r>
      <w:r>
        <w:rPr>
          <w:rFonts w:hint="eastAsia" w:ascii="仿宋_GB2312" w:hAnsi="仿宋_GB2312" w:eastAsia="仿宋_GB2312" w:cs="仿宋_GB2312"/>
          <w:color w:val="000000"/>
          <w:kern w:val="0"/>
          <w:sz w:val="32"/>
          <w:szCs w:val="32"/>
          <w:highlight w:val="none"/>
          <w:lang w:val="en-US" w:eastAsia="zh-CN" w:bidi="ar-SA"/>
        </w:rPr>
        <w:t>局因机构改革合并的政策性超编。</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二）预算绩效目标编制不够规范，</w:t>
      </w:r>
      <w:r>
        <w:rPr>
          <w:rFonts w:hint="eastAsia" w:ascii="仿宋_GB2312" w:hAnsi="仿宋_GB2312" w:eastAsia="仿宋_GB2312" w:cs="仿宋_GB2312"/>
          <w:b w:val="0"/>
          <w:bCs w:val="0"/>
          <w:sz w:val="32"/>
          <w:szCs w:val="32"/>
          <w:lang w:eastAsia="zh-CN"/>
        </w:rPr>
        <w:t>指标</w:t>
      </w:r>
      <w:r>
        <w:rPr>
          <w:rFonts w:hint="eastAsia" w:ascii="仿宋_GB2312" w:hAnsi="仿宋_GB2312" w:eastAsia="仿宋_GB2312" w:cs="仿宋_GB2312"/>
          <w:b w:val="0"/>
          <w:bCs w:val="0"/>
          <w:sz w:val="32"/>
          <w:szCs w:val="32"/>
          <w:lang w:val="en-US" w:eastAsia="zh-CN"/>
        </w:rPr>
        <w:t>关联细化程度有待进一步提升，</w:t>
      </w:r>
      <w:r>
        <w:rPr>
          <w:rFonts w:hint="eastAsia" w:ascii="仿宋_GB2312" w:hAnsi="仿宋_GB2312" w:eastAsia="仿宋_GB2312" w:cs="仿宋_GB2312"/>
          <w:b w:val="0"/>
          <w:bCs w:val="0"/>
          <w:sz w:val="32"/>
          <w:szCs w:val="32"/>
          <w:lang w:eastAsia="zh-CN"/>
        </w:rPr>
        <w:t>可衡量性不强。</w:t>
      </w:r>
      <w:r>
        <w:rPr>
          <w:rFonts w:hint="eastAsia" w:ascii="仿宋_GB2312" w:hAnsi="仿宋_GB2312" w:eastAsia="仿宋_GB2312" w:cs="仿宋_GB2312"/>
          <w:sz w:val="32"/>
          <w:szCs w:val="32"/>
          <w:lang w:val="en-US" w:eastAsia="zh-CN"/>
        </w:rPr>
        <w:t>主要原因为</w:t>
      </w:r>
      <w:r>
        <w:rPr>
          <w:rFonts w:hint="eastAsia" w:ascii="仿宋_GB2312" w:hAnsi="仿宋_GB2312" w:eastAsia="仿宋_GB2312" w:cs="仿宋_GB2312"/>
          <w:sz w:val="32"/>
          <w:szCs w:val="32"/>
          <w:lang w:eastAsia="zh-CN"/>
        </w:rPr>
        <w:t>绩效管理</w:t>
      </w:r>
      <w:r>
        <w:rPr>
          <w:rFonts w:hint="eastAsia" w:ascii="仿宋_GB2312" w:hAnsi="仿宋_GB2312" w:eastAsia="仿宋_GB2312" w:cs="仿宋_GB2312"/>
          <w:sz w:val="32"/>
          <w:szCs w:val="32"/>
          <w:lang w:val="en-US" w:eastAsia="zh-CN"/>
        </w:rPr>
        <w:t>由财务部门兼任，</w:t>
      </w:r>
      <w:r>
        <w:rPr>
          <w:rFonts w:hint="eastAsia" w:ascii="仿宋_GB2312" w:hAnsi="仿宋_GB2312" w:eastAsia="仿宋_GB2312" w:cs="仿宋_GB2312"/>
          <w:sz w:val="32"/>
          <w:szCs w:val="32"/>
          <w:lang w:eastAsia="zh-CN"/>
        </w:rPr>
        <w:t>财务人员大多是会计、财务管理、经济学等专业，绩效</w:t>
      </w:r>
      <w:r>
        <w:rPr>
          <w:rFonts w:hint="eastAsia" w:ascii="仿宋_GB2312" w:hAnsi="仿宋_GB2312" w:eastAsia="仿宋_GB2312" w:cs="仿宋_GB2312"/>
          <w:sz w:val="32"/>
          <w:szCs w:val="32"/>
          <w:lang w:val="en-US" w:eastAsia="zh-CN"/>
        </w:rPr>
        <w:t>管理不但</w:t>
      </w:r>
      <w:r>
        <w:rPr>
          <w:rFonts w:hint="eastAsia" w:ascii="仿宋_GB2312" w:hAnsi="仿宋_GB2312" w:eastAsia="仿宋_GB2312" w:cs="仿宋_GB2312"/>
          <w:sz w:val="32"/>
          <w:szCs w:val="32"/>
          <w:lang w:eastAsia="zh-CN"/>
        </w:rPr>
        <w:t>需要掌握财经知识，还要熟悉相关政策、了解项目业务</w:t>
      </w:r>
      <w:r>
        <w:rPr>
          <w:rFonts w:hint="eastAsia" w:ascii="仿宋_GB2312" w:hAnsi="仿宋_GB2312" w:eastAsia="仿宋_GB2312" w:cs="仿宋_GB2312"/>
          <w:sz w:val="32"/>
          <w:szCs w:val="32"/>
          <w:lang w:val="en-US" w:eastAsia="zh-CN"/>
        </w:rPr>
        <w:t>情况</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需要</w:t>
      </w:r>
      <w:r>
        <w:rPr>
          <w:rFonts w:hint="eastAsia" w:ascii="仿宋_GB2312" w:hAnsi="仿宋_GB2312" w:eastAsia="仿宋_GB2312" w:cs="仿宋_GB2312"/>
          <w:sz w:val="32"/>
          <w:szCs w:val="32"/>
          <w:lang w:eastAsia="zh-CN"/>
        </w:rPr>
        <w:t>具备管理学、法学、统计学、工程学等方面的知识，并持续更新知识体系</w:t>
      </w:r>
      <w:r>
        <w:rPr>
          <w:rFonts w:hint="eastAsia"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b w:val="0"/>
          <w:bCs w:val="0"/>
          <w:color w:val="auto"/>
          <w:sz w:val="32"/>
          <w:szCs w:val="32"/>
          <w:lang w:val="en-US" w:eastAsia="zh-CN"/>
        </w:rPr>
        <w:t>（三）预算执行力度有待进一步加强。</w:t>
      </w:r>
      <w:r>
        <w:rPr>
          <w:rFonts w:hint="default" w:ascii="仿宋_GB2312" w:hAnsi="仿宋_GB2312" w:eastAsia="仿宋_GB2312" w:cs="仿宋_GB2312"/>
          <w:bCs/>
          <w:color w:val="auto"/>
          <w:sz w:val="32"/>
          <w:szCs w:val="32"/>
          <w:lang w:val="en" w:eastAsia="zh-CN"/>
        </w:rPr>
        <w:t>2023</w:t>
      </w:r>
      <w:r>
        <w:rPr>
          <w:rFonts w:hint="eastAsia" w:ascii="仿宋_GB2312" w:hAnsi="仿宋_GB2312" w:eastAsia="仿宋_GB2312" w:cs="仿宋_GB2312"/>
          <w:bCs/>
          <w:color w:val="auto"/>
          <w:sz w:val="32"/>
          <w:szCs w:val="32"/>
          <w:lang w:val="en-US" w:eastAsia="zh-CN"/>
        </w:rPr>
        <w:t>年</w:t>
      </w:r>
      <w:r>
        <w:rPr>
          <w:rFonts w:hint="default" w:ascii="仿宋_GB2312" w:hAnsi="仿宋_GB2312" w:eastAsia="仿宋_GB2312" w:cs="仿宋_GB2312"/>
          <w:bCs/>
          <w:color w:val="auto"/>
          <w:sz w:val="32"/>
          <w:szCs w:val="32"/>
          <w:lang w:val="en" w:eastAsia="zh-CN"/>
        </w:rPr>
        <w:t>,</w:t>
      </w:r>
      <w:r>
        <w:rPr>
          <w:rFonts w:hint="eastAsia" w:ascii="仿宋_GB2312" w:hAnsi="仿宋_GB2312" w:eastAsia="仿宋_GB2312" w:cs="仿宋_GB2312"/>
          <w:bCs/>
          <w:color w:val="auto"/>
          <w:sz w:val="32"/>
          <w:szCs w:val="32"/>
          <w:lang w:val="en" w:eastAsia="zh-CN"/>
        </w:rPr>
        <w:t>本部门整体</w:t>
      </w:r>
      <w:r>
        <w:rPr>
          <w:rFonts w:hint="eastAsia" w:ascii="仿宋_GB2312" w:hAnsi="仿宋_GB2312" w:eastAsia="仿宋_GB2312" w:cs="仿宋_GB2312"/>
          <w:bCs/>
          <w:color w:val="auto"/>
          <w:sz w:val="32"/>
          <w:szCs w:val="32"/>
          <w:lang w:val="en-US" w:eastAsia="zh-CN"/>
        </w:rPr>
        <w:t>预算执行率70.53%，财政资金使用效率还有待进一步提升。</w:t>
      </w:r>
      <w:r>
        <w:rPr>
          <w:rFonts w:hint="eastAsia" w:ascii="仿宋_GB2312" w:hAnsi="仿宋_GB2312" w:eastAsia="仿宋_GB2312" w:cs="仿宋_GB2312"/>
          <w:color w:val="000000"/>
          <w:sz w:val="32"/>
          <w:szCs w:val="32"/>
          <w:lang w:val="en-US" w:eastAsia="zh-CN"/>
        </w:rPr>
        <w:t>市住建局本级、</w:t>
      </w:r>
      <w:r>
        <w:rPr>
          <w:rFonts w:hint="eastAsia" w:ascii="仿宋_GB2312" w:hAnsi="仿宋_GB2312" w:eastAsia="仿宋_GB2312" w:cs="仿宋_GB2312"/>
          <w:color w:val="000000"/>
          <w:sz w:val="32"/>
          <w:szCs w:val="32"/>
        </w:rPr>
        <w:t>市城乡建设事务中心</w:t>
      </w:r>
      <w:r>
        <w:rPr>
          <w:rFonts w:hint="eastAsia" w:ascii="仿宋_GB2312" w:hAnsi="仿宋_GB2312" w:eastAsia="仿宋_GB2312" w:cs="仿宋_GB2312"/>
          <w:color w:val="000000"/>
          <w:sz w:val="32"/>
          <w:szCs w:val="32"/>
          <w:lang w:val="en-US" w:eastAsia="zh-CN"/>
        </w:rPr>
        <w:t>和</w:t>
      </w:r>
      <w:r>
        <w:rPr>
          <w:rFonts w:hint="eastAsia" w:ascii="仿宋_GB2312" w:hAnsi="仿宋_GB2312" w:eastAsia="仿宋_GB2312" w:cs="仿宋_GB2312"/>
          <w:color w:val="000000"/>
          <w:sz w:val="32"/>
          <w:szCs w:val="32"/>
          <w:highlight w:val="none"/>
          <w:lang w:val="en-US" w:eastAsia="zh-CN"/>
        </w:rPr>
        <w:t>市城市建设档案馆3家单位</w:t>
      </w:r>
      <w:r>
        <w:rPr>
          <w:rFonts w:hint="eastAsia" w:ascii="仿宋_GB2312" w:hAnsi="仿宋_GB2312" w:eastAsia="仿宋_GB2312" w:cs="仿宋_GB2312"/>
          <w:sz w:val="32"/>
          <w:szCs w:val="32"/>
          <w:highlight w:val="none"/>
          <w:lang w:val="en-US" w:eastAsia="zh-CN"/>
        </w:rPr>
        <w:t>城市管网及污水处理补助资金项目预算执行率偏低，导致部门整体预算执行率不高。主要原因为</w:t>
      </w:r>
      <w:r>
        <w:rPr>
          <w:rFonts w:hint="eastAsia" w:ascii="仿宋_GB2312" w:hAnsi="仿宋_GB2312" w:eastAsia="仿宋_GB2312" w:cs="仿宋_GB2312"/>
          <w:b w:val="0"/>
          <w:bCs w:val="0"/>
          <w:color w:val="auto"/>
          <w:sz w:val="32"/>
          <w:szCs w:val="32"/>
          <w:lang w:val="en-US" w:eastAsia="zh-CN"/>
        </w:rPr>
        <w:t>城市管网及污水处理项目</w:t>
      </w:r>
      <w:r>
        <w:rPr>
          <w:rFonts w:hint="eastAsia" w:ascii="仿宋_GB2312" w:hAnsi="仿宋_GB2312" w:eastAsia="仿宋_GB2312" w:cs="仿宋_GB2312"/>
          <w:color w:val="auto"/>
          <w:sz w:val="32"/>
          <w:szCs w:val="32"/>
          <w:lang w:val="en-US" w:eastAsia="zh-CN"/>
        </w:rPr>
        <w:t>方案变动多、前期手续办理困难等原因，部分项目实施进度滞后。</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color w:val="auto"/>
          <w:sz w:val="32"/>
          <w:szCs w:val="32"/>
          <w:lang w:val="en-US" w:eastAsia="zh-CN"/>
        </w:rPr>
        <w:t>2023年底，财政预算一体化系统升级维护，部分资金未及时支付，</w:t>
      </w:r>
      <w:r>
        <w:rPr>
          <w:rFonts w:hint="eastAsia" w:ascii="仿宋_GB2312" w:hAnsi="仿宋_GB2312" w:eastAsia="仿宋_GB2312" w:cs="仿宋_GB2312"/>
          <w:color w:val="auto"/>
          <w:sz w:val="32"/>
          <w:szCs w:val="32"/>
        </w:rPr>
        <w:t>专项资金</w:t>
      </w:r>
      <w:r>
        <w:rPr>
          <w:rFonts w:hint="eastAsia" w:ascii="仿宋_GB2312" w:hAnsi="仿宋_GB2312" w:eastAsia="仿宋_GB2312" w:cs="仿宋_GB2312"/>
          <w:color w:val="auto"/>
          <w:sz w:val="32"/>
          <w:szCs w:val="32"/>
          <w:lang w:val="en-US" w:eastAsia="zh-CN"/>
        </w:rPr>
        <w:t>预算执行率不高导致部门整体预算执行率偏低。</w:t>
      </w:r>
    </w:p>
    <w:p>
      <w:pPr>
        <w:keepNext w:val="0"/>
        <w:keepLines w:val="0"/>
        <w:pageBreakBefore w:val="0"/>
        <w:widowControl/>
        <w:numPr>
          <w:ilvl w:val="0"/>
          <w:numId w:val="1"/>
        </w:numPr>
        <w:kinsoku/>
        <w:wordWrap/>
        <w:overflowPunct/>
        <w:topLinePunct w:val="0"/>
        <w:autoSpaceDE/>
        <w:autoSpaceDN/>
        <w:bidi w:val="0"/>
        <w:adjustRightInd/>
        <w:snapToGrid/>
        <w:spacing w:line="580" w:lineRule="exact"/>
        <w:ind w:left="0" w:leftChars="0" w:firstLine="643" w:firstLineChars="200"/>
        <w:jc w:val="left"/>
        <w:textAlignment w:val="auto"/>
        <w:rPr>
          <w:rFonts w:hint="eastAsia" w:ascii="黑体" w:hAnsi="黑体" w:eastAsia="黑体" w:cs="黑体"/>
          <w:b/>
          <w:bCs/>
          <w:sz w:val="32"/>
          <w:szCs w:val="32"/>
        </w:rPr>
      </w:pPr>
      <w:r>
        <w:rPr>
          <w:rFonts w:hint="eastAsia" w:ascii="黑体" w:hAnsi="黑体" w:eastAsia="黑体" w:cs="黑体"/>
          <w:b/>
          <w:bCs/>
          <w:sz w:val="32"/>
          <w:szCs w:val="32"/>
        </w:rPr>
        <w:t>下一步改进措施</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426" w:leftChars="152" w:firstLine="320" w:firstLineChars="100"/>
        <w:jc w:val="both"/>
        <w:textAlignment w:val="auto"/>
        <w:rPr>
          <w:rFonts w:hint="eastAsia"/>
        </w:rPr>
      </w:pPr>
      <w:r>
        <w:rPr>
          <w:rFonts w:hint="eastAsia" w:eastAsia="仿宋_GB2312" w:cs="Times New Roman"/>
          <w:b w:val="0"/>
          <w:bCs w:val="0"/>
          <w:color w:val="000000"/>
          <w:kern w:val="0"/>
          <w:sz w:val="32"/>
          <w:szCs w:val="32"/>
          <w:lang w:val="en-US" w:eastAsia="zh-CN" w:bidi="ar-SA"/>
        </w:rPr>
        <w:t>（一）合理控制在岗人数，</w:t>
      </w:r>
      <w:r>
        <w:rPr>
          <w:rFonts w:hint="eastAsia" w:eastAsia="仿宋_GB2312" w:cs="Times New Roman"/>
          <w:color w:val="000000"/>
          <w:kern w:val="0"/>
          <w:sz w:val="32"/>
          <w:szCs w:val="32"/>
          <w:lang w:val="en-US" w:eastAsia="zh-CN" w:bidi="ar-SA"/>
        </w:rPr>
        <w:t>及时向编制部门报告实际在编在岗人数，调整“三定方案”，争取逐步解决政策性超编问题。</w:t>
      </w:r>
    </w:p>
    <w:p>
      <w:pPr>
        <w:pStyle w:val="13"/>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80" w:lineRule="exact"/>
        <w:ind w:left="0" w:right="0"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（二）</w:t>
      </w:r>
      <w:r>
        <w:rPr>
          <w:rFonts w:hint="eastAsia" w:ascii="仿宋_GB2312" w:hAnsi="仿宋_GB2312" w:eastAsia="仿宋_GB2312" w:cs="仿宋_GB2312"/>
          <w:b w:val="0"/>
          <w:bCs w:val="0"/>
          <w:color w:val="auto"/>
          <w:sz w:val="32"/>
          <w:szCs w:val="32"/>
          <w:shd w:val="clear" w:color="auto" w:fill="FFFFFF"/>
          <w:lang w:eastAsia="zh-CN"/>
        </w:rPr>
        <w:t>加快</w:t>
      </w:r>
      <w:r>
        <w:rPr>
          <w:rFonts w:hint="eastAsia" w:ascii="仿宋_GB2312" w:hAnsi="仿宋_GB2312" w:eastAsia="仿宋_GB2312" w:cs="仿宋_GB2312"/>
          <w:b w:val="0"/>
          <w:bCs w:val="0"/>
          <w:color w:val="auto"/>
          <w:sz w:val="32"/>
          <w:szCs w:val="32"/>
          <w:shd w:val="clear" w:color="auto" w:fill="FFFFFF"/>
          <w:lang w:val="en-US" w:eastAsia="zh-CN"/>
        </w:rPr>
        <w:t>人才</w:t>
      </w:r>
      <w:r>
        <w:rPr>
          <w:rFonts w:hint="eastAsia" w:ascii="仿宋_GB2312" w:hAnsi="仿宋_GB2312" w:eastAsia="仿宋_GB2312" w:cs="仿宋_GB2312"/>
          <w:b w:val="0"/>
          <w:bCs w:val="0"/>
          <w:color w:val="auto"/>
          <w:sz w:val="32"/>
          <w:szCs w:val="32"/>
          <w:shd w:val="clear" w:color="auto" w:fill="FFFFFF"/>
          <w:lang w:eastAsia="zh-CN"/>
        </w:rPr>
        <w:t>队伍建设，提</w:t>
      </w:r>
      <w:r>
        <w:rPr>
          <w:rFonts w:hint="eastAsia" w:ascii="仿宋_GB2312" w:hAnsi="仿宋_GB2312" w:eastAsia="仿宋_GB2312" w:cs="仿宋_GB2312"/>
          <w:b w:val="0"/>
          <w:bCs w:val="0"/>
          <w:color w:val="auto"/>
          <w:sz w:val="32"/>
          <w:szCs w:val="32"/>
          <w:shd w:val="clear" w:color="auto" w:fill="FFFFFF"/>
          <w:lang w:val="en-US" w:eastAsia="zh-CN"/>
        </w:rPr>
        <w:t>升绩效</w:t>
      </w:r>
      <w:r>
        <w:rPr>
          <w:rFonts w:hint="eastAsia" w:ascii="仿宋_GB2312" w:hAnsi="仿宋_GB2312" w:eastAsia="仿宋_GB2312" w:cs="仿宋_GB2312"/>
          <w:b w:val="0"/>
          <w:bCs w:val="0"/>
          <w:color w:val="auto"/>
          <w:sz w:val="32"/>
          <w:szCs w:val="32"/>
          <w:shd w:val="clear" w:color="auto" w:fill="FFFFFF"/>
          <w:lang w:eastAsia="zh-CN"/>
        </w:rPr>
        <w:t>管理人员专业水平。</w:t>
      </w:r>
      <w:r>
        <w:rPr>
          <w:rFonts w:hint="eastAsia" w:ascii="仿宋_GB2312" w:hAnsi="仿宋_GB2312" w:eastAsia="仿宋_GB2312" w:cs="仿宋_GB2312"/>
          <w:b w:val="0"/>
          <w:bCs/>
          <w:color w:val="000000"/>
          <w:sz w:val="32"/>
          <w:szCs w:val="32"/>
          <w:shd w:val="clear" w:color="auto" w:fill="FFFFFF"/>
          <w:lang w:val="en-US" w:eastAsia="zh-CN"/>
        </w:rPr>
        <w:t>引进专业</w:t>
      </w:r>
      <w:r>
        <w:rPr>
          <w:rFonts w:hint="eastAsia" w:ascii="仿宋_GB2312" w:hAnsi="仿宋_GB2312" w:eastAsia="仿宋_GB2312" w:cs="仿宋_GB2312"/>
          <w:b w:val="0"/>
          <w:bCs/>
          <w:color w:val="000000"/>
          <w:sz w:val="32"/>
          <w:szCs w:val="32"/>
          <w:shd w:val="clear" w:color="auto" w:fill="FFFFFF"/>
          <w:lang w:eastAsia="zh-CN"/>
        </w:rPr>
        <w:t>人</w:t>
      </w:r>
      <w:r>
        <w:rPr>
          <w:rFonts w:hint="eastAsia" w:ascii="仿宋_GB2312" w:hAnsi="仿宋_GB2312" w:eastAsia="仿宋_GB2312" w:cs="仿宋_GB2312"/>
          <w:b w:val="0"/>
          <w:bCs/>
          <w:color w:val="000000"/>
          <w:sz w:val="32"/>
          <w:szCs w:val="32"/>
          <w:shd w:val="clear" w:color="auto" w:fill="FFFFFF"/>
          <w:lang w:val="en-US" w:eastAsia="zh-CN"/>
        </w:rPr>
        <w:t>才</w:t>
      </w:r>
      <w:r>
        <w:rPr>
          <w:rFonts w:hint="eastAsia" w:ascii="仿宋_GB2312" w:hAnsi="仿宋_GB2312" w:eastAsia="仿宋_GB2312" w:cs="仿宋_GB2312"/>
          <w:b w:val="0"/>
          <w:bCs/>
          <w:color w:val="000000"/>
          <w:sz w:val="32"/>
          <w:szCs w:val="32"/>
          <w:shd w:val="clear" w:color="auto" w:fill="FFFFFF"/>
          <w:lang w:eastAsia="zh-CN"/>
        </w:rPr>
        <w:t>，</w:t>
      </w:r>
      <w:r>
        <w:rPr>
          <w:rFonts w:hint="eastAsia" w:ascii="仿宋_GB2312" w:hAnsi="仿宋_GB2312" w:eastAsia="仿宋_GB2312" w:cs="仿宋_GB2312"/>
          <w:b w:val="0"/>
          <w:bCs/>
          <w:color w:val="000000"/>
          <w:sz w:val="32"/>
          <w:szCs w:val="32"/>
          <w:shd w:val="clear" w:color="auto" w:fill="FFFFFF"/>
          <w:lang w:val="en-US" w:eastAsia="zh-CN"/>
        </w:rPr>
        <w:t>充实</w:t>
      </w:r>
      <w:r>
        <w:rPr>
          <w:rFonts w:hint="eastAsia" w:ascii="仿宋_GB2312" w:hAnsi="仿宋_GB2312" w:eastAsia="仿宋_GB2312" w:cs="仿宋_GB2312"/>
          <w:b w:val="0"/>
          <w:bCs/>
          <w:color w:val="000000"/>
          <w:sz w:val="32"/>
          <w:szCs w:val="32"/>
          <w:shd w:val="clear" w:color="auto" w:fill="FFFFFF"/>
          <w:lang w:eastAsia="zh-CN"/>
        </w:rPr>
        <w:t>绩效管理</w:t>
      </w:r>
      <w:r>
        <w:rPr>
          <w:rFonts w:hint="eastAsia" w:ascii="仿宋_GB2312" w:hAnsi="仿宋_GB2312" w:eastAsia="仿宋_GB2312" w:cs="仿宋_GB2312"/>
          <w:b w:val="0"/>
          <w:bCs/>
          <w:color w:val="000000"/>
          <w:sz w:val="32"/>
          <w:szCs w:val="32"/>
          <w:shd w:val="clear" w:color="auto" w:fill="FFFFFF"/>
          <w:lang w:val="en-US" w:eastAsia="zh-CN"/>
        </w:rPr>
        <w:t>人才队伍</w:t>
      </w:r>
      <w:r>
        <w:rPr>
          <w:rFonts w:hint="eastAsia" w:ascii="仿宋_GB2312" w:hAnsi="仿宋_GB2312" w:eastAsia="仿宋_GB2312" w:cs="仿宋_GB2312"/>
          <w:b w:val="0"/>
          <w:bCs/>
          <w:color w:val="000000"/>
          <w:sz w:val="32"/>
          <w:szCs w:val="32"/>
          <w:shd w:val="clear" w:color="auto" w:fill="FFFFFF"/>
          <w:lang w:eastAsia="zh-CN"/>
        </w:rPr>
        <w:t>，加强</w:t>
      </w:r>
      <w:r>
        <w:rPr>
          <w:rFonts w:hint="eastAsia" w:ascii="仿宋_GB2312" w:hAnsi="仿宋_GB2312" w:eastAsia="仿宋_GB2312" w:cs="仿宋_GB2312"/>
          <w:b w:val="0"/>
          <w:bCs/>
          <w:color w:val="000000"/>
          <w:sz w:val="32"/>
          <w:szCs w:val="32"/>
          <w:shd w:val="clear" w:color="auto" w:fill="FFFFFF"/>
          <w:lang w:val="en-US" w:eastAsia="zh-CN"/>
        </w:rPr>
        <w:t>业务学习，提升绩效管理人员综合素质</w:t>
      </w:r>
      <w:r>
        <w:rPr>
          <w:rFonts w:hint="eastAsia" w:ascii="Times New Roman" w:hAnsi="Times New Roman" w:eastAsia="仿宋_GB2312" w:cs="仿宋_GB2312"/>
          <w:color w:val="000000"/>
          <w:sz w:val="32"/>
          <w:szCs w:val="32"/>
          <w:shd w:val="clear" w:color="auto" w:fill="FFFFFF"/>
          <w:lang w:eastAsia="zh-CN"/>
        </w:rPr>
        <w:t>。</w:t>
      </w:r>
      <w:r>
        <w:rPr>
          <w:rFonts w:hint="eastAsia" w:ascii="仿宋_GB2312" w:hAnsi="仿宋_GB2312" w:eastAsia="仿宋_GB2312" w:cs="仿宋_GB2312"/>
          <w:b w:val="0"/>
          <w:bCs/>
          <w:color w:val="000000"/>
          <w:sz w:val="32"/>
          <w:szCs w:val="32"/>
          <w:shd w:val="clear" w:color="auto" w:fill="FFFFFF"/>
          <w:lang w:val="en-US" w:eastAsia="zh-CN"/>
        </w:rPr>
        <w:t>同时，进一步强化部门间协作联动，</w:t>
      </w:r>
      <w:r>
        <w:rPr>
          <w:rFonts w:hint="eastAsia" w:ascii="仿宋_GB2312" w:hAnsi="仿宋_GB2312" w:eastAsia="仿宋_GB2312" w:cs="仿宋_GB2312"/>
          <w:b w:val="0"/>
          <w:bCs/>
          <w:color w:val="000000"/>
          <w:sz w:val="32"/>
          <w:szCs w:val="32"/>
          <w:shd w:val="clear" w:color="auto" w:fill="FFFFFF"/>
          <w:lang w:eastAsia="zh-CN"/>
        </w:rPr>
        <w:t>提</w:t>
      </w:r>
      <w:r>
        <w:rPr>
          <w:rFonts w:hint="eastAsia" w:ascii="仿宋_GB2312" w:hAnsi="仿宋_GB2312" w:eastAsia="仿宋_GB2312" w:cs="仿宋_GB2312"/>
          <w:b w:val="0"/>
          <w:bCs/>
          <w:color w:val="000000"/>
          <w:sz w:val="32"/>
          <w:szCs w:val="32"/>
          <w:shd w:val="clear" w:color="auto" w:fill="FFFFFF"/>
          <w:lang w:val="en-US" w:eastAsia="zh-CN"/>
        </w:rPr>
        <w:t>升</w:t>
      </w:r>
      <w:r>
        <w:rPr>
          <w:rFonts w:hint="eastAsia" w:ascii="仿宋_GB2312" w:hAnsi="仿宋_GB2312" w:eastAsia="仿宋_GB2312" w:cs="仿宋_GB2312"/>
          <w:b w:val="0"/>
          <w:bCs/>
          <w:color w:val="000000"/>
          <w:sz w:val="32"/>
          <w:szCs w:val="32"/>
          <w:shd w:val="clear" w:color="auto" w:fill="FFFFFF"/>
          <w:lang w:eastAsia="zh-CN"/>
        </w:rPr>
        <w:t>绩效管理</w:t>
      </w:r>
      <w:r>
        <w:rPr>
          <w:rFonts w:hint="eastAsia" w:ascii="仿宋_GB2312" w:hAnsi="仿宋_GB2312" w:eastAsia="仿宋_GB2312" w:cs="仿宋_GB2312"/>
          <w:b w:val="0"/>
          <w:bCs/>
          <w:color w:val="000000"/>
          <w:sz w:val="32"/>
          <w:szCs w:val="32"/>
          <w:shd w:val="clear" w:color="auto" w:fill="FFFFFF"/>
          <w:lang w:val="en-US" w:eastAsia="zh-CN"/>
        </w:rPr>
        <w:t>水</w:t>
      </w:r>
      <w:r>
        <w:rPr>
          <w:rFonts w:hint="eastAsia" w:ascii="仿宋_GB2312" w:hAnsi="仿宋_GB2312" w:eastAsia="仿宋_GB2312" w:cs="仿宋_GB2312"/>
          <w:b w:val="0"/>
          <w:bCs/>
          <w:color w:val="000000"/>
          <w:sz w:val="32"/>
          <w:szCs w:val="32"/>
          <w:shd w:val="clear" w:color="auto" w:fill="FFFFFF"/>
          <w:lang w:eastAsia="zh-CN"/>
        </w:rPr>
        <w:t>平。</w:t>
      </w:r>
    </w:p>
    <w:p>
      <w:pPr>
        <w:keepNext w:val="0"/>
        <w:keepLines w:val="0"/>
        <w:pageBreakBefore w:val="0"/>
        <w:widowControl w:val="0"/>
        <w:kinsoku/>
        <w:wordWrap/>
        <w:overflowPunct/>
        <w:topLinePunct w:val="0"/>
        <w:autoSpaceDE/>
        <w:autoSpaceDN/>
        <w:bidi w:val="0"/>
        <w:adjustRightInd/>
        <w:snapToGrid/>
        <w:spacing w:line="580" w:lineRule="exact"/>
        <w:ind w:leftChars="0" w:firstLine="640" w:firstLineChars="200"/>
        <w:jc w:val="left"/>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（三）加强部门间交流沟通，合理预测项目实施进度，根据进度及时与财政部门沟通申请预算资金，提高资金支付效率。</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sz w:val="32"/>
          <w:szCs w:val="32"/>
        </w:rPr>
      </w:pPr>
      <w:r>
        <w:rPr>
          <w:rFonts w:hint="eastAsia" w:ascii="Times New Roman" w:hAnsi="Times New Roman" w:eastAsia="黑体" w:cs="Times New Roman"/>
          <w:sz w:val="32"/>
          <w:szCs w:val="32"/>
          <w:lang w:val="en-US" w:eastAsia="zh-CN"/>
        </w:rPr>
        <w:t>七、</w:t>
      </w:r>
      <w:r>
        <w:rPr>
          <w:rFonts w:hint="default" w:ascii="Times New Roman" w:hAnsi="Times New Roman" w:eastAsia="黑体" w:cs="Times New Roman"/>
          <w:sz w:val="32"/>
          <w:szCs w:val="32"/>
        </w:rPr>
        <w:t>部门整体支出绩效自评结果拟应用和公开情况</w:t>
      </w:r>
      <w:r>
        <w:rPr>
          <w:rFonts w:hint="eastAsia" w:ascii="Times New Roman" w:hAnsi="Times New Roman" w:eastAsia="黑体" w:cs="Times New Roman"/>
          <w:sz w:val="32"/>
          <w:szCs w:val="32"/>
          <w:lang w:eastAsia="zh-CN"/>
        </w:rPr>
        <w:t>，</w:t>
      </w:r>
      <w:r>
        <w:rPr>
          <w:rFonts w:hint="default" w:ascii="Times New Roman" w:hAnsi="Times New Roman" w:eastAsia="黑体" w:cs="Times New Roman"/>
          <w:sz w:val="32"/>
          <w:szCs w:val="32"/>
        </w:rPr>
        <w:t>其他需要说明的情况</w:t>
      </w:r>
      <w:r>
        <w:rPr>
          <w:rFonts w:hint="eastAsia" w:ascii="Times New Roman" w:hAnsi="Times New Roman" w:eastAsia="黑体" w:cs="Times New Roman"/>
          <w:sz w:val="32"/>
          <w:szCs w:val="32"/>
          <w:lang w:eastAsia="zh-CN"/>
        </w:rPr>
        <w:t>。</w:t>
      </w:r>
    </w:p>
    <w:p>
      <w:pPr>
        <w:pStyle w:val="10"/>
        <w:keepNext w:val="0"/>
        <w:keepLines w:val="0"/>
        <w:pageBreakBefore w:val="0"/>
        <w:wordWrap/>
        <w:overflowPunct/>
        <w:topLinePunct w:val="0"/>
        <w:bidi w:val="0"/>
        <w:spacing w:line="560" w:lineRule="exact"/>
        <w:ind w:left="0" w:leftChars="0" w:firstLine="640" w:firstLineChars="200"/>
        <w:jc w:val="both"/>
        <w:rPr>
          <w:rFonts w:hint="eastAsia" w:ascii="黑体" w:hAnsi="黑体" w:eastAsia="黑体" w:cs="黑体"/>
          <w:sz w:val="32"/>
          <w:szCs w:val="32"/>
          <w:highlight w:val="none"/>
          <w:lang w:eastAsia="zh-CN"/>
        </w:rPr>
      </w:pPr>
      <w:r>
        <w:rPr>
          <w:rFonts w:hint="eastAsia" w:ascii="仿宋_GB2312" w:hAnsi="仿宋_GB2312" w:eastAsia="仿宋_GB2312" w:cs="仿宋_GB2312"/>
          <w:b w:val="0"/>
          <w:bCs w:val="0"/>
          <w:sz w:val="32"/>
          <w:szCs w:val="32"/>
        </w:rPr>
        <w:t>部门整体支出绩效自评结果</w:t>
      </w:r>
      <w:r>
        <w:rPr>
          <w:rFonts w:hint="eastAsia" w:ascii="仿宋_GB2312" w:hAnsi="仿宋_GB2312" w:eastAsia="仿宋_GB2312" w:cs="仿宋_GB2312"/>
          <w:b w:val="0"/>
          <w:bCs w:val="0"/>
          <w:sz w:val="32"/>
          <w:szCs w:val="32"/>
          <w:lang w:val="en-US" w:eastAsia="zh-CN"/>
        </w:rPr>
        <w:t>将作为完善本部门相关制度，改进资金管理的重要依据，同时，也将作为部门内部工作总结的参考依据。本部门的预算绩效目标、预算、决算及绩效评价均按相关规定及时在市住建局门户网站进行了公开，无其他需要说明的事项。</w:t>
      </w:r>
    </w:p>
    <w:p>
      <w:pPr>
        <w:spacing w:after="120" w:afterLines="50" w:line="600" w:lineRule="exact"/>
        <w:jc w:val="both"/>
        <w:rPr>
          <w:rFonts w:hint="eastAsia" w:ascii="黑体" w:hAnsi="黑体" w:eastAsia="黑体" w:cs="黑体"/>
          <w:sz w:val="32"/>
          <w:szCs w:val="32"/>
          <w:highlight w:val="none"/>
          <w:lang w:eastAsia="zh-CN"/>
        </w:rPr>
      </w:pPr>
    </w:p>
    <w:p>
      <w:pPr>
        <w:pStyle w:val="7"/>
        <w:keepNext w:val="0"/>
        <w:keepLines w:val="0"/>
        <w:pageBreakBefore w:val="0"/>
        <w:wordWrap/>
        <w:overflowPunct/>
        <w:topLinePunct w:val="0"/>
        <w:bidi w:val="0"/>
        <w:spacing w:line="580" w:lineRule="exact"/>
        <w:rPr>
          <w:rFonts w:hint="eastAsia" w:ascii="仿宋_GB2312" w:hAnsi="仿宋_GB2312" w:eastAsia="仿宋_GB2312" w:cs="仿宋_GB2312"/>
          <w:sz w:val="32"/>
          <w:szCs w:val="32"/>
        </w:rPr>
      </w:pPr>
    </w:p>
    <w:p>
      <w:pPr>
        <w:pStyle w:val="10"/>
        <w:keepNext w:val="0"/>
        <w:keepLines w:val="0"/>
        <w:pageBreakBefore w:val="0"/>
        <w:wordWrap/>
        <w:overflowPunct/>
        <w:topLinePunct w:val="0"/>
        <w:bidi w:val="0"/>
        <w:spacing w:line="580" w:lineRule="exact"/>
        <w:rPr>
          <w:rFonts w:hint="eastAsia" w:ascii="仿宋_GB2312" w:hAnsi="仿宋_GB2312" w:eastAsia="仿宋_GB2312" w:cs="仿宋_GB2312"/>
          <w:sz w:val="32"/>
          <w:szCs w:val="32"/>
        </w:rPr>
      </w:pPr>
    </w:p>
    <w:p>
      <w:pPr>
        <w:keepNext w:val="0"/>
        <w:keepLines w:val="0"/>
        <w:pageBreakBefore w:val="0"/>
        <w:wordWrap/>
        <w:overflowPunct/>
        <w:topLinePunct w:val="0"/>
        <w:bidi w:val="0"/>
        <w:spacing w:line="58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岳阳市住房和城乡建设局</w:t>
      </w:r>
    </w:p>
    <w:p>
      <w:pPr>
        <w:pStyle w:val="7"/>
        <w:keepNext w:val="0"/>
        <w:keepLines w:val="0"/>
        <w:pageBreakBefore w:val="0"/>
        <w:wordWrap/>
        <w:overflowPunct/>
        <w:topLinePunct w:val="0"/>
        <w:bidi w:val="0"/>
        <w:spacing w:line="580" w:lineRule="exact"/>
        <w:rPr>
          <w:rFonts w:hint="default"/>
          <w:lang w:val="en-US" w:eastAsia="zh-CN"/>
        </w:rPr>
      </w:pPr>
      <w:r>
        <w:rPr>
          <w:rFonts w:hint="eastAsia" w:ascii="仿宋_GB2312" w:hAnsi="仿宋_GB2312" w:eastAsia="仿宋_GB2312" w:cs="仿宋_GB2312"/>
          <w:sz w:val="32"/>
          <w:szCs w:val="32"/>
          <w:lang w:val="en-US" w:eastAsia="zh-CN"/>
        </w:rPr>
        <w:t xml:space="preserve">                                2024年6月27日</w:t>
      </w:r>
    </w:p>
    <w:p>
      <w:pPr>
        <w:rPr>
          <w:rFonts w:hint="eastAsia" w:ascii="CESI仿宋-GB2312" w:hAnsi="CESI仿宋-GB2312" w:eastAsia="CESI仿宋-GB2312" w:cs="CESI仿宋-GB2312"/>
          <w:sz w:val="20"/>
          <w:szCs w:val="20"/>
          <w:lang w:eastAsia="zh-CN"/>
        </w:rPr>
      </w:pPr>
      <w:bookmarkStart w:id="3" w:name="_GoBack"/>
      <w:bookmarkEnd w:id="3"/>
    </w:p>
    <w:sectPr>
      <w:headerReference r:id="rId6" w:type="default"/>
      <w:footerReference r:id="rId7"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18030">
    <w:altName w:val="Segoe Print"/>
    <w:panose1 w:val="00000000000000000000"/>
    <w:charset w:val="00"/>
    <w:family w:val="auto"/>
    <w:pitch w:val="default"/>
    <w:sig w:usb0="00000000" w:usb1="00000000" w:usb2="00000000" w:usb3="00000000" w:csb0="00000001" w:csb1="00000000"/>
  </w:font>
  <w:font w:name="方正小标宋_GBK">
    <w:altName w:val="微软雅黑"/>
    <w:panose1 w:val="02000000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华文楷体">
    <w:altName w:val="宋体"/>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altName w:val="黑体"/>
    <w:panose1 w:val="02000000000000000000"/>
    <w:charset w:val="86"/>
    <w:family w:val="auto"/>
    <w:pitch w:val="default"/>
    <w:sig w:usb0="00000000" w:usb1="00000000" w:usb2="00000012" w:usb3="00000000" w:csb0="00040001" w:csb1="00000000"/>
  </w:font>
  <w:font w:name="CESI仿宋-GB2312">
    <w:altName w:val="仿宋"/>
    <w:panose1 w:val="02000500000000000000"/>
    <w:charset w:val="86"/>
    <w:family w:val="auto"/>
    <w:pitch w:val="default"/>
    <w:sig w:usb0="00000000" w:usb1="00000000" w:usb2="00000010" w:usb3="00000000" w:csb0="0004000F" w:csb1="00000000"/>
  </w:font>
  <w:font w:name="方正仿宋_GBK">
    <w:altName w:val="微软雅黑"/>
    <w:panose1 w:val="02000000000000000000"/>
    <w:charset w:val="86"/>
    <w:family w:val="auto"/>
    <w:pitch w:val="default"/>
    <w:sig w:usb0="00000000" w:usb1="00000000" w:usb2="00000000" w:usb3="00000000" w:csb0="0004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s>
      <w:ind w:right="360" w:firstLine="360"/>
      <w:rPr>
        <w:rFonts w:hint="eastAsia" w:ascii="仿宋" w:hAnsi="仿宋" w:eastAsia="仿宋" w:cs="仿宋"/>
        <w:b/>
        <w:bCs/>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s>
      <w:ind w:right="360" w:firstLine="360"/>
      <w:rPr>
        <w:rFonts w:hint="eastAsia" w:ascii="仿宋" w:hAnsi="仿宋" w:eastAsia="仿宋" w:cs="仿宋"/>
        <w:b/>
        <w:bCs/>
        <w:lang w:val="en-US"/>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eepNext w:val="0"/>
      <w:keepLines w:val="0"/>
      <w:pageBreakBefore w:val="0"/>
      <w:widowControl w:val="0"/>
      <w:pBdr>
        <w:bottom w:val="none" w:color="auto" w:sz="0" w:space="0"/>
      </w:pBdr>
      <w:tabs>
        <w:tab w:val="center" w:pos="5387"/>
        <w:tab w:val="left" w:pos="7118"/>
      </w:tabs>
      <w:kinsoku/>
      <w:wordWrap/>
      <w:overflowPunct/>
      <w:topLinePunct w:val="0"/>
      <w:autoSpaceDE/>
      <w:autoSpaceDN/>
      <w:bidi w:val="0"/>
      <w:adjustRightInd/>
      <w:snapToGrid/>
      <w:spacing w:before="313" w:beforeLines="100" w:after="313" w:afterLines="100" w:line="560" w:lineRule="exact"/>
      <w:ind w:left="0" w:leftChars="0" w:firstLine="0" w:firstLineChars="0"/>
      <w:jc w:val="left"/>
      <w:textAlignment w:val="auto"/>
    </w:pPr>
    <w:r>
      <w:rPr>
        <w:rFonts w:hint="eastAsia" w:ascii="华文楷体" w:hAnsi="华文楷体" w:eastAsia="华文楷体" w:cs="华文楷体"/>
        <w:b/>
        <w:bCs w:val="0"/>
        <w:sz w:val="18"/>
        <w:szCs w:val="18"/>
        <w:lang w:val="en-US" w:eastAsia="zh-CN"/>
      </w:rPr>
      <w:tab/>
    </w:r>
    <w:r>
      <w:rPr>
        <w:rFonts w:hint="eastAsia" w:ascii="华文楷体" w:hAnsi="华文楷体" w:eastAsia="华文楷体" w:cs="华文楷体"/>
        <w:b/>
        <w:bCs w:val="0"/>
        <w:sz w:val="18"/>
        <w:szCs w:val="18"/>
        <w:lang w:val="en-US" w:eastAsia="zh-CN"/>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eepNext w:val="0"/>
      <w:keepLines w:val="0"/>
      <w:pageBreakBefore w:val="0"/>
      <w:widowControl w:val="0"/>
      <w:pBdr>
        <w:bottom w:val="none" w:color="auto" w:sz="0" w:space="0"/>
      </w:pBdr>
      <w:tabs>
        <w:tab w:val="center" w:pos="5387"/>
        <w:tab w:val="left" w:pos="7118"/>
      </w:tabs>
      <w:kinsoku/>
      <w:wordWrap/>
      <w:overflowPunct/>
      <w:topLinePunct w:val="0"/>
      <w:autoSpaceDE/>
      <w:autoSpaceDN/>
      <w:bidi w:val="0"/>
      <w:adjustRightInd/>
      <w:snapToGrid/>
      <w:spacing w:before="313" w:beforeLines="100" w:after="313" w:afterLines="100" w:line="560" w:lineRule="exact"/>
      <w:ind w:left="0" w:leftChars="0" w:firstLine="0" w:firstLineChars="0"/>
      <w:jc w:val="left"/>
      <w:textAlignment w:val="auto"/>
    </w:pPr>
    <w:r>
      <w:rPr>
        <w:rFonts w:hint="eastAsia" w:ascii="华文楷体" w:hAnsi="华文楷体" w:eastAsia="华文楷体" w:cs="华文楷体"/>
        <w:b/>
        <w:bCs w:val="0"/>
        <w:sz w:val="18"/>
        <w:szCs w:val="18"/>
        <w:lang w:val="en-US" w:eastAsia="zh-CN"/>
      </w:rPr>
      <w:tab/>
    </w:r>
    <w:r>
      <w:rPr>
        <w:rFonts w:hint="eastAsia" w:ascii="华文楷体" w:hAnsi="华文楷体" w:eastAsia="华文楷体" w:cs="华文楷体"/>
        <w:b/>
        <w:bCs w:val="0"/>
        <w:sz w:val="18"/>
        <w:szCs w:val="18"/>
        <w:lang w:val="en-US"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553F943"/>
    <w:multiLevelType w:val="singleLevel"/>
    <w:tmpl w:val="D553F943"/>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Q0NzEwZTc1NWY1NDRiZTcyMmQ2OGI3ZDNmZjdjZDUifQ=="/>
    <w:docVar w:name="KSO_WPS_MARK_KEY" w:val="6613a9a1-3dcb-4c21-b219-e6c3d0686e9e"/>
  </w:docVars>
  <w:rsids>
    <w:rsidRoot w:val="59886344"/>
    <w:rsid w:val="006360BD"/>
    <w:rsid w:val="00686003"/>
    <w:rsid w:val="00D40FA0"/>
    <w:rsid w:val="00DE2EE8"/>
    <w:rsid w:val="00F47EEA"/>
    <w:rsid w:val="00FC206D"/>
    <w:rsid w:val="0159126E"/>
    <w:rsid w:val="01634AC1"/>
    <w:rsid w:val="01804A4C"/>
    <w:rsid w:val="01B164FB"/>
    <w:rsid w:val="01DC0DAE"/>
    <w:rsid w:val="01F71285"/>
    <w:rsid w:val="022A1FED"/>
    <w:rsid w:val="024C69D2"/>
    <w:rsid w:val="02595AEC"/>
    <w:rsid w:val="026C4FD1"/>
    <w:rsid w:val="0284758F"/>
    <w:rsid w:val="02EA5E5E"/>
    <w:rsid w:val="02F87977"/>
    <w:rsid w:val="03785235"/>
    <w:rsid w:val="038D715B"/>
    <w:rsid w:val="03A24CAD"/>
    <w:rsid w:val="03E4704A"/>
    <w:rsid w:val="03ED2496"/>
    <w:rsid w:val="048964B4"/>
    <w:rsid w:val="04BF3ADE"/>
    <w:rsid w:val="04C35B9F"/>
    <w:rsid w:val="04FA7D7B"/>
    <w:rsid w:val="051E72FC"/>
    <w:rsid w:val="059D6E40"/>
    <w:rsid w:val="06141C07"/>
    <w:rsid w:val="065E4C1C"/>
    <w:rsid w:val="0666397F"/>
    <w:rsid w:val="066A1827"/>
    <w:rsid w:val="066A57F2"/>
    <w:rsid w:val="069D073C"/>
    <w:rsid w:val="06AE7966"/>
    <w:rsid w:val="06DC0977"/>
    <w:rsid w:val="070F2026"/>
    <w:rsid w:val="072A23D5"/>
    <w:rsid w:val="07324C84"/>
    <w:rsid w:val="073F4A62"/>
    <w:rsid w:val="0744651C"/>
    <w:rsid w:val="076444C8"/>
    <w:rsid w:val="0773207B"/>
    <w:rsid w:val="077F7E53"/>
    <w:rsid w:val="07862691"/>
    <w:rsid w:val="07B0770E"/>
    <w:rsid w:val="07B318EB"/>
    <w:rsid w:val="07B70A9C"/>
    <w:rsid w:val="07C05BA3"/>
    <w:rsid w:val="07C531B9"/>
    <w:rsid w:val="07CC7785"/>
    <w:rsid w:val="07DC0653"/>
    <w:rsid w:val="081602FF"/>
    <w:rsid w:val="08176F30"/>
    <w:rsid w:val="08246F2F"/>
    <w:rsid w:val="08332819"/>
    <w:rsid w:val="0845254C"/>
    <w:rsid w:val="086329D2"/>
    <w:rsid w:val="086753A0"/>
    <w:rsid w:val="087A0447"/>
    <w:rsid w:val="08805B35"/>
    <w:rsid w:val="08843074"/>
    <w:rsid w:val="08C94F2B"/>
    <w:rsid w:val="08E91129"/>
    <w:rsid w:val="08E956C9"/>
    <w:rsid w:val="09153CCC"/>
    <w:rsid w:val="091A7535"/>
    <w:rsid w:val="09254867"/>
    <w:rsid w:val="09515177"/>
    <w:rsid w:val="095742E5"/>
    <w:rsid w:val="097A4477"/>
    <w:rsid w:val="097B29A3"/>
    <w:rsid w:val="09840E52"/>
    <w:rsid w:val="0992462A"/>
    <w:rsid w:val="09CA377A"/>
    <w:rsid w:val="09D725B9"/>
    <w:rsid w:val="09FB19F2"/>
    <w:rsid w:val="0A2C39C3"/>
    <w:rsid w:val="0A3960E0"/>
    <w:rsid w:val="0A64315D"/>
    <w:rsid w:val="0A6F38B0"/>
    <w:rsid w:val="0A9D666F"/>
    <w:rsid w:val="0AAC6AA7"/>
    <w:rsid w:val="0ADC1A2A"/>
    <w:rsid w:val="0ADD1EBF"/>
    <w:rsid w:val="0AE0030A"/>
    <w:rsid w:val="0B397198"/>
    <w:rsid w:val="0B6B22C9"/>
    <w:rsid w:val="0B70168E"/>
    <w:rsid w:val="0B8FBDA4"/>
    <w:rsid w:val="0BAD28E2"/>
    <w:rsid w:val="0BC910AF"/>
    <w:rsid w:val="0BCB0FBA"/>
    <w:rsid w:val="0BF26547"/>
    <w:rsid w:val="0BF97585"/>
    <w:rsid w:val="0BFA3EE3"/>
    <w:rsid w:val="0C6E4932"/>
    <w:rsid w:val="0C853969"/>
    <w:rsid w:val="0C8558D4"/>
    <w:rsid w:val="0CC92EB1"/>
    <w:rsid w:val="0CFE2CC9"/>
    <w:rsid w:val="0D0C69B8"/>
    <w:rsid w:val="0D2D174A"/>
    <w:rsid w:val="0D4903E8"/>
    <w:rsid w:val="0D812C77"/>
    <w:rsid w:val="0D914891"/>
    <w:rsid w:val="0DF55654"/>
    <w:rsid w:val="0E325F65"/>
    <w:rsid w:val="0E430A75"/>
    <w:rsid w:val="0E5B6625"/>
    <w:rsid w:val="0E6354DA"/>
    <w:rsid w:val="0E664FCA"/>
    <w:rsid w:val="0EBA0BF1"/>
    <w:rsid w:val="0F074750"/>
    <w:rsid w:val="0F0C5B71"/>
    <w:rsid w:val="0F471D83"/>
    <w:rsid w:val="0FAC4C5F"/>
    <w:rsid w:val="0FBE55AC"/>
    <w:rsid w:val="0FDD25F1"/>
    <w:rsid w:val="0FE71387"/>
    <w:rsid w:val="0FF7F78A"/>
    <w:rsid w:val="0FFD54BA"/>
    <w:rsid w:val="0FFF1B4C"/>
    <w:rsid w:val="0FFF50DE"/>
    <w:rsid w:val="10294501"/>
    <w:rsid w:val="10437371"/>
    <w:rsid w:val="10686DD7"/>
    <w:rsid w:val="10771710"/>
    <w:rsid w:val="109B38FD"/>
    <w:rsid w:val="10CD30DE"/>
    <w:rsid w:val="10DB3A4D"/>
    <w:rsid w:val="10DB78ED"/>
    <w:rsid w:val="10E548CC"/>
    <w:rsid w:val="11194E87"/>
    <w:rsid w:val="11230F50"/>
    <w:rsid w:val="11441ED8"/>
    <w:rsid w:val="11462552"/>
    <w:rsid w:val="116B25EE"/>
    <w:rsid w:val="116E522A"/>
    <w:rsid w:val="118011BB"/>
    <w:rsid w:val="11B10BDE"/>
    <w:rsid w:val="11EB4D1E"/>
    <w:rsid w:val="12053DD9"/>
    <w:rsid w:val="121216F1"/>
    <w:rsid w:val="12175F6E"/>
    <w:rsid w:val="12386319"/>
    <w:rsid w:val="12785E0F"/>
    <w:rsid w:val="12D40754"/>
    <w:rsid w:val="1302009B"/>
    <w:rsid w:val="13842BB3"/>
    <w:rsid w:val="138E4DA7"/>
    <w:rsid w:val="13C12A58"/>
    <w:rsid w:val="13E4357A"/>
    <w:rsid w:val="14092680"/>
    <w:rsid w:val="14340576"/>
    <w:rsid w:val="143E2969"/>
    <w:rsid w:val="14771CDF"/>
    <w:rsid w:val="14E46C49"/>
    <w:rsid w:val="155B3A23"/>
    <w:rsid w:val="155DB7AF"/>
    <w:rsid w:val="15681628"/>
    <w:rsid w:val="15B30AF5"/>
    <w:rsid w:val="15EDE4C6"/>
    <w:rsid w:val="15F81013"/>
    <w:rsid w:val="16461969"/>
    <w:rsid w:val="165322D8"/>
    <w:rsid w:val="16726C02"/>
    <w:rsid w:val="16787CAE"/>
    <w:rsid w:val="16A13043"/>
    <w:rsid w:val="16FE44FE"/>
    <w:rsid w:val="17321EED"/>
    <w:rsid w:val="17462BAF"/>
    <w:rsid w:val="175C5856"/>
    <w:rsid w:val="176C18A3"/>
    <w:rsid w:val="177179AC"/>
    <w:rsid w:val="177D7BF5"/>
    <w:rsid w:val="17BD20FF"/>
    <w:rsid w:val="17F4443D"/>
    <w:rsid w:val="17FD1CBC"/>
    <w:rsid w:val="18711265"/>
    <w:rsid w:val="187B4784"/>
    <w:rsid w:val="188624F1"/>
    <w:rsid w:val="18CD0120"/>
    <w:rsid w:val="18CE58F5"/>
    <w:rsid w:val="18F77894"/>
    <w:rsid w:val="1918468A"/>
    <w:rsid w:val="191F1517"/>
    <w:rsid w:val="19257E15"/>
    <w:rsid w:val="19510D51"/>
    <w:rsid w:val="19886DAA"/>
    <w:rsid w:val="19BB2074"/>
    <w:rsid w:val="19BE61D3"/>
    <w:rsid w:val="19FB0CBC"/>
    <w:rsid w:val="1A305321"/>
    <w:rsid w:val="1A3255AD"/>
    <w:rsid w:val="1A347C2A"/>
    <w:rsid w:val="1A455C72"/>
    <w:rsid w:val="1A6C3FB0"/>
    <w:rsid w:val="1A8E1B30"/>
    <w:rsid w:val="1A9A04D5"/>
    <w:rsid w:val="1AC8508B"/>
    <w:rsid w:val="1AD02149"/>
    <w:rsid w:val="1AD473C3"/>
    <w:rsid w:val="1B1E1106"/>
    <w:rsid w:val="1B3C07CF"/>
    <w:rsid w:val="1B75684C"/>
    <w:rsid w:val="1B930ED5"/>
    <w:rsid w:val="1BDBDAAC"/>
    <w:rsid w:val="1BE91714"/>
    <w:rsid w:val="1C6C5E53"/>
    <w:rsid w:val="1C9D647E"/>
    <w:rsid w:val="1CA613B3"/>
    <w:rsid w:val="1CAA0778"/>
    <w:rsid w:val="1CC07414"/>
    <w:rsid w:val="1CFE11EF"/>
    <w:rsid w:val="1D154850"/>
    <w:rsid w:val="1D7A639C"/>
    <w:rsid w:val="1D7D91CF"/>
    <w:rsid w:val="1D9F7AAC"/>
    <w:rsid w:val="1DA67191"/>
    <w:rsid w:val="1DBFF3AE"/>
    <w:rsid w:val="1DCE4983"/>
    <w:rsid w:val="1DCF66E8"/>
    <w:rsid w:val="1DDA2970"/>
    <w:rsid w:val="1DDC0E05"/>
    <w:rsid w:val="1DF4614E"/>
    <w:rsid w:val="1DFFB221"/>
    <w:rsid w:val="1E207833"/>
    <w:rsid w:val="1E6F1E3A"/>
    <w:rsid w:val="1E7B061E"/>
    <w:rsid w:val="1E7F642C"/>
    <w:rsid w:val="1F1F544D"/>
    <w:rsid w:val="1F2760B0"/>
    <w:rsid w:val="1F2E38E2"/>
    <w:rsid w:val="1F731979"/>
    <w:rsid w:val="1F7FC0DC"/>
    <w:rsid w:val="1FAB09AE"/>
    <w:rsid w:val="1FBF58B1"/>
    <w:rsid w:val="1FC36CA5"/>
    <w:rsid w:val="1FCB2F5D"/>
    <w:rsid w:val="1FD9B729"/>
    <w:rsid w:val="1FDD9128"/>
    <w:rsid w:val="1FE61772"/>
    <w:rsid w:val="1FFFD928"/>
    <w:rsid w:val="1FFFF7A4"/>
    <w:rsid w:val="1FFFFD81"/>
    <w:rsid w:val="201C2ED4"/>
    <w:rsid w:val="201E1332"/>
    <w:rsid w:val="209F5BE0"/>
    <w:rsid w:val="20A53730"/>
    <w:rsid w:val="20AB72FF"/>
    <w:rsid w:val="20BB73F7"/>
    <w:rsid w:val="20C21E5E"/>
    <w:rsid w:val="20D02EA3"/>
    <w:rsid w:val="20E95D13"/>
    <w:rsid w:val="20EF0A18"/>
    <w:rsid w:val="20FA7F20"/>
    <w:rsid w:val="210262CB"/>
    <w:rsid w:val="213203F1"/>
    <w:rsid w:val="21893052"/>
    <w:rsid w:val="21BC481E"/>
    <w:rsid w:val="21C35E19"/>
    <w:rsid w:val="21DA1AFF"/>
    <w:rsid w:val="21E36C06"/>
    <w:rsid w:val="220F79FB"/>
    <w:rsid w:val="2227612F"/>
    <w:rsid w:val="22497867"/>
    <w:rsid w:val="2250646A"/>
    <w:rsid w:val="225D0766"/>
    <w:rsid w:val="22837FA0"/>
    <w:rsid w:val="228850B7"/>
    <w:rsid w:val="2299657C"/>
    <w:rsid w:val="23151041"/>
    <w:rsid w:val="23290C28"/>
    <w:rsid w:val="234611FA"/>
    <w:rsid w:val="23770662"/>
    <w:rsid w:val="239F6AF1"/>
    <w:rsid w:val="23FE5767"/>
    <w:rsid w:val="23FF13A9"/>
    <w:rsid w:val="23FF3824"/>
    <w:rsid w:val="249B7324"/>
    <w:rsid w:val="24AB6318"/>
    <w:rsid w:val="24B86128"/>
    <w:rsid w:val="24D50F03"/>
    <w:rsid w:val="24EF58C2"/>
    <w:rsid w:val="24EF6F44"/>
    <w:rsid w:val="252714BB"/>
    <w:rsid w:val="2535091D"/>
    <w:rsid w:val="254E083A"/>
    <w:rsid w:val="25752391"/>
    <w:rsid w:val="257E6920"/>
    <w:rsid w:val="25874BFA"/>
    <w:rsid w:val="259F4CB5"/>
    <w:rsid w:val="25A35DDE"/>
    <w:rsid w:val="25CB4399"/>
    <w:rsid w:val="25DB502E"/>
    <w:rsid w:val="25F969F8"/>
    <w:rsid w:val="26265313"/>
    <w:rsid w:val="263FAC8C"/>
    <w:rsid w:val="26694414"/>
    <w:rsid w:val="266A5622"/>
    <w:rsid w:val="26AD77E2"/>
    <w:rsid w:val="26D0702D"/>
    <w:rsid w:val="26E06946"/>
    <w:rsid w:val="270A253F"/>
    <w:rsid w:val="27451F66"/>
    <w:rsid w:val="27566AE4"/>
    <w:rsid w:val="27583F63"/>
    <w:rsid w:val="27734588"/>
    <w:rsid w:val="2785110B"/>
    <w:rsid w:val="27A178EB"/>
    <w:rsid w:val="27E65967"/>
    <w:rsid w:val="27FA791F"/>
    <w:rsid w:val="283C0132"/>
    <w:rsid w:val="284B1061"/>
    <w:rsid w:val="287C1A07"/>
    <w:rsid w:val="28AC4878"/>
    <w:rsid w:val="28B76360"/>
    <w:rsid w:val="28EF40E2"/>
    <w:rsid w:val="290C07F0"/>
    <w:rsid w:val="2927562A"/>
    <w:rsid w:val="29A529F3"/>
    <w:rsid w:val="29AFB128"/>
    <w:rsid w:val="29E041E8"/>
    <w:rsid w:val="29E259F5"/>
    <w:rsid w:val="2A1056AF"/>
    <w:rsid w:val="2A216DB9"/>
    <w:rsid w:val="2A255EC6"/>
    <w:rsid w:val="2A32072A"/>
    <w:rsid w:val="2A5561C7"/>
    <w:rsid w:val="2A6F3AA4"/>
    <w:rsid w:val="2A87765E"/>
    <w:rsid w:val="2A907DAF"/>
    <w:rsid w:val="2AAEDC59"/>
    <w:rsid w:val="2AB908E7"/>
    <w:rsid w:val="2ABFCECB"/>
    <w:rsid w:val="2ACD0241"/>
    <w:rsid w:val="2AEA5E2D"/>
    <w:rsid w:val="2B057BED"/>
    <w:rsid w:val="2B165B89"/>
    <w:rsid w:val="2B1758F2"/>
    <w:rsid w:val="2B74267D"/>
    <w:rsid w:val="2B795EE5"/>
    <w:rsid w:val="2B7FC51E"/>
    <w:rsid w:val="2BB56652"/>
    <w:rsid w:val="2BD7225E"/>
    <w:rsid w:val="2BF30071"/>
    <w:rsid w:val="2BF76FDF"/>
    <w:rsid w:val="2BFBB881"/>
    <w:rsid w:val="2C153E60"/>
    <w:rsid w:val="2C73FAE4"/>
    <w:rsid w:val="2C82701B"/>
    <w:rsid w:val="2C852AC3"/>
    <w:rsid w:val="2CB25B52"/>
    <w:rsid w:val="2CE37ABA"/>
    <w:rsid w:val="2CEBD2DB"/>
    <w:rsid w:val="2CF9036F"/>
    <w:rsid w:val="2D0F6B01"/>
    <w:rsid w:val="2D26252F"/>
    <w:rsid w:val="2D2D342B"/>
    <w:rsid w:val="2D570C04"/>
    <w:rsid w:val="2D615866"/>
    <w:rsid w:val="2D6230D5"/>
    <w:rsid w:val="2D6C4992"/>
    <w:rsid w:val="2D6F57F1"/>
    <w:rsid w:val="2D7726DE"/>
    <w:rsid w:val="2D7E6ECD"/>
    <w:rsid w:val="2DB332D5"/>
    <w:rsid w:val="2DBE7B63"/>
    <w:rsid w:val="2DD1025A"/>
    <w:rsid w:val="2DE75388"/>
    <w:rsid w:val="2DED2A2F"/>
    <w:rsid w:val="2DF44C9C"/>
    <w:rsid w:val="2DF950BB"/>
    <w:rsid w:val="2DFA3C1C"/>
    <w:rsid w:val="2DFB69A2"/>
    <w:rsid w:val="2E00100E"/>
    <w:rsid w:val="2E255EB0"/>
    <w:rsid w:val="2E266354"/>
    <w:rsid w:val="2E323C70"/>
    <w:rsid w:val="2E37596C"/>
    <w:rsid w:val="2E4F1651"/>
    <w:rsid w:val="2E5B0F11"/>
    <w:rsid w:val="2E6321EC"/>
    <w:rsid w:val="2E6469D8"/>
    <w:rsid w:val="2E7D5CEC"/>
    <w:rsid w:val="2EAE33D7"/>
    <w:rsid w:val="2EBB8DCA"/>
    <w:rsid w:val="2ED12C1D"/>
    <w:rsid w:val="2ED31DB0"/>
    <w:rsid w:val="2F0401BB"/>
    <w:rsid w:val="2F864494"/>
    <w:rsid w:val="2F8D455A"/>
    <w:rsid w:val="2F923A19"/>
    <w:rsid w:val="2F963509"/>
    <w:rsid w:val="2F967A82"/>
    <w:rsid w:val="2F996B56"/>
    <w:rsid w:val="2F9F7147"/>
    <w:rsid w:val="2F9FBC8A"/>
    <w:rsid w:val="2FA7D9BF"/>
    <w:rsid w:val="2FCA5649"/>
    <w:rsid w:val="2FCC1E2B"/>
    <w:rsid w:val="2FCD7170"/>
    <w:rsid w:val="2FD656B4"/>
    <w:rsid w:val="2FED769E"/>
    <w:rsid w:val="2FFB15CD"/>
    <w:rsid w:val="2FFF8047"/>
    <w:rsid w:val="2FFFBF61"/>
    <w:rsid w:val="3013655B"/>
    <w:rsid w:val="30197C97"/>
    <w:rsid w:val="301C0840"/>
    <w:rsid w:val="30204B81"/>
    <w:rsid w:val="305E56A9"/>
    <w:rsid w:val="30745830"/>
    <w:rsid w:val="309203D5"/>
    <w:rsid w:val="30A12166"/>
    <w:rsid w:val="31050FA3"/>
    <w:rsid w:val="31592A40"/>
    <w:rsid w:val="31840BB2"/>
    <w:rsid w:val="31C65480"/>
    <w:rsid w:val="31E173C0"/>
    <w:rsid w:val="31E7AE75"/>
    <w:rsid w:val="32186458"/>
    <w:rsid w:val="324059AE"/>
    <w:rsid w:val="32431EA4"/>
    <w:rsid w:val="326BD89C"/>
    <w:rsid w:val="32D5188F"/>
    <w:rsid w:val="32F6AA20"/>
    <w:rsid w:val="32FB4AC2"/>
    <w:rsid w:val="33011E4F"/>
    <w:rsid w:val="33193207"/>
    <w:rsid w:val="331A5F4A"/>
    <w:rsid w:val="3341553A"/>
    <w:rsid w:val="33865DC7"/>
    <w:rsid w:val="33951F71"/>
    <w:rsid w:val="33A43B7D"/>
    <w:rsid w:val="33C00F96"/>
    <w:rsid w:val="33CE6204"/>
    <w:rsid w:val="33D20888"/>
    <w:rsid w:val="33F47009"/>
    <w:rsid w:val="346F7E2A"/>
    <w:rsid w:val="347D3C45"/>
    <w:rsid w:val="34C725A3"/>
    <w:rsid w:val="34D81ECE"/>
    <w:rsid w:val="34DB54D7"/>
    <w:rsid w:val="34ED4BC2"/>
    <w:rsid w:val="34F43D78"/>
    <w:rsid w:val="3522139B"/>
    <w:rsid w:val="358365A9"/>
    <w:rsid w:val="359D0A22"/>
    <w:rsid w:val="35A401DF"/>
    <w:rsid w:val="35AE2941"/>
    <w:rsid w:val="35EB9B9E"/>
    <w:rsid w:val="35EFAC96"/>
    <w:rsid w:val="35FF2430"/>
    <w:rsid w:val="360A4309"/>
    <w:rsid w:val="360F2C09"/>
    <w:rsid w:val="36266C69"/>
    <w:rsid w:val="36275865"/>
    <w:rsid w:val="363671F6"/>
    <w:rsid w:val="363A24B5"/>
    <w:rsid w:val="364C2B74"/>
    <w:rsid w:val="364F7F6E"/>
    <w:rsid w:val="3652180C"/>
    <w:rsid w:val="36581519"/>
    <w:rsid w:val="36822BFC"/>
    <w:rsid w:val="369736C3"/>
    <w:rsid w:val="36AF0189"/>
    <w:rsid w:val="37071D9A"/>
    <w:rsid w:val="370A2254"/>
    <w:rsid w:val="370F690F"/>
    <w:rsid w:val="37284DD2"/>
    <w:rsid w:val="373DA884"/>
    <w:rsid w:val="373F6AB3"/>
    <w:rsid w:val="37425D25"/>
    <w:rsid w:val="374D4AE0"/>
    <w:rsid w:val="375528B1"/>
    <w:rsid w:val="375DA033"/>
    <w:rsid w:val="37AFFE0A"/>
    <w:rsid w:val="37B33D11"/>
    <w:rsid w:val="37E1075A"/>
    <w:rsid w:val="37F4701F"/>
    <w:rsid w:val="37F94635"/>
    <w:rsid w:val="37FF99D1"/>
    <w:rsid w:val="386226AD"/>
    <w:rsid w:val="38835502"/>
    <w:rsid w:val="38961E84"/>
    <w:rsid w:val="38966288"/>
    <w:rsid w:val="38B60571"/>
    <w:rsid w:val="38B899B1"/>
    <w:rsid w:val="38C27B00"/>
    <w:rsid w:val="38D34FA3"/>
    <w:rsid w:val="38EF22C3"/>
    <w:rsid w:val="38F82B3F"/>
    <w:rsid w:val="38FA6611"/>
    <w:rsid w:val="38FD283D"/>
    <w:rsid w:val="38FE7A29"/>
    <w:rsid w:val="390F15E7"/>
    <w:rsid w:val="391E9F9B"/>
    <w:rsid w:val="39292CF8"/>
    <w:rsid w:val="395A00C9"/>
    <w:rsid w:val="39697599"/>
    <w:rsid w:val="39F27D2F"/>
    <w:rsid w:val="39F27F9B"/>
    <w:rsid w:val="39F822BF"/>
    <w:rsid w:val="39FF84B0"/>
    <w:rsid w:val="3A1514CF"/>
    <w:rsid w:val="3A435FDA"/>
    <w:rsid w:val="3A5F274A"/>
    <w:rsid w:val="3A9A0ADC"/>
    <w:rsid w:val="3AA20FB4"/>
    <w:rsid w:val="3AA43BC4"/>
    <w:rsid w:val="3AAA60BB"/>
    <w:rsid w:val="3AF7F4FD"/>
    <w:rsid w:val="3AFB3ECF"/>
    <w:rsid w:val="3B1A69A1"/>
    <w:rsid w:val="3B400359"/>
    <w:rsid w:val="3B75AE6B"/>
    <w:rsid w:val="3B7F7EE6"/>
    <w:rsid w:val="3B86D821"/>
    <w:rsid w:val="3B950BF5"/>
    <w:rsid w:val="3B9C1EA7"/>
    <w:rsid w:val="3B9FCCEA"/>
    <w:rsid w:val="3BB475EC"/>
    <w:rsid w:val="3BB84807"/>
    <w:rsid w:val="3BBF5F0B"/>
    <w:rsid w:val="3BCE14CB"/>
    <w:rsid w:val="3BD14C31"/>
    <w:rsid w:val="3BFD50E3"/>
    <w:rsid w:val="3C1F6635"/>
    <w:rsid w:val="3C236B51"/>
    <w:rsid w:val="3C263ACB"/>
    <w:rsid w:val="3C30439E"/>
    <w:rsid w:val="3C517B1A"/>
    <w:rsid w:val="3C6A5B02"/>
    <w:rsid w:val="3CBF2111"/>
    <w:rsid w:val="3CEBDA4A"/>
    <w:rsid w:val="3CFB1E85"/>
    <w:rsid w:val="3CFB44CF"/>
    <w:rsid w:val="3CFD17E2"/>
    <w:rsid w:val="3D0F57B7"/>
    <w:rsid w:val="3D2A5291"/>
    <w:rsid w:val="3D3D35B6"/>
    <w:rsid w:val="3D3E7D26"/>
    <w:rsid w:val="3D461908"/>
    <w:rsid w:val="3D542857"/>
    <w:rsid w:val="3D5EEC95"/>
    <w:rsid w:val="3D7DE0DE"/>
    <w:rsid w:val="3DAE6C4B"/>
    <w:rsid w:val="3DB01EA4"/>
    <w:rsid w:val="3DBA600C"/>
    <w:rsid w:val="3DD61E38"/>
    <w:rsid w:val="3DDF8D93"/>
    <w:rsid w:val="3DEAFB4E"/>
    <w:rsid w:val="3DFC4E7F"/>
    <w:rsid w:val="3E19F154"/>
    <w:rsid w:val="3E1D441E"/>
    <w:rsid w:val="3E4A55DD"/>
    <w:rsid w:val="3E63223A"/>
    <w:rsid w:val="3E705A59"/>
    <w:rsid w:val="3E7F354D"/>
    <w:rsid w:val="3E9104D6"/>
    <w:rsid w:val="3ECF48DA"/>
    <w:rsid w:val="3EDED4B6"/>
    <w:rsid w:val="3EE17BD1"/>
    <w:rsid w:val="3EEFD74A"/>
    <w:rsid w:val="3EF90ADB"/>
    <w:rsid w:val="3EFB5137"/>
    <w:rsid w:val="3EFC453E"/>
    <w:rsid w:val="3EFF2BD7"/>
    <w:rsid w:val="3F1B71E4"/>
    <w:rsid w:val="3F5F083C"/>
    <w:rsid w:val="3F5F908B"/>
    <w:rsid w:val="3F7D2D23"/>
    <w:rsid w:val="3F7F3F32"/>
    <w:rsid w:val="3F7F5766"/>
    <w:rsid w:val="3F850EA5"/>
    <w:rsid w:val="3F8D4B07"/>
    <w:rsid w:val="3FAD5E4E"/>
    <w:rsid w:val="3FB12923"/>
    <w:rsid w:val="3FB463EF"/>
    <w:rsid w:val="3FB7AAA9"/>
    <w:rsid w:val="3FB9A404"/>
    <w:rsid w:val="3FBF1709"/>
    <w:rsid w:val="3FCF47A1"/>
    <w:rsid w:val="3FD44BBA"/>
    <w:rsid w:val="3FD74A40"/>
    <w:rsid w:val="3FDE14D7"/>
    <w:rsid w:val="3FE23C01"/>
    <w:rsid w:val="3FE3F466"/>
    <w:rsid w:val="3FED64A0"/>
    <w:rsid w:val="3FEFE697"/>
    <w:rsid w:val="3FF01927"/>
    <w:rsid w:val="3FF360C0"/>
    <w:rsid w:val="3FF36EA9"/>
    <w:rsid w:val="3FF5666B"/>
    <w:rsid w:val="3FF76DF4"/>
    <w:rsid w:val="40095632"/>
    <w:rsid w:val="4015150C"/>
    <w:rsid w:val="40384169"/>
    <w:rsid w:val="408E14D3"/>
    <w:rsid w:val="40A72BE6"/>
    <w:rsid w:val="40B25CC9"/>
    <w:rsid w:val="40F04078"/>
    <w:rsid w:val="41250249"/>
    <w:rsid w:val="41263FC1"/>
    <w:rsid w:val="41445405"/>
    <w:rsid w:val="417F9B5B"/>
    <w:rsid w:val="41AA4D69"/>
    <w:rsid w:val="41C33CBD"/>
    <w:rsid w:val="41EC50B7"/>
    <w:rsid w:val="41F323BA"/>
    <w:rsid w:val="423073B5"/>
    <w:rsid w:val="423C1834"/>
    <w:rsid w:val="42434045"/>
    <w:rsid w:val="427E084B"/>
    <w:rsid w:val="42B07FE6"/>
    <w:rsid w:val="42B85E4D"/>
    <w:rsid w:val="42BE7244"/>
    <w:rsid w:val="42F205FF"/>
    <w:rsid w:val="43212C92"/>
    <w:rsid w:val="43456981"/>
    <w:rsid w:val="43600E8D"/>
    <w:rsid w:val="43851473"/>
    <w:rsid w:val="43A86F10"/>
    <w:rsid w:val="443F223A"/>
    <w:rsid w:val="44540714"/>
    <w:rsid w:val="44580936"/>
    <w:rsid w:val="4469669F"/>
    <w:rsid w:val="4494139D"/>
    <w:rsid w:val="44D3620E"/>
    <w:rsid w:val="44E919BB"/>
    <w:rsid w:val="44E95A32"/>
    <w:rsid w:val="44ED72D0"/>
    <w:rsid w:val="4502593A"/>
    <w:rsid w:val="453558CB"/>
    <w:rsid w:val="45611A6C"/>
    <w:rsid w:val="4575533A"/>
    <w:rsid w:val="45921C25"/>
    <w:rsid w:val="45A1630C"/>
    <w:rsid w:val="45A75D0D"/>
    <w:rsid w:val="45C83899"/>
    <w:rsid w:val="45E5652E"/>
    <w:rsid w:val="45FB5A1D"/>
    <w:rsid w:val="462813AD"/>
    <w:rsid w:val="462B20AF"/>
    <w:rsid w:val="469D4D26"/>
    <w:rsid w:val="46D401F9"/>
    <w:rsid w:val="46EF3F6F"/>
    <w:rsid w:val="47233C1C"/>
    <w:rsid w:val="47300AA9"/>
    <w:rsid w:val="475B444D"/>
    <w:rsid w:val="47A143A2"/>
    <w:rsid w:val="47E30CAB"/>
    <w:rsid w:val="48052B82"/>
    <w:rsid w:val="480706A9"/>
    <w:rsid w:val="480D1A37"/>
    <w:rsid w:val="482A79C2"/>
    <w:rsid w:val="483B3270"/>
    <w:rsid w:val="48666E9C"/>
    <w:rsid w:val="486D24D6"/>
    <w:rsid w:val="48A0232C"/>
    <w:rsid w:val="48A229A7"/>
    <w:rsid w:val="48B06F92"/>
    <w:rsid w:val="48CB3DCC"/>
    <w:rsid w:val="48E22EC4"/>
    <w:rsid w:val="49290AF3"/>
    <w:rsid w:val="49663AF5"/>
    <w:rsid w:val="49973CAE"/>
    <w:rsid w:val="49A90757"/>
    <w:rsid w:val="49C56A6D"/>
    <w:rsid w:val="4A1455C1"/>
    <w:rsid w:val="4A2CE6EE"/>
    <w:rsid w:val="4A5B4CDC"/>
    <w:rsid w:val="4A5C6A26"/>
    <w:rsid w:val="4ABB5336"/>
    <w:rsid w:val="4AD36F68"/>
    <w:rsid w:val="4AE502B3"/>
    <w:rsid w:val="4AEE9A6C"/>
    <w:rsid w:val="4B9D7E66"/>
    <w:rsid w:val="4BC62629"/>
    <w:rsid w:val="4BC757E7"/>
    <w:rsid w:val="4BD34AC1"/>
    <w:rsid w:val="4BD70F39"/>
    <w:rsid w:val="4BDE5BC4"/>
    <w:rsid w:val="4BE111C9"/>
    <w:rsid w:val="4C327CBE"/>
    <w:rsid w:val="4C374E04"/>
    <w:rsid w:val="4C3D6D8F"/>
    <w:rsid w:val="4C410C2E"/>
    <w:rsid w:val="4C4D2D4A"/>
    <w:rsid w:val="4C51283A"/>
    <w:rsid w:val="4C68117A"/>
    <w:rsid w:val="4CFB27A6"/>
    <w:rsid w:val="4CFD4C2D"/>
    <w:rsid w:val="4D057E41"/>
    <w:rsid w:val="4D2254A5"/>
    <w:rsid w:val="4D3518E9"/>
    <w:rsid w:val="4D4C3002"/>
    <w:rsid w:val="4D4F747D"/>
    <w:rsid w:val="4D587BF8"/>
    <w:rsid w:val="4D5BA636"/>
    <w:rsid w:val="4D783DF7"/>
    <w:rsid w:val="4D7FE6F5"/>
    <w:rsid w:val="4D9FD98D"/>
    <w:rsid w:val="4DB51A7B"/>
    <w:rsid w:val="4DBF175F"/>
    <w:rsid w:val="4DC25072"/>
    <w:rsid w:val="4DEE5E67"/>
    <w:rsid w:val="4E1F216C"/>
    <w:rsid w:val="4E37780E"/>
    <w:rsid w:val="4E5B24F3"/>
    <w:rsid w:val="4E683E6B"/>
    <w:rsid w:val="4EA053B3"/>
    <w:rsid w:val="4ECF7A46"/>
    <w:rsid w:val="4EEE65B6"/>
    <w:rsid w:val="4EFED10A"/>
    <w:rsid w:val="4F1F6C12"/>
    <w:rsid w:val="4F2F41ED"/>
    <w:rsid w:val="4F561F16"/>
    <w:rsid w:val="4F5BBC88"/>
    <w:rsid w:val="4F5F205E"/>
    <w:rsid w:val="4F844CD5"/>
    <w:rsid w:val="4FB21E51"/>
    <w:rsid w:val="4FC6709B"/>
    <w:rsid w:val="4FCDE750"/>
    <w:rsid w:val="4FE90FDC"/>
    <w:rsid w:val="4FFBCED2"/>
    <w:rsid w:val="500F12E8"/>
    <w:rsid w:val="501F1A47"/>
    <w:rsid w:val="50342257"/>
    <w:rsid w:val="50A21754"/>
    <w:rsid w:val="50B85257"/>
    <w:rsid w:val="50CE3AF3"/>
    <w:rsid w:val="510654A1"/>
    <w:rsid w:val="511128C3"/>
    <w:rsid w:val="51187C92"/>
    <w:rsid w:val="51226553"/>
    <w:rsid w:val="515A6593"/>
    <w:rsid w:val="51622DF4"/>
    <w:rsid w:val="516923D4"/>
    <w:rsid w:val="51820AF0"/>
    <w:rsid w:val="51A941A0"/>
    <w:rsid w:val="51B00003"/>
    <w:rsid w:val="51B3364F"/>
    <w:rsid w:val="51D5044D"/>
    <w:rsid w:val="51D67676"/>
    <w:rsid w:val="51D744ED"/>
    <w:rsid w:val="51DD2429"/>
    <w:rsid w:val="5208399B"/>
    <w:rsid w:val="5237FF64"/>
    <w:rsid w:val="528665FC"/>
    <w:rsid w:val="5290573F"/>
    <w:rsid w:val="52BC29D7"/>
    <w:rsid w:val="52CC0FE1"/>
    <w:rsid w:val="52EB39FE"/>
    <w:rsid w:val="530E3FBE"/>
    <w:rsid w:val="531F69CC"/>
    <w:rsid w:val="532FDE2C"/>
    <w:rsid w:val="534830A9"/>
    <w:rsid w:val="536A41E2"/>
    <w:rsid w:val="537A2677"/>
    <w:rsid w:val="5394188A"/>
    <w:rsid w:val="539712AB"/>
    <w:rsid w:val="53A47010"/>
    <w:rsid w:val="53CB2EA2"/>
    <w:rsid w:val="53CE651E"/>
    <w:rsid w:val="53E32B46"/>
    <w:rsid w:val="53EF0EB8"/>
    <w:rsid w:val="53FF0DCE"/>
    <w:rsid w:val="543C5B7E"/>
    <w:rsid w:val="545729B8"/>
    <w:rsid w:val="548F03CF"/>
    <w:rsid w:val="54957EA1"/>
    <w:rsid w:val="54B958E9"/>
    <w:rsid w:val="54F46B05"/>
    <w:rsid w:val="550672D2"/>
    <w:rsid w:val="557CFEB6"/>
    <w:rsid w:val="55A734CB"/>
    <w:rsid w:val="55CA71B9"/>
    <w:rsid w:val="55D01AD3"/>
    <w:rsid w:val="55FB2E5B"/>
    <w:rsid w:val="560A7EA2"/>
    <w:rsid w:val="566F34AD"/>
    <w:rsid w:val="567A0BDF"/>
    <w:rsid w:val="569DEBD5"/>
    <w:rsid w:val="56AB2B47"/>
    <w:rsid w:val="56AE2F53"/>
    <w:rsid w:val="56ED4E88"/>
    <w:rsid w:val="56FDFECC"/>
    <w:rsid w:val="571F5B19"/>
    <w:rsid w:val="572528F9"/>
    <w:rsid w:val="57365AEB"/>
    <w:rsid w:val="573C5E95"/>
    <w:rsid w:val="573ED5E7"/>
    <w:rsid w:val="57660765"/>
    <w:rsid w:val="57696212"/>
    <w:rsid w:val="5778511F"/>
    <w:rsid w:val="577949F3"/>
    <w:rsid w:val="578BAB81"/>
    <w:rsid w:val="57981DED"/>
    <w:rsid w:val="57A339F7"/>
    <w:rsid w:val="57C52DA1"/>
    <w:rsid w:val="57D83E10"/>
    <w:rsid w:val="57DC4C36"/>
    <w:rsid w:val="57E7A9C5"/>
    <w:rsid w:val="57FB116F"/>
    <w:rsid w:val="57FC6CB3"/>
    <w:rsid w:val="57FDC74E"/>
    <w:rsid w:val="57FE56F1"/>
    <w:rsid w:val="582B13C9"/>
    <w:rsid w:val="583B103D"/>
    <w:rsid w:val="58704048"/>
    <w:rsid w:val="58957458"/>
    <w:rsid w:val="589F66DB"/>
    <w:rsid w:val="58CD4FF7"/>
    <w:rsid w:val="58EF2C23"/>
    <w:rsid w:val="58FB1BCC"/>
    <w:rsid w:val="593037D7"/>
    <w:rsid w:val="595E1CC5"/>
    <w:rsid w:val="596F671B"/>
    <w:rsid w:val="59770432"/>
    <w:rsid w:val="59774605"/>
    <w:rsid w:val="597F02B1"/>
    <w:rsid w:val="59886344"/>
    <w:rsid w:val="59CDEF09"/>
    <w:rsid w:val="59D9CA98"/>
    <w:rsid w:val="59DEB892"/>
    <w:rsid w:val="59EDDF6F"/>
    <w:rsid w:val="5A026F22"/>
    <w:rsid w:val="5A236E98"/>
    <w:rsid w:val="5A2B668B"/>
    <w:rsid w:val="5A706581"/>
    <w:rsid w:val="5A753B98"/>
    <w:rsid w:val="5A7C840F"/>
    <w:rsid w:val="5A7D47FA"/>
    <w:rsid w:val="5A93401E"/>
    <w:rsid w:val="5AA66670"/>
    <w:rsid w:val="5AA955EF"/>
    <w:rsid w:val="5AD004B8"/>
    <w:rsid w:val="5AE60ECA"/>
    <w:rsid w:val="5AF70D37"/>
    <w:rsid w:val="5AF7ED90"/>
    <w:rsid w:val="5AFA2E20"/>
    <w:rsid w:val="5AFE909C"/>
    <w:rsid w:val="5B1769FD"/>
    <w:rsid w:val="5B1838A8"/>
    <w:rsid w:val="5B2A6030"/>
    <w:rsid w:val="5B47203F"/>
    <w:rsid w:val="5B610F2D"/>
    <w:rsid w:val="5B661732"/>
    <w:rsid w:val="5B7F4576"/>
    <w:rsid w:val="5B931B57"/>
    <w:rsid w:val="5BAF4E87"/>
    <w:rsid w:val="5BAF6D6C"/>
    <w:rsid w:val="5BCA3A6F"/>
    <w:rsid w:val="5BCCCE4F"/>
    <w:rsid w:val="5BD7618C"/>
    <w:rsid w:val="5BED057A"/>
    <w:rsid w:val="5BF47B80"/>
    <w:rsid w:val="5BFEA14C"/>
    <w:rsid w:val="5BFFDB32"/>
    <w:rsid w:val="5C1B3BFC"/>
    <w:rsid w:val="5C1E200D"/>
    <w:rsid w:val="5C34503D"/>
    <w:rsid w:val="5C367984"/>
    <w:rsid w:val="5C441A74"/>
    <w:rsid w:val="5C487519"/>
    <w:rsid w:val="5C5F64A7"/>
    <w:rsid w:val="5C701FDC"/>
    <w:rsid w:val="5C782848"/>
    <w:rsid w:val="5C9D2F32"/>
    <w:rsid w:val="5CA249EC"/>
    <w:rsid w:val="5CAB38A1"/>
    <w:rsid w:val="5CAF5066"/>
    <w:rsid w:val="5CDCE078"/>
    <w:rsid w:val="5CDE1CC9"/>
    <w:rsid w:val="5CE40B61"/>
    <w:rsid w:val="5CEB2BD8"/>
    <w:rsid w:val="5CEF1F98"/>
    <w:rsid w:val="5CFDA214"/>
    <w:rsid w:val="5CFF1E3E"/>
    <w:rsid w:val="5CFF719E"/>
    <w:rsid w:val="5D043179"/>
    <w:rsid w:val="5D57CE8F"/>
    <w:rsid w:val="5D6EA18D"/>
    <w:rsid w:val="5D7873D3"/>
    <w:rsid w:val="5D7D26FF"/>
    <w:rsid w:val="5DB46785"/>
    <w:rsid w:val="5DBBF790"/>
    <w:rsid w:val="5DCE5914"/>
    <w:rsid w:val="5DD45079"/>
    <w:rsid w:val="5DEB8CCD"/>
    <w:rsid w:val="5DEF583D"/>
    <w:rsid w:val="5DF7AC11"/>
    <w:rsid w:val="5DF7E899"/>
    <w:rsid w:val="5E224037"/>
    <w:rsid w:val="5E5E7D91"/>
    <w:rsid w:val="5E7F7F08"/>
    <w:rsid w:val="5E802B0B"/>
    <w:rsid w:val="5E9A1E1F"/>
    <w:rsid w:val="5EAE23D2"/>
    <w:rsid w:val="5EB6652D"/>
    <w:rsid w:val="5ED52E57"/>
    <w:rsid w:val="5EEC6AF4"/>
    <w:rsid w:val="5EF7C66C"/>
    <w:rsid w:val="5EF7DFB7"/>
    <w:rsid w:val="5EFE87AD"/>
    <w:rsid w:val="5F3F470A"/>
    <w:rsid w:val="5F5EE4A1"/>
    <w:rsid w:val="5F5F572C"/>
    <w:rsid w:val="5F6F40B6"/>
    <w:rsid w:val="5F729116"/>
    <w:rsid w:val="5F77BEAD"/>
    <w:rsid w:val="5F7EBDC0"/>
    <w:rsid w:val="5F84556C"/>
    <w:rsid w:val="5F8A0C48"/>
    <w:rsid w:val="5F8B3C4D"/>
    <w:rsid w:val="5FA168CF"/>
    <w:rsid w:val="5FAF02CE"/>
    <w:rsid w:val="5FAF6699"/>
    <w:rsid w:val="5FAF87D0"/>
    <w:rsid w:val="5FBF09FE"/>
    <w:rsid w:val="5FCE126B"/>
    <w:rsid w:val="5FCF3947"/>
    <w:rsid w:val="5FD5A645"/>
    <w:rsid w:val="5FDB1752"/>
    <w:rsid w:val="5FDE5AE1"/>
    <w:rsid w:val="5FE79416"/>
    <w:rsid w:val="5FF437B1"/>
    <w:rsid w:val="5FF6516E"/>
    <w:rsid w:val="5FF7CC1C"/>
    <w:rsid w:val="5FFB1095"/>
    <w:rsid w:val="5FFB712F"/>
    <w:rsid w:val="5FFD2520"/>
    <w:rsid w:val="5FFE7E11"/>
    <w:rsid w:val="5FFF74E9"/>
    <w:rsid w:val="5FFFD392"/>
    <w:rsid w:val="60213E7A"/>
    <w:rsid w:val="602A0F80"/>
    <w:rsid w:val="60340051"/>
    <w:rsid w:val="604162CA"/>
    <w:rsid w:val="60576417"/>
    <w:rsid w:val="606B7E4D"/>
    <w:rsid w:val="606F1089"/>
    <w:rsid w:val="609053C6"/>
    <w:rsid w:val="60F0369B"/>
    <w:rsid w:val="61113EEE"/>
    <w:rsid w:val="614F74D6"/>
    <w:rsid w:val="61B74A96"/>
    <w:rsid w:val="61DE64C6"/>
    <w:rsid w:val="621C2B4B"/>
    <w:rsid w:val="6272AE8A"/>
    <w:rsid w:val="62782477"/>
    <w:rsid w:val="62A3501A"/>
    <w:rsid w:val="62CE653B"/>
    <w:rsid w:val="62D13935"/>
    <w:rsid w:val="62DE2131"/>
    <w:rsid w:val="62FB4E56"/>
    <w:rsid w:val="631636F6"/>
    <w:rsid w:val="6319082D"/>
    <w:rsid w:val="639A466F"/>
    <w:rsid w:val="63AB1B48"/>
    <w:rsid w:val="63F20007"/>
    <w:rsid w:val="63F55D49"/>
    <w:rsid w:val="647C3D75"/>
    <w:rsid w:val="64921A25"/>
    <w:rsid w:val="6496278C"/>
    <w:rsid w:val="64A07A63"/>
    <w:rsid w:val="64A86918"/>
    <w:rsid w:val="64F93617"/>
    <w:rsid w:val="64FD6C64"/>
    <w:rsid w:val="64FE29DC"/>
    <w:rsid w:val="650147A4"/>
    <w:rsid w:val="652341F0"/>
    <w:rsid w:val="653C5357"/>
    <w:rsid w:val="65973C84"/>
    <w:rsid w:val="65A90B99"/>
    <w:rsid w:val="65B01354"/>
    <w:rsid w:val="65D852D0"/>
    <w:rsid w:val="65E95A87"/>
    <w:rsid w:val="65F17670"/>
    <w:rsid w:val="65F77B57"/>
    <w:rsid w:val="65FB71E9"/>
    <w:rsid w:val="662A7F2C"/>
    <w:rsid w:val="66555511"/>
    <w:rsid w:val="66AD75DA"/>
    <w:rsid w:val="66B45A48"/>
    <w:rsid w:val="66BE1EC4"/>
    <w:rsid w:val="66E856F1"/>
    <w:rsid w:val="66EF4CD2"/>
    <w:rsid w:val="66F7158F"/>
    <w:rsid w:val="66FCBA20"/>
    <w:rsid w:val="670B1518"/>
    <w:rsid w:val="67334BBF"/>
    <w:rsid w:val="674C1385"/>
    <w:rsid w:val="67571FC7"/>
    <w:rsid w:val="675E416B"/>
    <w:rsid w:val="675FA3E9"/>
    <w:rsid w:val="677C39CD"/>
    <w:rsid w:val="677F822D"/>
    <w:rsid w:val="678C6785"/>
    <w:rsid w:val="67A16441"/>
    <w:rsid w:val="67AB65B6"/>
    <w:rsid w:val="67ADD4E1"/>
    <w:rsid w:val="67B27224"/>
    <w:rsid w:val="67B72CC9"/>
    <w:rsid w:val="67BB782A"/>
    <w:rsid w:val="67F5ED4F"/>
    <w:rsid w:val="67FA9703"/>
    <w:rsid w:val="67FE9199"/>
    <w:rsid w:val="68012C21"/>
    <w:rsid w:val="685D2767"/>
    <w:rsid w:val="687D953E"/>
    <w:rsid w:val="689E3902"/>
    <w:rsid w:val="68D221B5"/>
    <w:rsid w:val="68E03656"/>
    <w:rsid w:val="691C1682"/>
    <w:rsid w:val="692B3780"/>
    <w:rsid w:val="6990439B"/>
    <w:rsid w:val="69AD0301"/>
    <w:rsid w:val="69BDA7A0"/>
    <w:rsid w:val="69C73CE4"/>
    <w:rsid w:val="69F85C4B"/>
    <w:rsid w:val="69F94AC0"/>
    <w:rsid w:val="69FB4D22"/>
    <w:rsid w:val="6A0171F6"/>
    <w:rsid w:val="6A261C7A"/>
    <w:rsid w:val="6A2B6021"/>
    <w:rsid w:val="6A552F92"/>
    <w:rsid w:val="6A574FAB"/>
    <w:rsid w:val="6A5B1452"/>
    <w:rsid w:val="6ABB1C81"/>
    <w:rsid w:val="6ABFC8A2"/>
    <w:rsid w:val="6AC10733"/>
    <w:rsid w:val="6ACF7B01"/>
    <w:rsid w:val="6AE22210"/>
    <w:rsid w:val="6AE461D0"/>
    <w:rsid w:val="6AF06C9C"/>
    <w:rsid w:val="6AF742A9"/>
    <w:rsid w:val="6AFA59F3"/>
    <w:rsid w:val="6AFBCD52"/>
    <w:rsid w:val="6AFFA025"/>
    <w:rsid w:val="6B590E16"/>
    <w:rsid w:val="6B7F696C"/>
    <w:rsid w:val="6B881251"/>
    <w:rsid w:val="6B8DE9C5"/>
    <w:rsid w:val="6BB169FA"/>
    <w:rsid w:val="6BCD76B0"/>
    <w:rsid w:val="6BD71EA1"/>
    <w:rsid w:val="6BDC0DDB"/>
    <w:rsid w:val="6BF126B6"/>
    <w:rsid w:val="6C0212E2"/>
    <w:rsid w:val="6C587FE0"/>
    <w:rsid w:val="6C666D28"/>
    <w:rsid w:val="6C711CE5"/>
    <w:rsid w:val="6C751E8F"/>
    <w:rsid w:val="6C77C456"/>
    <w:rsid w:val="6C787517"/>
    <w:rsid w:val="6C804153"/>
    <w:rsid w:val="6C861C34"/>
    <w:rsid w:val="6CAA3056"/>
    <w:rsid w:val="6CAE732F"/>
    <w:rsid w:val="6CBC990F"/>
    <w:rsid w:val="6CCB3AEB"/>
    <w:rsid w:val="6CDFBA7C"/>
    <w:rsid w:val="6CF218E5"/>
    <w:rsid w:val="6D0A4613"/>
    <w:rsid w:val="6D1504AB"/>
    <w:rsid w:val="6D65556A"/>
    <w:rsid w:val="6D71160D"/>
    <w:rsid w:val="6DAF4F75"/>
    <w:rsid w:val="6DDF61C1"/>
    <w:rsid w:val="6DF332FA"/>
    <w:rsid w:val="6DFCBEF7"/>
    <w:rsid w:val="6DFF844C"/>
    <w:rsid w:val="6E3F0A81"/>
    <w:rsid w:val="6E441B3F"/>
    <w:rsid w:val="6E7FC9EB"/>
    <w:rsid w:val="6E935726"/>
    <w:rsid w:val="6E9F3263"/>
    <w:rsid w:val="6EAA34D8"/>
    <w:rsid w:val="6EBA7973"/>
    <w:rsid w:val="6EC86534"/>
    <w:rsid w:val="6EE175F6"/>
    <w:rsid w:val="6EEC04C9"/>
    <w:rsid w:val="6EF381DB"/>
    <w:rsid w:val="6EFE7133"/>
    <w:rsid w:val="6EFE7C58"/>
    <w:rsid w:val="6EFF6B83"/>
    <w:rsid w:val="6EFF7A7C"/>
    <w:rsid w:val="6F2363E3"/>
    <w:rsid w:val="6F2F9D0C"/>
    <w:rsid w:val="6F3A0AB4"/>
    <w:rsid w:val="6F63625D"/>
    <w:rsid w:val="6F763E12"/>
    <w:rsid w:val="6F7D44BF"/>
    <w:rsid w:val="6F7DC621"/>
    <w:rsid w:val="6F7E76FE"/>
    <w:rsid w:val="6F7ECD5F"/>
    <w:rsid w:val="6FB31309"/>
    <w:rsid w:val="6FB354B3"/>
    <w:rsid w:val="6FB9177E"/>
    <w:rsid w:val="6FBD4F45"/>
    <w:rsid w:val="6FBEFD1D"/>
    <w:rsid w:val="6FBFA582"/>
    <w:rsid w:val="6FD35191"/>
    <w:rsid w:val="6FD6EABA"/>
    <w:rsid w:val="6FD827A7"/>
    <w:rsid w:val="6FED9BE9"/>
    <w:rsid w:val="6FEFDF16"/>
    <w:rsid w:val="6FF3138F"/>
    <w:rsid w:val="6FF78853"/>
    <w:rsid w:val="6FFC1A86"/>
    <w:rsid w:val="6FFD26F6"/>
    <w:rsid w:val="6FFF7A37"/>
    <w:rsid w:val="6FFFCF6D"/>
    <w:rsid w:val="705B5186"/>
    <w:rsid w:val="707029DF"/>
    <w:rsid w:val="70755D47"/>
    <w:rsid w:val="70874BBB"/>
    <w:rsid w:val="70977229"/>
    <w:rsid w:val="70AF7259"/>
    <w:rsid w:val="70B30B1E"/>
    <w:rsid w:val="70D33446"/>
    <w:rsid w:val="70F133F4"/>
    <w:rsid w:val="7104137A"/>
    <w:rsid w:val="712E3C32"/>
    <w:rsid w:val="713A581F"/>
    <w:rsid w:val="713B5A67"/>
    <w:rsid w:val="7146011B"/>
    <w:rsid w:val="718801FD"/>
    <w:rsid w:val="718C34B2"/>
    <w:rsid w:val="71A37926"/>
    <w:rsid w:val="71BD8F4D"/>
    <w:rsid w:val="71BE3C1E"/>
    <w:rsid w:val="71D67071"/>
    <w:rsid w:val="71DECA86"/>
    <w:rsid w:val="71F9A9C8"/>
    <w:rsid w:val="71FC32ED"/>
    <w:rsid w:val="72253EC6"/>
    <w:rsid w:val="724238A4"/>
    <w:rsid w:val="7245036C"/>
    <w:rsid w:val="726278A1"/>
    <w:rsid w:val="72B172DF"/>
    <w:rsid w:val="72BB9BAA"/>
    <w:rsid w:val="72BF6FE5"/>
    <w:rsid w:val="72DB5D29"/>
    <w:rsid w:val="72DF3FAB"/>
    <w:rsid w:val="72E43211"/>
    <w:rsid w:val="73006C6B"/>
    <w:rsid w:val="733F8E32"/>
    <w:rsid w:val="73593BFF"/>
    <w:rsid w:val="735A5210"/>
    <w:rsid w:val="735C724B"/>
    <w:rsid w:val="736A3158"/>
    <w:rsid w:val="73770529"/>
    <w:rsid w:val="73AF5A11"/>
    <w:rsid w:val="73AF698D"/>
    <w:rsid w:val="73BE1CB4"/>
    <w:rsid w:val="73BF01CA"/>
    <w:rsid w:val="73BFE989"/>
    <w:rsid w:val="73EE03AD"/>
    <w:rsid w:val="73F33174"/>
    <w:rsid w:val="74624CEF"/>
    <w:rsid w:val="7497042E"/>
    <w:rsid w:val="74A92964"/>
    <w:rsid w:val="74BD4147"/>
    <w:rsid w:val="74D7308A"/>
    <w:rsid w:val="74F02341"/>
    <w:rsid w:val="7550167C"/>
    <w:rsid w:val="757840E4"/>
    <w:rsid w:val="75A535D6"/>
    <w:rsid w:val="75BB63D4"/>
    <w:rsid w:val="75BFA2B2"/>
    <w:rsid w:val="75E70900"/>
    <w:rsid w:val="75F64449"/>
    <w:rsid w:val="75FF29D1"/>
    <w:rsid w:val="76236CA5"/>
    <w:rsid w:val="76261D92"/>
    <w:rsid w:val="765DB791"/>
    <w:rsid w:val="766A6123"/>
    <w:rsid w:val="766A7ED1"/>
    <w:rsid w:val="7678DBC1"/>
    <w:rsid w:val="767B697C"/>
    <w:rsid w:val="76820AEE"/>
    <w:rsid w:val="76BA3D02"/>
    <w:rsid w:val="76C45833"/>
    <w:rsid w:val="76CF5038"/>
    <w:rsid w:val="76D0242A"/>
    <w:rsid w:val="76D7BF79"/>
    <w:rsid w:val="76DB492B"/>
    <w:rsid w:val="76DB5D58"/>
    <w:rsid w:val="76F7DFC3"/>
    <w:rsid w:val="77303182"/>
    <w:rsid w:val="773F70BC"/>
    <w:rsid w:val="773F9F36"/>
    <w:rsid w:val="77493F8A"/>
    <w:rsid w:val="77505319"/>
    <w:rsid w:val="7758241F"/>
    <w:rsid w:val="775F845B"/>
    <w:rsid w:val="77654A14"/>
    <w:rsid w:val="77679323"/>
    <w:rsid w:val="776985A5"/>
    <w:rsid w:val="776AFEEC"/>
    <w:rsid w:val="776C1A27"/>
    <w:rsid w:val="7772D793"/>
    <w:rsid w:val="777971C3"/>
    <w:rsid w:val="77969B8C"/>
    <w:rsid w:val="779DC510"/>
    <w:rsid w:val="77A986DF"/>
    <w:rsid w:val="77BBEE7B"/>
    <w:rsid w:val="77BD67ED"/>
    <w:rsid w:val="77CF549C"/>
    <w:rsid w:val="77D65BA2"/>
    <w:rsid w:val="77D70BD6"/>
    <w:rsid w:val="77DB8205"/>
    <w:rsid w:val="77DF8E40"/>
    <w:rsid w:val="77DFE976"/>
    <w:rsid w:val="77EB8BA2"/>
    <w:rsid w:val="77ED7C0B"/>
    <w:rsid w:val="77F24E12"/>
    <w:rsid w:val="77F45A44"/>
    <w:rsid w:val="77F739E6"/>
    <w:rsid w:val="77FB90B9"/>
    <w:rsid w:val="77FDABE2"/>
    <w:rsid w:val="77FEB7C5"/>
    <w:rsid w:val="77FF6570"/>
    <w:rsid w:val="77FFD31F"/>
    <w:rsid w:val="78047EB1"/>
    <w:rsid w:val="780E4BF2"/>
    <w:rsid w:val="78283E1B"/>
    <w:rsid w:val="785A2E96"/>
    <w:rsid w:val="78776876"/>
    <w:rsid w:val="787F3441"/>
    <w:rsid w:val="788165D8"/>
    <w:rsid w:val="788B1F91"/>
    <w:rsid w:val="78A3406E"/>
    <w:rsid w:val="78AF42C1"/>
    <w:rsid w:val="78C244A2"/>
    <w:rsid w:val="78CB8569"/>
    <w:rsid w:val="78D76FD7"/>
    <w:rsid w:val="78DBD241"/>
    <w:rsid w:val="78E46676"/>
    <w:rsid w:val="78EF2F7E"/>
    <w:rsid w:val="78F64C0E"/>
    <w:rsid w:val="78FBC2E9"/>
    <w:rsid w:val="78FC493D"/>
    <w:rsid w:val="79250082"/>
    <w:rsid w:val="794116E9"/>
    <w:rsid w:val="7956473D"/>
    <w:rsid w:val="795CD4CA"/>
    <w:rsid w:val="79627585"/>
    <w:rsid w:val="796926C2"/>
    <w:rsid w:val="79731768"/>
    <w:rsid w:val="79770F26"/>
    <w:rsid w:val="797CF320"/>
    <w:rsid w:val="797E3544"/>
    <w:rsid w:val="79992B6E"/>
    <w:rsid w:val="79BD2A0E"/>
    <w:rsid w:val="79BE75E0"/>
    <w:rsid w:val="79D75287"/>
    <w:rsid w:val="79F3EB62"/>
    <w:rsid w:val="79F989E3"/>
    <w:rsid w:val="79FD89EF"/>
    <w:rsid w:val="7A036672"/>
    <w:rsid w:val="7A1C733A"/>
    <w:rsid w:val="7A6EB30E"/>
    <w:rsid w:val="7A761687"/>
    <w:rsid w:val="7A7F4915"/>
    <w:rsid w:val="7A9726FE"/>
    <w:rsid w:val="7AD5EC50"/>
    <w:rsid w:val="7AE30252"/>
    <w:rsid w:val="7AED10D1"/>
    <w:rsid w:val="7AF7B1F0"/>
    <w:rsid w:val="7AFD87D9"/>
    <w:rsid w:val="7AFF3DC2"/>
    <w:rsid w:val="7B250F40"/>
    <w:rsid w:val="7B2F2BFE"/>
    <w:rsid w:val="7B3D6674"/>
    <w:rsid w:val="7B3E3F59"/>
    <w:rsid w:val="7B4C229B"/>
    <w:rsid w:val="7B5A62DF"/>
    <w:rsid w:val="7B5F25A4"/>
    <w:rsid w:val="7B5FD19F"/>
    <w:rsid w:val="7B734982"/>
    <w:rsid w:val="7B7EFDA5"/>
    <w:rsid w:val="7B7F7B7A"/>
    <w:rsid w:val="7B7F940A"/>
    <w:rsid w:val="7B98012A"/>
    <w:rsid w:val="7B999B9B"/>
    <w:rsid w:val="7BB95B7C"/>
    <w:rsid w:val="7BBE64AE"/>
    <w:rsid w:val="7BBF0280"/>
    <w:rsid w:val="7BCED47A"/>
    <w:rsid w:val="7BCFA8DF"/>
    <w:rsid w:val="7BD6D073"/>
    <w:rsid w:val="7BD7CA00"/>
    <w:rsid w:val="7BDD1145"/>
    <w:rsid w:val="7BE27716"/>
    <w:rsid w:val="7BED0EA6"/>
    <w:rsid w:val="7BF3C0A5"/>
    <w:rsid w:val="7BF42F67"/>
    <w:rsid w:val="7BF50924"/>
    <w:rsid w:val="7BF74220"/>
    <w:rsid w:val="7BFF7BFB"/>
    <w:rsid w:val="7C1032C9"/>
    <w:rsid w:val="7C25BB4C"/>
    <w:rsid w:val="7C4B4301"/>
    <w:rsid w:val="7C5E7864"/>
    <w:rsid w:val="7C7370F2"/>
    <w:rsid w:val="7CAB43D1"/>
    <w:rsid w:val="7CADF083"/>
    <w:rsid w:val="7CB73707"/>
    <w:rsid w:val="7CBD370B"/>
    <w:rsid w:val="7CDFE845"/>
    <w:rsid w:val="7CFEA973"/>
    <w:rsid w:val="7CFF022A"/>
    <w:rsid w:val="7D37170A"/>
    <w:rsid w:val="7D3E5C13"/>
    <w:rsid w:val="7D4B7143"/>
    <w:rsid w:val="7D57D0AD"/>
    <w:rsid w:val="7D773E05"/>
    <w:rsid w:val="7D7C9C81"/>
    <w:rsid w:val="7D7FC810"/>
    <w:rsid w:val="7D8E1F46"/>
    <w:rsid w:val="7D9677FD"/>
    <w:rsid w:val="7D9804A7"/>
    <w:rsid w:val="7D9DE6B5"/>
    <w:rsid w:val="7DA37F99"/>
    <w:rsid w:val="7DAF8CB2"/>
    <w:rsid w:val="7DB39F7A"/>
    <w:rsid w:val="7DB9054B"/>
    <w:rsid w:val="7DBA6FCA"/>
    <w:rsid w:val="7DBA77A7"/>
    <w:rsid w:val="7DBB1B9A"/>
    <w:rsid w:val="7DBF04EA"/>
    <w:rsid w:val="7DBFA43D"/>
    <w:rsid w:val="7DC404E5"/>
    <w:rsid w:val="7DC7EAF5"/>
    <w:rsid w:val="7DD20273"/>
    <w:rsid w:val="7DD6B275"/>
    <w:rsid w:val="7DDB58E4"/>
    <w:rsid w:val="7DDBA611"/>
    <w:rsid w:val="7DDBC492"/>
    <w:rsid w:val="7DDF39EA"/>
    <w:rsid w:val="7DDF91B8"/>
    <w:rsid w:val="7DE905E8"/>
    <w:rsid w:val="7DEA3E93"/>
    <w:rsid w:val="7DEEBC29"/>
    <w:rsid w:val="7DF2875E"/>
    <w:rsid w:val="7DF89BE1"/>
    <w:rsid w:val="7DF9DECD"/>
    <w:rsid w:val="7DFAFEED"/>
    <w:rsid w:val="7DFD684A"/>
    <w:rsid w:val="7DFE1D48"/>
    <w:rsid w:val="7DFEB208"/>
    <w:rsid w:val="7DFF3FBC"/>
    <w:rsid w:val="7DFF7541"/>
    <w:rsid w:val="7DFF8A8B"/>
    <w:rsid w:val="7E1304CD"/>
    <w:rsid w:val="7E1B463E"/>
    <w:rsid w:val="7E266A17"/>
    <w:rsid w:val="7E2F0EB3"/>
    <w:rsid w:val="7E33504C"/>
    <w:rsid w:val="7E386B07"/>
    <w:rsid w:val="7E3BA971"/>
    <w:rsid w:val="7E3BD8F7"/>
    <w:rsid w:val="7E3FE8C0"/>
    <w:rsid w:val="7E43A7A3"/>
    <w:rsid w:val="7E472781"/>
    <w:rsid w:val="7E573431"/>
    <w:rsid w:val="7E579355"/>
    <w:rsid w:val="7E6A26DF"/>
    <w:rsid w:val="7E6DD572"/>
    <w:rsid w:val="7E6FD43B"/>
    <w:rsid w:val="7E77D178"/>
    <w:rsid w:val="7E7A2568"/>
    <w:rsid w:val="7E8B5AAF"/>
    <w:rsid w:val="7E9E8400"/>
    <w:rsid w:val="7E9F38FB"/>
    <w:rsid w:val="7EA01B56"/>
    <w:rsid w:val="7EA798E3"/>
    <w:rsid w:val="7EAD6253"/>
    <w:rsid w:val="7EBA5C1A"/>
    <w:rsid w:val="7ED5F341"/>
    <w:rsid w:val="7EF0118F"/>
    <w:rsid w:val="7EFBB9BF"/>
    <w:rsid w:val="7EFE61BA"/>
    <w:rsid w:val="7EFEA440"/>
    <w:rsid w:val="7EFFBD91"/>
    <w:rsid w:val="7F1430D0"/>
    <w:rsid w:val="7F196DFE"/>
    <w:rsid w:val="7F2B6B4C"/>
    <w:rsid w:val="7F2E8B89"/>
    <w:rsid w:val="7F435474"/>
    <w:rsid w:val="7F4BCDC5"/>
    <w:rsid w:val="7F56E8DC"/>
    <w:rsid w:val="7F581AF7"/>
    <w:rsid w:val="7F5F5857"/>
    <w:rsid w:val="7F6B127F"/>
    <w:rsid w:val="7F6F88ED"/>
    <w:rsid w:val="7F71ACBD"/>
    <w:rsid w:val="7F75C8D3"/>
    <w:rsid w:val="7F7C07FB"/>
    <w:rsid w:val="7F7C7710"/>
    <w:rsid w:val="7F7D0C75"/>
    <w:rsid w:val="7F7D6CA3"/>
    <w:rsid w:val="7F7E6644"/>
    <w:rsid w:val="7F813F0D"/>
    <w:rsid w:val="7F871E11"/>
    <w:rsid w:val="7F96AE87"/>
    <w:rsid w:val="7F9A0CD7"/>
    <w:rsid w:val="7F9D92D2"/>
    <w:rsid w:val="7FAB6F32"/>
    <w:rsid w:val="7FAB7DDD"/>
    <w:rsid w:val="7FAF711B"/>
    <w:rsid w:val="7FAFAFAD"/>
    <w:rsid w:val="7FAFE74B"/>
    <w:rsid w:val="7FB64187"/>
    <w:rsid w:val="7FB76E62"/>
    <w:rsid w:val="7FB88EF1"/>
    <w:rsid w:val="7FBB9168"/>
    <w:rsid w:val="7FBDA255"/>
    <w:rsid w:val="7FBE194A"/>
    <w:rsid w:val="7FBFAD3F"/>
    <w:rsid w:val="7FBFE530"/>
    <w:rsid w:val="7FBFFCD6"/>
    <w:rsid w:val="7FC75804"/>
    <w:rsid w:val="7FCD1F4E"/>
    <w:rsid w:val="7FCE0295"/>
    <w:rsid w:val="7FCE2CE6"/>
    <w:rsid w:val="7FCE595A"/>
    <w:rsid w:val="7FCFB2B8"/>
    <w:rsid w:val="7FD7925D"/>
    <w:rsid w:val="7FDB2478"/>
    <w:rsid w:val="7FDB3B48"/>
    <w:rsid w:val="7FDDA438"/>
    <w:rsid w:val="7FDF0A19"/>
    <w:rsid w:val="7FDF103C"/>
    <w:rsid w:val="7FDF1A77"/>
    <w:rsid w:val="7FDF8A6D"/>
    <w:rsid w:val="7FDFA0E7"/>
    <w:rsid w:val="7FDFA969"/>
    <w:rsid w:val="7FE53C0E"/>
    <w:rsid w:val="7FE711A7"/>
    <w:rsid w:val="7FE753D8"/>
    <w:rsid w:val="7FE921AF"/>
    <w:rsid w:val="7FE963C4"/>
    <w:rsid w:val="7FEBD281"/>
    <w:rsid w:val="7FEF5C23"/>
    <w:rsid w:val="7FEF5DAC"/>
    <w:rsid w:val="7FEFAABD"/>
    <w:rsid w:val="7FF31DC6"/>
    <w:rsid w:val="7FF6C9BA"/>
    <w:rsid w:val="7FF7F2E3"/>
    <w:rsid w:val="7FF7FD2F"/>
    <w:rsid w:val="7FF9A4FE"/>
    <w:rsid w:val="7FFB1750"/>
    <w:rsid w:val="7FFBE316"/>
    <w:rsid w:val="7FFD415D"/>
    <w:rsid w:val="7FFD9678"/>
    <w:rsid w:val="7FFDBD12"/>
    <w:rsid w:val="7FFDD2C2"/>
    <w:rsid w:val="7FFE70C0"/>
    <w:rsid w:val="7FFE7698"/>
    <w:rsid w:val="7FFF5920"/>
    <w:rsid w:val="7FFF6783"/>
    <w:rsid w:val="7FFF6871"/>
    <w:rsid w:val="7FFF7616"/>
    <w:rsid w:val="7FFFAA4C"/>
    <w:rsid w:val="7FFFD385"/>
    <w:rsid w:val="837F4281"/>
    <w:rsid w:val="83BF7518"/>
    <w:rsid w:val="86D37573"/>
    <w:rsid w:val="87B799E5"/>
    <w:rsid w:val="893EE3C7"/>
    <w:rsid w:val="8BBE4CDC"/>
    <w:rsid w:val="8BFE48E5"/>
    <w:rsid w:val="8ED22651"/>
    <w:rsid w:val="8F5F9169"/>
    <w:rsid w:val="8F7411D9"/>
    <w:rsid w:val="8FFFB7F7"/>
    <w:rsid w:val="93EBAD0C"/>
    <w:rsid w:val="96BF9C3F"/>
    <w:rsid w:val="96E77302"/>
    <w:rsid w:val="977FF8D4"/>
    <w:rsid w:val="9AF65E64"/>
    <w:rsid w:val="9AFB3AEA"/>
    <w:rsid w:val="9AFFBCEF"/>
    <w:rsid w:val="9B27256D"/>
    <w:rsid w:val="9D977983"/>
    <w:rsid w:val="9DDBA3B1"/>
    <w:rsid w:val="9E7B3F28"/>
    <w:rsid w:val="9EB75F9E"/>
    <w:rsid w:val="9EBBD4BE"/>
    <w:rsid w:val="9ED78A05"/>
    <w:rsid w:val="9EFF94DA"/>
    <w:rsid w:val="9F3C9FE8"/>
    <w:rsid w:val="9F773C46"/>
    <w:rsid w:val="9FD7AE04"/>
    <w:rsid w:val="9FF79E85"/>
    <w:rsid w:val="9FFB5EF4"/>
    <w:rsid w:val="9FFDBCF5"/>
    <w:rsid w:val="9FFF25CC"/>
    <w:rsid w:val="A3DADF96"/>
    <w:rsid w:val="A5D1B2F3"/>
    <w:rsid w:val="A5D7D0E1"/>
    <w:rsid w:val="A70DD027"/>
    <w:rsid w:val="A7FF1387"/>
    <w:rsid w:val="A8EB4A2B"/>
    <w:rsid w:val="AAFE02FC"/>
    <w:rsid w:val="ABFE98B2"/>
    <w:rsid w:val="ABFF6C5B"/>
    <w:rsid w:val="ABFF804B"/>
    <w:rsid w:val="AD7EEF66"/>
    <w:rsid w:val="ADDB5B6E"/>
    <w:rsid w:val="AE7EC2C6"/>
    <w:rsid w:val="AEFAB1AD"/>
    <w:rsid w:val="AF36A33F"/>
    <w:rsid w:val="AF7B1E68"/>
    <w:rsid w:val="AF7B3A8C"/>
    <w:rsid w:val="AF7D0735"/>
    <w:rsid w:val="AFBB9104"/>
    <w:rsid w:val="AFBF15A8"/>
    <w:rsid w:val="AFEF8E58"/>
    <w:rsid w:val="AFF56273"/>
    <w:rsid w:val="B1F2ABEB"/>
    <w:rsid w:val="B2B564D2"/>
    <w:rsid w:val="B2EF44CD"/>
    <w:rsid w:val="B50EC9BD"/>
    <w:rsid w:val="B55F2DCE"/>
    <w:rsid w:val="B5B23EA2"/>
    <w:rsid w:val="B5CF486B"/>
    <w:rsid w:val="B5DD5D2E"/>
    <w:rsid w:val="B61FC07A"/>
    <w:rsid w:val="B62FB30E"/>
    <w:rsid w:val="B6FE26A1"/>
    <w:rsid w:val="B75F1FB4"/>
    <w:rsid w:val="B7737401"/>
    <w:rsid w:val="B7795E34"/>
    <w:rsid w:val="B77F0046"/>
    <w:rsid w:val="B7DF8EE1"/>
    <w:rsid w:val="B7EB534C"/>
    <w:rsid w:val="B7EDBB2A"/>
    <w:rsid w:val="B7FEC4A8"/>
    <w:rsid w:val="B8E9DEF1"/>
    <w:rsid w:val="B9EE3647"/>
    <w:rsid w:val="B9FB8865"/>
    <w:rsid w:val="BA7EA966"/>
    <w:rsid w:val="BABF105F"/>
    <w:rsid w:val="BB8330BB"/>
    <w:rsid w:val="BBC96FB6"/>
    <w:rsid w:val="BBDCAE53"/>
    <w:rsid w:val="BBEC639F"/>
    <w:rsid w:val="BBEF1137"/>
    <w:rsid w:val="BBF79FC1"/>
    <w:rsid w:val="BBFACF9C"/>
    <w:rsid w:val="BBFD166F"/>
    <w:rsid w:val="BBFEA4F2"/>
    <w:rsid w:val="BBFF8AA7"/>
    <w:rsid w:val="BCBBB4D9"/>
    <w:rsid w:val="BCE5BE66"/>
    <w:rsid w:val="BD4D8A17"/>
    <w:rsid w:val="BD7F0810"/>
    <w:rsid w:val="BD7F19F1"/>
    <w:rsid w:val="BDB74EED"/>
    <w:rsid w:val="BDCF7EB4"/>
    <w:rsid w:val="BDD5426D"/>
    <w:rsid w:val="BDE7B35A"/>
    <w:rsid w:val="BDFED35F"/>
    <w:rsid w:val="BE66C540"/>
    <w:rsid w:val="BE7BF8A8"/>
    <w:rsid w:val="BE9D726B"/>
    <w:rsid w:val="BEB7C3A2"/>
    <w:rsid w:val="BF674DD1"/>
    <w:rsid w:val="BF68E657"/>
    <w:rsid w:val="BF69FD80"/>
    <w:rsid w:val="BF7A6FB7"/>
    <w:rsid w:val="BF7BF7AA"/>
    <w:rsid w:val="BF7F5209"/>
    <w:rsid w:val="BF9DA02C"/>
    <w:rsid w:val="BFAF6DEA"/>
    <w:rsid w:val="BFB6FE77"/>
    <w:rsid w:val="BFCD0233"/>
    <w:rsid w:val="BFDDE623"/>
    <w:rsid w:val="BFDF5FD2"/>
    <w:rsid w:val="BFDFAC2C"/>
    <w:rsid w:val="BFE7562B"/>
    <w:rsid w:val="BFEF19D9"/>
    <w:rsid w:val="BFEFC8C2"/>
    <w:rsid w:val="BFF616D7"/>
    <w:rsid w:val="BFFC2E79"/>
    <w:rsid w:val="BFFD763D"/>
    <w:rsid w:val="BFFE2533"/>
    <w:rsid w:val="BFFF3500"/>
    <w:rsid w:val="BFFFC3F5"/>
    <w:rsid w:val="C17F6BD3"/>
    <w:rsid w:val="C37E3375"/>
    <w:rsid w:val="C4F52640"/>
    <w:rsid w:val="C57F78FF"/>
    <w:rsid w:val="C6FB27C9"/>
    <w:rsid w:val="C72F7ED4"/>
    <w:rsid w:val="C75D6F28"/>
    <w:rsid w:val="C7BF44B9"/>
    <w:rsid w:val="C7FF9C57"/>
    <w:rsid w:val="C9FFCD56"/>
    <w:rsid w:val="CADF24E8"/>
    <w:rsid w:val="CBDF8AA8"/>
    <w:rsid w:val="CDDFB328"/>
    <w:rsid w:val="CDF76860"/>
    <w:rsid w:val="CDFD6F55"/>
    <w:rsid w:val="CDFFCF99"/>
    <w:rsid w:val="CEDF77D3"/>
    <w:rsid w:val="CF5EB435"/>
    <w:rsid w:val="CF675B71"/>
    <w:rsid w:val="CF6F7C18"/>
    <w:rsid w:val="CF7FA11B"/>
    <w:rsid w:val="CFB75579"/>
    <w:rsid w:val="CFB7BCA6"/>
    <w:rsid w:val="CFB94F37"/>
    <w:rsid w:val="CFE70F1A"/>
    <w:rsid w:val="CFEBC402"/>
    <w:rsid w:val="CFFE4012"/>
    <w:rsid w:val="CFFEC965"/>
    <w:rsid w:val="D0BDE7D6"/>
    <w:rsid w:val="D0FFE95C"/>
    <w:rsid w:val="D274C170"/>
    <w:rsid w:val="D2EFD3F3"/>
    <w:rsid w:val="D37BA28B"/>
    <w:rsid w:val="D39EB1E7"/>
    <w:rsid w:val="D3BE6A2C"/>
    <w:rsid w:val="D3FB8944"/>
    <w:rsid w:val="D4EEBEA4"/>
    <w:rsid w:val="D4FF12D3"/>
    <w:rsid w:val="D5AF6783"/>
    <w:rsid w:val="D5FFAACF"/>
    <w:rsid w:val="D64FF398"/>
    <w:rsid w:val="D6D54F75"/>
    <w:rsid w:val="D6EB9F84"/>
    <w:rsid w:val="D6FFD6CC"/>
    <w:rsid w:val="D7672E76"/>
    <w:rsid w:val="D77F2D82"/>
    <w:rsid w:val="D7CD7AE0"/>
    <w:rsid w:val="D7DBDA4E"/>
    <w:rsid w:val="D7E8CC46"/>
    <w:rsid w:val="D8C6C0DC"/>
    <w:rsid w:val="D93FA6AE"/>
    <w:rsid w:val="D9E9F942"/>
    <w:rsid w:val="DA7E4925"/>
    <w:rsid w:val="DA9BDDCA"/>
    <w:rsid w:val="DB3DE56C"/>
    <w:rsid w:val="DB48A41E"/>
    <w:rsid w:val="DB7D01D0"/>
    <w:rsid w:val="DB7FB997"/>
    <w:rsid w:val="DB7FD812"/>
    <w:rsid w:val="DB7FFDF8"/>
    <w:rsid w:val="DB8F183C"/>
    <w:rsid w:val="DBABD55F"/>
    <w:rsid w:val="DBE91A8A"/>
    <w:rsid w:val="DBED25EA"/>
    <w:rsid w:val="DBFE37E3"/>
    <w:rsid w:val="DD5EF868"/>
    <w:rsid w:val="DD6DAD8F"/>
    <w:rsid w:val="DD7B761C"/>
    <w:rsid w:val="DD9DFD28"/>
    <w:rsid w:val="DDEB3399"/>
    <w:rsid w:val="DDEF5AD7"/>
    <w:rsid w:val="DDF7FDB6"/>
    <w:rsid w:val="DDFD9507"/>
    <w:rsid w:val="DDFE717B"/>
    <w:rsid w:val="DDFEC6DD"/>
    <w:rsid w:val="DE64FBD8"/>
    <w:rsid w:val="DE7E6995"/>
    <w:rsid w:val="DE9AF5C6"/>
    <w:rsid w:val="DE9F725C"/>
    <w:rsid w:val="DEA6285F"/>
    <w:rsid w:val="DEBD99A5"/>
    <w:rsid w:val="DECFB6C1"/>
    <w:rsid w:val="DECFE513"/>
    <w:rsid w:val="DF53D102"/>
    <w:rsid w:val="DF5FC3FB"/>
    <w:rsid w:val="DF7D7F09"/>
    <w:rsid w:val="DF7F1A70"/>
    <w:rsid w:val="DF7FCAE3"/>
    <w:rsid w:val="DF9FE9D0"/>
    <w:rsid w:val="DFAB9693"/>
    <w:rsid w:val="DFACD5A3"/>
    <w:rsid w:val="DFB84838"/>
    <w:rsid w:val="DFC75192"/>
    <w:rsid w:val="DFDC2D94"/>
    <w:rsid w:val="DFEF884A"/>
    <w:rsid w:val="DFF4EC58"/>
    <w:rsid w:val="DFF718B4"/>
    <w:rsid w:val="DFFF815B"/>
    <w:rsid w:val="E10F5B52"/>
    <w:rsid w:val="E1AB29C6"/>
    <w:rsid w:val="E3EE2304"/>
    <w:rsid w:val="E4B52BC6"/>
    <w:rsid w:val="E4E4E6A5"/>
    <w:rsid w:val="E5EF4B46"/>
    <w:rsid w:val="E79F2AD8"/>
    <w:rsid w:val="E7A14470"/>
    <w:rsid w:val="E7DE985F"/>
    <w:rsid w:val="E7EFE8E5"/>
    <w:rsid w:val="E7FA7258"/>
    <w:rsid w:val="E8EBAB77"/>
    <w:rsid w:val="E96F94C9"/>
    <w:rsid w:val="E9DEE2C4"/>
    <w:rsid w:val="E9FB2CE1"/>
    <w:rsid w:val="EA3EBD5C"/>
    <w:rsid w:val="EADF233E"/>
    <w:rsid w:val="EAF54A62"/>
    <w:rsid w:val="EAFBD89D"/>
    <w:rsid w:val="EB31158C"/>
    <w:rsid w:val="EB9F8B85"/>
    <w:rsid w:val="EBB7FAAC"/>
    <w:rsid w:val="EBDC0120"/>
    <w:rsid w:val="EBEE1C4C"/>
    <w:rsid w:val="EBF3C019"/>
    <w:rsid w:val="EBF74B35"/>
    <w:rsid w:val="EBFD86D4"/>
    <w:rsid w:val="EBFE85F6"/>
    <w:rsid w:val="EBFFE527"/>
    <w:rsid w:val="EC7F78EB"/>
    <w:rsid w:val="ECA5D1AB"/>
    <w:rsid w:val="ECC3B003"/>
    <w:rsid w:val="ED3FAF74"/>
    <w:rsid w:val="ED5FEEAD"/>
    <w:rsid w:val="EDDF844C"/>
    <w:rsid w:val="EDE9E636"/>
    <w:rsid w:val="EDFAC9CE"/>
    <w:rsid w:val="EDFC0C6F"/>
    <w:rsid w:val="EDFF5385"/>
    <w:rsid w:val="EDFFC363"/>
    <w:rsid w:val="EE1F65E5"/>
    <w:rsid w:val="EE4F1748"/>
    <w:rsid w:val="EEBF7BFB"/>
    <w:rsid w:val="EEEBEE1F"/>
    <w:rsid w:val="EEEE688E"/>
    <w:rsid w:val="EEEFA8A2"/>
    <w:rsid w:val="EEEFDFF8"/>
    <w:rsid w:val="EEF6D741"/>
    <w:rsid w:val="EF6B3A22"/>
    <w:rsid w:val="EF795927"/>
    <w:rsid w:val="EF7C14F0"/>
    <w:rsid w:val="EF7D17BA"/>
    <w:rsid w:val="EF7EE194"/>
    <w:rsid w:val="EF8CAB7D"/>
    <w:rsid w:val="EFD1F83F"/>
    <w:rsid w:val="EFDB14BE"/>
    <w:rsid w:val="EFDD7BB1"/>
    <w:rsid w:val="EFDEE8ED"/>
    <w:rsid w:val="EFDF370D"/>
    <w:rsid w:val="EFDF9210"/>
    <w:rsid w:val="EFDFCC1B"/>
    <w:rsid w:val="EFECDBF0"/>
    <w:rsid w:val="EFF5F06F"/>
    <w:rsid w:val="EFF7C009"/>
    <w:rsid w:val="EFF9F95C"/>
    <w:rsid w:val="EFFF4471"/>
    <w:rsid w:val="EFFFB917"/>
    <w:rsid w:val="F19EB2A2"/>
    <w:rsid w:val="F1F38859"/>
    <w:rsid w:val="F2CFBF10"/>
    <w:rsid w:val="F2F569D0"/>
    <w:rsid w:val="F39BA52D"/>
    <w:rsid w:val="F3DF9B3E"/>
    <w:rsid w:val="F3E53033"/>
    <w:rsid w:val="F3F7C7ED"/>
    <w:rsid w:val="F3FEB423"/>
    <w:rsid w:val="F3FFA329"/>
    <w:rsid w:val="F3FFBFBF"/>
    <w:rsid w:val="F45EE37B"/>
    <w:rsid w:val="F4DF358F"/>
    <w:rsid w:val="F4FF8983"/>
    <w:rsid w:val="F53711FD"/>
    <w:rsid w:val="F59761AD"/>
    <w:rsid w:val="F5FB2385"/>
    <w:rsid w:val="F5FFB724"/>
    <w:rsid w:val="F6BD0B5F"/>
    <w:rsid w:val="F6F7FB77"/>
    <w:rsid w:val="F6FE9763"/>
    <w:rsid w:val="F73705A7"/>
    <w:rsid w:val="F73D40E2"/>
    <w:rsid w:val="F77E5B2E"/>
    <w:rsid w:val="F7ABDD2F"/>
    <w:rsid w:val="F7ACB126"/>
    <w:rsid w:val="F7BDBBFA"/>
    <w:rsid w:val="F7BE98AA"/>
    <w:rsid w:val="F7CB2B22"/>
    <w:rsid w:val="F7DC3B39"/>
    <w:rsid w:val="F7EF8CDF"/>
    <w:rsid w:val="F7FB1BA6"/>
    <w:rsid w:val="F7FDCB44"/>
    <w:rsid w:val="F81FAF49"/>
    <w:rsid w:val="F86D13CC"/>
    <w:rsid w:val="F8B8CD3C"/>
    <w:rsid w:val="F8DF2D65"/>
    <w:rsid w:val="F8FB46FF"/>
    <w:rsid w:val="F9683F48"/>
    <w:rsid w:val="F99F8213"/>
    <w:rsid w:val="F9A5040C"/>
    <w:rsid w:val="F9EE8711"/>
    <w:rsid w:val="F9EF425C"/>
    <w:rsid w:val="F9F533CF"/>
    <w:rsid w:val="F9FC7A57"/>
    <w:rsid w:val="F9FDF77A"/>
    <w:rsid w:val="FA6AFE4E"/>
    <w:rsid w:val="FA7F729A"/>
    <w:rsid w:val="FAB44DC3"/>
    <w:rsid w:val="FABDC73D"/>
    <w:rsid w:val="FADBF15E"/>
    <w:rsid w:val="FADEB839"/>
    <w:rsid w:val="FAE3F311"/>
    <w:rsid w:val="FAEF3B4B"/>
    <w:rsid w:val="FAF525D1"/>
    <w:rsid w:val="FAF7C057"/>
    <w:rsid w:val="FB3E1373"/>
    <w:rsid w:val="FB4796F7"/>
    <w:rsid w:val="FB7CCBF8"/>
    <w:rsid w:val="FB8EAF77"/>
    <w:rsid w:val="FBAD602A"/>
    <w:rsid w:val="FBB37483"/>
    <w:rsid w:val="FBB62B1F"/>
    <w:rsid w:val="FBBFD7EB"/>
    <w:rsid w:val="FBDB3B44"/>
    <w:rsid w:val="FBDD8694"/>
    <w:rsid w:val="FBDF2070"/>
    <w:rsid w:val="FBDF9C1E"/>
    <w:rsid w:val="FBDFF5B4"/>
    <w:rsid w:val="FBFE8D49"/>
    <w:rsid w:val="FBFFB6BA"/>
    <w:rsid w:val="FC0F7D0E"/>
    <w:rsid w:val="FC7ED11A"/>
    <w:rsid w:val="FC9FFDD5"/>
    <w:rsid w:val="FCCFA2D9"/>
    <w:rsid w:val="FCEF4E8C"/>
    <w:rsid w:val="FCF733F7"/>
    <w:rsid w:val="FCFB000B"/>
    <w:rsid w:val="FD693261"/>
    <w:rsid w:val="FD6D29AE"/>
    <w:rsid w:val="FD7EBEF1"/>
    <w:rsid w:val="FD9E438E"/>
    <w:rsid w:val="FD9FA80D"/>
    <w:rsid w:val="FDAD0D38"/>
    <w:rsid w:val="FDAF9E1F"/>
    <w:rsid w:val="FDB378B3"/>
    <w:rsid w:val="FDBACA31"/>
    <w:rsid w:val="FDBC5B82"/>
    <w:rsid w:val="FDCF2F3D"/>
    <w:rsid w:val="FDDDDD09"/>
    <w:rsid w:val="FDDED3FD"/>
    <w:rsid w:val="FDE72926"/>
    <w:rsid w:val="FDEC5819"/>
    <w:rsid w:val="FDECFA64"/>
    <w:rsid w:val="FDED95ED"/>
    <w:rsid w:val="FDEE5AEF"/>
    <w:rsid w:val="FDEF4CCC"/>
    <w:rsid w:val="FDF85B16"/>
    <w:rsid w:val="FDF9C379"/>
    <w:rsid w:val="FDFB1D4B"/>
    <w:rsid w:val="FDFB2D46"/>
    <w:rsid w:val="FDFB49DA"/>
    <w:rsid w:val="FDFF1603"/>
    <w:rsid w:val="FDFF40E5"/>
    <w:rsid w:val="FDFFBEEF"/>
    <w:rsid w:val="FE5BFF6B"/>
    <w:rsid w:val="FE7B1050"/>
    <w:rsid w:val="FE7D5FE7"/>
    <w:rsid w:val="FE7D8164"/>
    <w:rsid w:val="FE7E4841"/>
    <w:rsid w:val="FE7FACDC"/>
    <w:rsid w:val="FE8611C0"/>
    <w:rsid w:val="FE8BD5A7"/>
    <w:rsid w:val="FEB6A722"/>
    <w:rsid w:val="FEB98194"/>
    <w:rsid w:val="FEBC487C"/>
    <w:rsid w:val="FEBD6696"/>
    <w:rsid w:val="FEBFCAEB"/>
    <w:rsid w:val="FED93D25"/>
    <w:rsid w:val="FEDF08AA"/>
    <w:rsid w:val="FEE70C76"/>
    <w:rsid w:val="FEF37457"/>
    <w:rsid w:val="FEF5BEF0"/>
    <w:rsid w:val="FEF66DFF"/>
    <w:rsid w:val="FEF76E84"/>
    <w:rsid w:val="FEFC43ED"/>
    <w:rsid w:val="FEFF893E"/>
    <w:rsid w:val="FEFFE899"/>
    <w:rsid w:val="FF2F5172"/>
    <w:rsid w:val="FF3B00CE"/>
    <w:rsid w:val="FF3F7DD3"/>
    <w:rsid w:val="FF499ED3"/>
    <w:rsid w:val="FF5E667D"/>
    <w:rsid w:val="FF678A8E"/>
    <w:rsid w:val="FF6BCAE6"/>
    <w:rsid w:val="FF6F39F1"/>
    <w:rsid w:val="FF73D82A"/>
    <w:rsid w:val="FF75A4DD"/>
    <w:rsid w:val="FF78D58D"/>
    <w:rsid w:val="FF7AD62A"/>
    <w:rsid w:val="FF7C4D02"/>
    <w:rsid w:val="FF7D4729"/>
    <w:rsid w:val="FF7DC679"/>
    <w:rsid w:val="FF7E271F"/>
    <w:rsid w:val="FF7F82C3"/>
    <w:rsid w:val="FF7FA7CD"/>
    <w:rsid w:val="FF8F2E19"/>
    <w:rsid w:val="FF9509F2"/>
    <w:rsid w:val="FF9B1F3C"/>
    <w:rsid w:val="FFAB6D4E"/>
    <w:rsid w:val="FFACF3E3"/>
    <w:rsid w:val="FFAD6183"/>
    <w:rsid w:val="FFBA38A7"/>
    <w:rsid w:val="FFBA7666"/>
    <w:rsid w:val="FFBF7239"/>
    <w:rsid w:val="FFBFA618"/>
    <w:rsid w:val="FFBFEC26"/>
    <w:rsid w:val="FFC7FE69"/>
    <w:rsid w:val="FFCE3962"/>
    <w:rsid w:val="FFCFCFB4"/>
    <w:rsid w:val="FFD6030B"/>
    <w:rsid w:val="FFD79693"/>
    <w:rsid w:val="FFD9FEFA"/>
    <w:rsid w:val="FFDA617F"/>
    <w:rsid w:val="FFDC8A49"/>
    <w:rsid w:val="FFDCA1AE"/>
    <w:rsid w:val="FFDE3BE8"/>
    <w:rsid w:val="FFDFAE95"/>
    <w:rsid w:val="FFEE5306"/>
    <w:rsid w:val="FFEE95F1"/>
    <w:rsid w:val="FFEF2D87"/>
    <w:rsid w:val="FFF26A69"/>
    <w:rsid w:val="FFF51AAA"/>
    <w:rsid w:val="FFF5C2AC"/>
    <w:rsid w:val="FFF78A62"/>
    <w:rsid w:val="FFFB26FB"/>
    <w:rsid w:val="FFFB80FD"/>
    <w:rsid w:val="FFFC6670"/>
    <w:rsid w:val="FFFD1A7A"/>
    <w:rsid w:val="FFFD8E0B"/>
    <w:rsid w:val="FFFE00A0"/>
    <w:rsid w:val="FFFE1389"/>
    <w:rsid w:val="FFFF218D"/>
    <w:rsid w:val="FFFF3A5E"/>
    <w:rsid w:val="FFFF5B1A"/>
    <w:rsid w:val="FFFF9F0B"/>
    <w:rsid w:val="FFFFA515"/>
    <w:rsid w:val="FFFFD8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9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 w:hAnsi="仿宋" w:eastAsia="宋体" w:cs="Times New Roman"/>
      <w:kern w:val="0"/>
      <w:sz w:val="28"/>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4"/>
    <w:basedOn w:val="1"/>
    <w:next w:val="1"/>
    <w:qFormat/>
    <w:uiPriority w:val="0"/>
    <w:pPr>
      <w:keepLines/>
      <w:spacing w:beforeLines="50" w:line="500" w:lineRule="atLeast"/>
      <w:outlineLvl w:val="3"/>
    </w:pPr>
    <w:rPr>
      <w:rFonts w:ascii="微软雅黑" w:hAnsi="微软雅黑" w:eastAsia="微软雅黑"/>
      <w:bCs/>
      <w:kern w:val="0"/>
      <w:sz w:val="24"/>
      <w:szCs w:val="28"/>
    </w:rPr>
  </w:style>
  <w:style w:type="character" w:default="1" w:styleId="18">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4">
    <w:name w:val="Normal Indent"/>
    <w:basedOn w:val="1"/>
    <w:unhideWhenUsed/>
    <w:qFormat/>
    <w:uiPriority w:val="0"/>
    <w:pPr>
      <w:ind w:firstLine="420" w:firstLineChars="200"/>
    </w:pPr>
    <w:rPr>
      <w:rFonts w:hint="default"/>
      <w:sz w:val="21"/>
      <w:szCs w:val="24"/>
    </w:rPr>
  </w:style>
  <w:style w:type="paragraph" w:styleId="5">
    <w:name w:val="toa heading"/>
    <w:basedOn w:val="1"/>
    <w:next w:val="1"/>
    <w:qFormat/>
    <w:uiPriority w:val="99"/>
    <w:pPr>
      <w:spacing w:before="120" w:after="200" w:line="276" w:lineRule="auto"/>
    </w:pPr>
    <w:rPr>
      <w:rFonts w:ascii="Arial" w:hAnsi="Arial"/>
      <w:sz w:val="24"/>
    </w:rPr>
  </w:style>
  <w:style w:type="paragraph" w:styleId="6">
    <w:name w:val="annotation text"/>
    <w:basedOn w:val="1"/>
    <w:qFormat/>
    <w:uiPriority w:val="0"/>
    <w:pPr>
      <w:jc w:val="left"/>
    </w:pPr>
  </w:style>
  <w:style w:type="paragraph" w:styleId="7">
    <w:name w:val="Body Text"/>
    <w:basedOn w:val="1"/>
    <w:next w:val="8"/>
    <w:semiHidden/>
    <w:qFormat/>
    <w:uiPriority w:val="0"/>
    <w:rPr>
      <w:rFonts w:ascii="仿宋" w:hAnsi="仿宋" w:eastAsia="仿宋" w:cs="仿宋"/>
      <w:sz w:val="31"/>
      <w:szCs w:val="31"/>
      <w:lang w:val="en-US" w:eastAsia="en-US" w:bidi="ar-SA"/>
    </w:rPr>
  </w:style>
  <w:style w:type="paragraph" w:customStyle="1" w:styleId="8">
    <w:name w:val="正文首行缩进1"/>
    <w:basedOn w:val="1"/>
    <w:qFormat/>
    <w:uiPriority w:val="0"/>
    <w:pPr>
      <w:spacing w:after="120"/>
      <w:ind w:firstLine="420" w:firstLineChars="100"/>
    </w:pPr>
    <w:rPr>
      <w:rFonts w:ascii="Times New Roman" w:hAnsi="Times New Roman"/>
    </w:rPr>
  </w:style>
  <w:style w:type="paragraph" w:styleId="9">
    <w:name w:val="Body Text Indent"/>
    <w:basedOn w:val="1"/>
    <w:qFormat/>
    <w:uiPriority w:val="0"/>
    <w:pPr>
      <w:ind w:left="420" w:leftChars="200"/>
    </w:pPr>
    <w:rPr>
      <w:rFonts w:ascii="Calibri" w:hAnsi="Calibri" w:eastAsia="宋体" w:cs="Times New Roman"/>
    </w:rPr>
  </w:style>
  <w:style w:type="paragraph" w:styleId="10">
    <w:name w:val="toc 5"/>
    <w:basedOn w:val="1"/>
    <w:next w:val="1"/>
    <w:qFormat/>
    <w:uiPriority w:val="99"/>
    <w:pPr>
      <w:widowControl w:val="0"/>
      <w:ind w:left="1680" w:leftChars="800"/>
      <w:jc w:val="both"/>
    </w:pPr>
    <w:rPr>
      <w:rFonts w:ascii="Times New Roman" w:hAnsi="Times New Roman" w:eastAsia="宋体" w:cs="Times New Roman"/>
      <w:kern w:val="2"/>
      <w:sz w:val="21"/>
      <w:szCs w:val="24"/>
      <w:lang w:val="en-US" w:eastAsia="zh-CN" w:bidi="ar-SA"/>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ascii="微软雅黑" w:hAnsi="微软雅黑" w:eastAsia="微软雅黑" w:cs="微软雅黑"/>
      <w:kern w:val="0"/>
      <w:sz w:val="24"/>
      <w:lang w:val="en-US" w:eastAsia="zh-CN" w:bidi="ar"/>
    </w:rPr>
  </w:style>
  <w:style w:type="paragraph" w:styleId="14">
    <w:name w:val="Body Text First Indent"/>
    <w:basedOn w:val="7"/>
    <w:qFormat/>
    <w:uiPriority w:val="0"/>
    <w:pPr>
      <w:ind w:firstLine="420" w:firstLineChars="100"/>
    </w:pPr>
  </w:style>
  <w:style w:type="paragraph" w:styleId="15">
    <w:name w:val="Body Text First Indent 2"/>
    <w:basedOn w:val="9"/>
    <w:qFormat/>
    <w:uiPriority w:val="0"/>
    <w:pPr>
      <w:ind w:firstLine="420" w:firstLineChars="200"/>
    </w:pPr>
    <w:rPr>
      <w:rFonts w:ascii="Calibri" w:hAnsi="Calibri" w:eastAsia="宋体" w:cs="Times New Roman"/>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9">
    <w:name w:val="xl27"/>
    <w:basedOn w:val="1"/>
    <w:qFormat/>
    <w:uiPriority w:val="0"/>
    <w:pPr>
      <w:widowControl/>
      <w:pBdr>
        <w:top w:val="single" w:color="auto" w:sz="4" w:space="0"/>
        <w:left w:val="single" w:color="auto" w:sz="8" w:space="0"/>
        <w:bottom w:val="single" w:color="auto" w:sz="4" w:space="0"/>
        <w:right w:val="single" w:color="auto" w:sz="4" w:space="0"/>
      </w:pBdr>
      <w:spacing w:before="100" w:beforeLines="0" w:beforeAutospacing="1" w:after="100" w:afterLines="0" w:afterAutospacing="1"/>
      <w:jc w:val="center"/>
    </w:pPr>
    <w:rPr>
      <w:rFonts w:ascii="???-18030" w:hAnsi="???-18030" w:cs="???-18030"/>
      <w:kern w:val="0"/>
    </w:rPr>
  </w:style>
  <w:style w:type="paragraph" w:customStyle="1" w:styleId="20">
    <w:name w:val="列出段落1"/>
    <w:basedOn w:val="1"/>
    <w:qFormat/>
    <w:uiPriority w:val="34"/>
    <w:pPr>
      <w:ind w:firstLine="420" w:firstLineChars="200"/>
    </w:pPr>
  </w:style>
  <w:style w:type="paragraph" w:styleId="21">
    <w:name w:val="List Paragraph"/>
    <w:basedOn w:val="1"/>
    <w:qFormat/>
    <w:uiPriority w:val="99"/>
    <w:pPr>
      <w:ind w:firstLine="420" w:firstLineChars="200"/>
    </w:pPr>
    <w:rPr>
      <w:rFonts w:ascii="Calibri" w:hAnsi="Calibri"/>
      <w:szCs w:val="22"/>
    </w:rPr>
  </w:style>
  <w:style w:type="table" w:customStyle="1" w:styleId="22">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33732</Words>
  <Characters>37977</Characters>
  <Lines>0</Lines>
  <Paragraphs>0</Paragraphs>
  <TotalTime>40</TotalTime>
  <ScaleCrop>false</ScaleCrop>
  <LinksUpToDate>false</LinksUpToDate>
  <CharactersWithSpaces>40077</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2024-03-27T16:36:00Z</dcterms:created>
  <dc:creator>Administrator</dc:creator>
  <cp:lastModifiedBy>Administrator</cp:lastModifiedBy>
  <cp:lastPrinted>2024-06-27T20:52:00Z</cp:lastPrinted>
  <dcterms:modified xsi:type="dcterms:W3CDTF">2024-07-02T07:00:08Z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6182D3A10D564617983F46DEE354AEAF</vt:lpwstr>
  </property>
</Properties>
</file>