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附件4</w:t>
      </w:r>
    </w:p>
    <w:p>
      <w:pPr>
        <w:jc w:val="center"/>
        <w:rPr>
          <w:rFonts w:ascii="Times New Roman" w:hAnsi="Times New Roman" w:eastAsia="方正小标宋_GBK"/>
          <w:sz w:val="52"/>
          <w:szCs w:val="5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2023年度部</w:t>
      </w:r>
      <w:bookmarkStart w:id="0" w:name="_GoBack"/>
      <w:bookmarkEnd w:id="0"/>
      <w:r>
        <w:rPr>
          <w:rFonts w:hint="eastAsia" w:ascii="方正小标宋简体" w:hAnsi="方正小标宋简体" w:eastAsia="方正小标宋简体" w:cs="方正小标宋简体"/>
          <w:sz w:val="44"/>
          <w:szCs w:val="44"/>
        </w:rPr>
        <w:t>门（岳阳市污水处理监督中心）</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ascii="Times New Roman" w:hAnsi="Times New Roman" w:eastAsia="方正小标宋_GBK"/>
          <w:b/>
          <w:sz w:val="52"/>
          <w:szCs w:val="5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spacing w:line="600" w:lineRule="exact"/>
        <w:jc w:val="center"/>
        <w:rPr>
          <w:rFonts w:ascii="Times New Roman" w:hAnsi="Times New Roman" w:eastAsia="仿宋_GB2312"/>
          <w:sz w:val="32"/>
          <w:szCs w:val="32"/>
          <w:u w:val="single"/>
        </w:rPr>
      </w:pPr>
      <w:r>
        <w:rPr>
          <w:rFonts w:ascii="Times New Roman" w:hAnsi="Times New Roman" w:eastAsia="仿宋_GB2312"/>
          <w:sz w:val="32"/>
          <w:szCs w:val="32"/>
        </w:rPr>
        <w:t>部门（单位）名称：</w:t>
      </w:r>
      <w:r>
        <w:rPr>
          <w:rFonts w:ascii="Times New Roman" w:hAnsi="Times New Roman" w:eastAsia="仿宋_GB2312"/>
          <w:sz w:val="32"/>
          <w:szCs w:val="32"/>
          <w:u w:val="single"/>
        </w:rPr>
        <w:t>（盖章）</w:t>
      </w: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2024</w:t>
      </w:r>
      <w:r>
        <w:rPr>
          <w:rFonts w:ascii="Times New Roman" w:hAnsi="Times New Roman" w:eastAsia="楷体_GB2312"/>
          <w:sz w:val="32"/>
          <w:szCs w:val="32"/>
        </w:rPr>
        <w:t xml:space="preserve">年  </w:t>
      </w:r>
      <w:r>
        <w:rPr>
          <w:rFonts w:hint="eastAsia" w:ascii="Times New Roman" w:hAnsi="Times New Roman" w:eastAsia="楷体_GB2312"/>
          <w:sz w:val="32"/>
          <w:szCs w:val="32"/>
        </w:rPr>
        <w:t>6</w:t>
      </w:r>
      <w:r>
        <w:rPr>
          <w:rFonts w:ascii="Times New Roman" w:hAnsi="Times New Roman" w:eastAsia="楷体_GB2312"/>
          <w:sz w:val="32"/>
          <w:szCs w:val="32"/>
        </w:rPr>
        <w:t xml:space="preserve">月 </w:t>
      </w:r>
      <w:r>
        <w:rPr>
          <w:rFonts w:hint="eastAsia" w:ascii="Times New Roman" w:hAnsi="Times New Roman" w:eastAsia="楷体_GB2312"/>
          <w:sz w:val="32"/>
          <w:szCs w:val="32"/>
        </w:rPr>
        <w:t>12</w:t>
      </w:r>
      <w:r>
        <w:rPr>
          <w:rFonts w:ascii="Times New Roman" w:hAnsi="Times New Roman" w:eastAsia="楷体_GB2312"/>
          <w:sz w:val="32"/>
          <w:szCs w:val="32"/>
        </w:rPr>
        <w:t xml:space="preserve"> 日</w:t>
      </w:r>
    </w:p>
    <w:p>
      <w:pPr>
        <w:jc w:val="center"/>
        <w:rPr>
          <w:rFonts w:ascii="Times New Roman" w:hAnsi="Times New Roman" w:eastAsia="仿宋_GB2312"/>
          <w:sz w:val="32"/>
          <w:szCs w:val="32"/>
        </w:rPr>
      </w:pPr>
      <w:r>
        <w:rPr>
          <w:rFonts w:ascii="Times New Roman" w:hAnsi="Times New Roman" w:eastAsia="仿宋_GB2312"/>
          <w:sz w:val="32"/>
          <w:szCs w:val="32"/>
        </w:rPr>
        <w:t>（此页为封面）</w:t>
      </w:r>
    </w:p>
    <w:p>
      <w:pPr>
        <w:jc w:val="center"/>
        <w:rPr>
          <w:rFonts w:ascii="方正小标宋简体" w:hAnsi="方正小标宋简体" w:eastAsia="方正小标宋简体" w:cs="方正小标宋简体"/>
          <w:sz w:val="44"/>
          <w:szCs w:val="44"/>
        </w:rPr>
      </w:pPr>
      <w:r>
        <w:rPr>
          <w:rFonts w:ascii="Times New Roman" w:hAnsi="Times New Roman" w:eastAsia="仿宋_GB2312"/>
          <w:sz w:val="32"/>
          <w:szCs w:val="32"/>
        </w:rPr>
        <w:br w:type="page"/>
      </w:r>
      <w:r>
        <w:rPr>
          <w:rFonts w:hint="eastAsia" w:ascii="方正小标宋简体" w:hAnsi="方正小标宋简体" w:eastAsia="方正小标宋简体" w:cs="方正小标宋简体"/>
          <w:sz w:val="44"/>
          <w:szCs w:val="44"/>
        </w:rPr>
        <w:t>2023年度岳阳市污水处理监督中心</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pPr>
        <w:ind w:firstLine="420" w:firstLineChars="200"/>
        <w:rPr>
          <w:rFonts w:ascii="Times New Roman" w:hAnsi="Times New Roman" w:eastAsia="仿宋_GB2312"/>
          <w:sz w:val="21"/>
          <w:szCs w:val="21"/>
        </w:rPr>
      </w:pPr>
    </w:p>
    <w:p>
      <w:pPr>
        <w:numPr>
          <w:ilvl w:val="0"/>
          <w:numId w:val="1"/>
        </w:num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部门（单位）基本情况</w:t>
      </w:r>
    </w:p>
    <w:p>
      <w:pPr>
        <w:pStyle w:val="7"/>
        <w:widowControl/>
        <w:spacing w:line="60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岳阳市污水处理监督中心负责对全市污水处理厂行业的监督管理，其具体工作有：对污水处理厂运行的监管、水质检测达标排放、污泥处理无害化处置、污水处理费协助征缴、污水处理站运行管理、中心城区移动式（临时）污水处理设备的监管、协助处理污水处理厂回购谈判、污水处理与污泥处置服务费的核定、全市污水处理行业系统的数据统计与平台上报等。</w:t>
      </w:r>
    </w:p>
    <w:p>
      <w:pPr>
        <w:pStyle w:val="7"/>
        <w:widowControl/>
        <w:spacing w:line="60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机构情况：岳阳市污水处理监督中心为正科级公益性一类事业单位，隶属岳阳市住房和城乡建设局。</w:t>
      </w:r>
    </w:p>
    <w:p>
      <w:pPr>
        <w:pStyle w:val="12"/>
        <w:widowControl/>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12"/>
        <w:widowControl/>
        <w:spacing w:line="600" w:lineRule="exact"/>
        <w:ind w:firstLine="640"/>
        <w:rPr>
          <w:rFonts w:ascii="Times New Roman" w:hAnsi="Times New Roman" w:eastAsia="楷体_GB2312"/>
          <w:bCs/>
          <w:sz w:val="32"/>
          <w:szCs w:val="32"/>
        </w:rPr>
      </w:pPr>
      <w:r>
        <w:rPr>
          <w:rFonts w:ascii="Times New Roman" w:hAnsi="Times New Roman" w:eastAsia="楷体_GB2312"/>
          <w:bCs/>
          <w:sz w:val="32"/>
          <w:szCs w:val="32"/>
        </w:rPr>
        <w:t>（一）基本支出情况</w:t>
      </w:r>
    </w:p>
    <w:p>
      <w:pPr>
        <w:widowControl/>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2023年我中心年初预算安排基本支出包括：（1）人员经费（工资福利支出）：319.29万元，其中：基本工资105.89万元，绩效工资63.72万元，津贴补贴12.35万元，奖金50万元，机关事业单位基本养老保险缴费27.17万元，职工基本医疗保险缴费14.27万元，其他社会保障缴费8.04万元，住房公积金27.35万元，伙食补助费10万元，其他工资福利支出0.5万元；（2）人员经费（对个人和家庭的补助支出）：34.3万元，其中：退休费25.96万元，医疗费补助2.74万元，其他对个人和家庭的补助5.6万元；（3）公用经费（商品和服务支出）：44.03万元，其中：办公费2.65万元，残保金2.35万元，印刷费1万元，邮电费1.5万元，差旅费1万元，维修（护）费1万元，委托业务费1万元，工会经费15.79万元，福利费2.65万元，公务用车运维费6万元，其他交通费5万元，其他商品和服务支出4.09万元。</w:t>
      </w:r>
    </w:p>
    <w:p>
      <w:pPr>
        <w:pStyle w:val="8"/>
        <w:spacing w:after="0" w:line="600" w:lineRule="exact"/>
        <w:ind w:firstLine="640" w:firstLineChars="200"/>
      </w:pPr>
      <w:r>
        <w:rPr>
          <w:rFonts w:hint="eastAsia" w:ascii="Times New Roman" w:hAnsi="Times New Roman" w:eastAsia="仿宋_GB2312"/>
          <w:color w:val="000000"/>
          <w:sz w:val="32"/>
          <w:szCs w:val="32"/>
        </w:rPr>
        <w:t>2023年我中心收入其他资金收入168.61万元，全部纳入单位基本支出，其中：单位养老保险退费支出20.11万元，三峡二期许家桥巷积水点用地报批费用148.5万元。</w:t>
      </w:r>
    </w:p>
    <w:p>
      <w:pPr>
        <w:pStyle w:val="12"/>
        <w:widowControl/>
        <w:spacing w:line="600" w:lineRule="exact"/>
        <w:ind w:left="560" w:leftChars="200" w:firstLine="0" w:firstLineChars="0"/>
        <w:rPr>
          <w:rFonts w:ascii="Times New Roman" w:hAnsi="Times New Roman" w:eastAsia="楷体_GB2312"/>
          <w:bCs/>
          <w:sz w:val="32"/>
          <w:szCs w:val="32"/>
        </w:rPr>
      </w:pPr>
      <w:r>
        <w:rPr>
          <w:rFonts w:hint="eastAsia" w:ascii="Times New Roman" w:hAnsi="Times New Roman" w:eastAsia="楷体_GB2312"/>
          <w:bCs/>
          <w:sz w:val="32"/>
          <w:szCs w:val="32"/>
        </w:rPr>
        <w:t>（二）</w:t>
      </w:r>
      <w:r>
        <w:rPr>
          <w:rFonts w:ascii="Times New Roman" w:hAnsi="Times New Roman" w:eastAsia="楷体_GB2312"/>
          <w:bCs/>
          <w:sz w:val="32"/>
          <w:szCs w:val="32"/>
        </w:rPr>
        <w:t>项目支出情况</w:t>
      </w:r>
    </w:p>
    <w:p>
      <w:pPr>
        <w:pStyle w:val="12"/>
        <w:widowControl/>
        <w:spacing w:line="600" w:lineRule="exact"/>
        <w:ind w:firstLine="0" w:firstLineChars="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我中心专项资金为财政代编，2023年我中心项目预算资金140万元，实际支出128.55万元</w:t>
      </w:r>
      <w:r>
        <w:rPr>
          <w:rFonts w:hint="eastAsia" w:ascii="Times New Roman" w:hAnsi="Times New Roman" w:eastAsia="仿宋_GB2312" w:cs="Times New Roman"/>
          <w:color w:val="000000"/>
          <w:kern w:val="0"/>
          <w:sz w:val="32"/>
          <w:szCs w:val="32"/>
          <w:lang w:val="en-US" w:eastAsia="zh-CN" w:bidi="ar-SA"/>
        </w:rPr>
        <w:t>；另外年中调剂城市管网及污水处理补助项目经费360万元（该经费属于中央转移支付资金，</w:t>
      </w:r>
      <w:r>
        <w:rPr>
          <w:rFonts w:hint="eastAsia" w:ascii="仿宋_GB2312" w:hAnsi="仿宋" w:eastAsia="仿宋_GB2312"/>
          <w:bCs/>
          <w:sz w:val="32"/>
          <w:szCs w:val="32"/>
          <w:lang w:val="en-US" w:eastAsia="zh-CN"/>
        </w:rPr>
        <w:t>为污水处理监督系统平台建设费用</w:t>
      </w:r>
      <w:r>
        <w:rPr>
          <w:rFonts w:hint="eastAsia" w:ascii="Times New Roman" w:hAnsi="Times New Roman" w:eastAsia="仿宋_GB2312" w:cs="Times New Roman"/>
          <w:color w:val="000000"/>
          <w:kern w:val="0"/>
          <w:sz w:val="32"/>
          <w:szCs w:val="32"/>
          <w:lang w:val="en-US" w:eastAsia="zh-CN" w:bidi="ar-SA"/>
        </w:rPr>
        <w:t>），实际支出146.69万元</w:t>
      </w:r>
      <w:r>
        <w:rPr>
          <w:rFonts w:hint="eastAsia" w:ascii="Times New Roman" w:hAnsi="Times New Roman" w:eastAsia="仿宋_GB2312"/>
          <w:color w:val="000000"/>
          <w:sz w:val="32"/>
          <w:szCs w:val="32"/>
        </w:rPr>
        <w:t>。</w:t>
      </w:r>
    </w:p>
    <w:p>
      <w:pPr>
        <w:pStyle w:val="12"/>
        <w:widowControl/>
        <w:spacing w:line="60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pPr>
        <w:pStyle w:val="12"/>
        <w:widowControl/>
        <w:spacing w:line="600" w:lineRule="exact"/>
        <w:ind w:firstLine="560"/>
        <w:rPr>
          <w:rFonts w:ascii="仿宋" w:hAnsi="仿宋" w:eastAsia="仿宋_GB2312"/>
          <w:szCs w:val="28"/>
        </w:rPr>
      </w:pPr>
      <w:r>
        <w:rPr>
          <w:rFonts w:hint="eastAsia" w:ascii="仿宋" w:hAnsi="仿宋" w:eastAsia="仿宋_GB2312"/>
          <w:szCs w:val="28"/>
        </w:rPr>
        <w:t>无</w:t>
      </w:r>
    </w:p>
    <w:p>
      <w:pPr>
        <w:pStyle w:val="12"/>
        <w:widowControl/>
        <w:numPr>
          <w:ilvl w:val="0"/>
          <w:numId w:val="2"/>
        </w:numPr>
        <w:spacing w:line="600" w:lineRule="exact"/>
        <w:ind w:firstLine="640"/>
        <w:rPr>
          <w:rFonts w:ascii="Times New Roman" w:hAnsi="Times New Roman" w:eastAsia="黑体"/>
          <w:sz w:val="32"/>
          <w:szCs w:val="32"/>
        </w:rPr>
      </w:pPr>
      <w:r>
        <w:rPr>
          <w:rFonts w:ascii="Times New Roman" w:hAnsi="Times New Roman" w:eastAsia="黑体"/>
          <w:sz w:val="32"/>
          <w:szCs w:val="32"/>
        </w:rPr>
        <w:t>国有资本经营预算支出情况</w:t>
      </w:r>
    </w:p>
    <w:p>
      <w:pPr>
        <w:pStyle w:val="12"/>
        <w:widowControl/>
        <w:spacing w:line="600" w:lineRule="exact"/>
        <w:ind w:firstLine="560"/>
        <w:rPr>
          <w:rFonts w:ascii="仿宋" w:hAnsi="仿宋" w:eastAsia="仿宋_GB2312"/>
          <w:szCs w:val="28"/>
        </w:rPr>
      </w:pPr>
      <w:r>
        <w:rPr>
          <w:rFonts w:hint="eastAsia" w:ascii="仿宋" w:hAnsi="仿宋" w:eastAsia="仿宋_GB2312"/>
          <w:szCs w:val="28"/>
        </w:rPr>
        <w:t>无</w:t>
      </w:r>
    </w:p>
    <w:p>
      <w:pPr>
        <w:pStyle w:val="12"/>
        <w:widowControl/>
        <w:numPr>
          <w:ilvl w:val="0"/>
          <w:numId w:val="2"/>
        </w:numPr>
        <w:spacing w:line="600" w:lineRule="exact"/>
        <w:ind w:firstLine="640"/>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12"/>
        <w:widowControl/>
        <w:spacing w:line="600" w:lineRule="exact"/>
        <w:ind w:firstLine="560"/>
        <w:rPr>
          <w:rFonts w:ascii="仿宋" w:hAnsi="仿宋" w:eastAsia="仿宋_GB2312"/>
          <w:szCs w:val="28"/>
        </w:rPr>
      </w:pPr>
      <w:r>
        <w:rPr>
          <w:rFonts w:hint="eastAsia" w:ascii="仿宋" w:hAnsi="仿宋" w:eastAsia="仿宋_GB2312"/>
          <w:szCs w:val="28"/>
        </w:rPr>
        <w:t>无</w:t>
      </w:r>
    </w:p>
    <w:p>
      <w:pPr>
        <w:widowControl/>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六、部门整体支出绩效情况</w:t>
      </w:r>
    </w:p>
    <w:p>
      <w:pPr>
        <w:widowControl/>
        <w:spacing w:line="60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（一）绩效评价实施过程情况</w:t>
      </w:r>
    </w:p>
    <w:p>
      <w:pPr>
        <w:widowControl/>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我中心领导对预算绩效管理工作十分重视。中心专门成立了绩效评价工作领导小组，建立了绩效跟踪监控制度。中心主任胡斌亲任领导小组组长，支部副书记付宾任副组长，中心支部委员任小组成员，各部门分工明确，相互协调、监督，我们采取调查分析相关文件资料及预决算报表、数据核查、询问查证等形式，对我中心2023年度部门整体支出实施了绩效评价。</w:t>
      </w:r>
    </w:p>
    <w:p>
      <w:pPr>
        <w:widowControl/>
        <w:spacing w:line="60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（二）预算资金安排基本原则</w:t>
      </w:r>
    </w:p>
    <w:p>
      <w:pPr>
        <w:widowControl/>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1、按预算收入确定支出计划。原则上资金性质和用途不变，尽可能保障人员支出，压缩公用支出。我中心基本支出397.62万元预算收入全部用于人员经费支出和公用支出，工会经费及离退休人员费用。</w:t>
      </w:r>
    </w:p>
    <w:p>
      <w:pPr>
        <w:widowControl/>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2、维护预算严肃性。严格按照下达的文件要求执行预算，不得随意变更，因特殊情况却需要变更和调整的，须报中心领导批准后执行。</w:t>
      </w:r>
    </w:p>
    <w:p>
      <w:pPr>
        <w:widowControl/>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3、坚持厉行节约，勤俭办事原则。严格控制三公经费支出，努力降低行政运行成本。</w:t>
      </w:r>
    </w:p>
    <w:p>
      <w:pPr>
        <w:widowControl/>
        <w:spacing w:line="60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（三）预算资金安排具体办法</w:t>
      </w:r>
    </w:p>
    <w:p>
      <w:pPr>
        <w:widowControl/>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按照市编制办文件核定的我单位实际在编在岗人数，以人秘科提供的报经市人事局审批后的在职职工基本工资和基础性绩效工资以及离退休职工基本离退休费和离退休补贴标准为依据，核定单位工资总额。</w:t>
      </w:r>
    </w:p>
    <w:p>
      <w:pPr>
        <w:widowControl/>
        <w:spacing w:line="60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（四）绩效评价整体结果概况</w:t>
      </w:r>
    </w:p>
    <w:p>
      <w:pPr>
        <w:widowControl/>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根据设定的部门整体支出绩效评价指标规定的内容，经评价工作小组综合评价，我中心2023年度部门整体支出绩效评价得分</w:t>
      </w:r>
      <w:r>
        <w:rPr>
          <w:rFonts w:hint="eastAsia" w:ascii="Times New Roman" w:hAnsi="Times New Roman" w:eastAsia="仿宋_GB2312"/>
          <w:color w:val="000000"/>
          <w:sz w:val="32"/>
          <w:szCs w:val="32"/>
          <w:lang w:val="en-US" w:eastAsia="zh-CN"/>
        </w:rPr>
        <w:t>94.78</w:t>
      </w:r>
      <w:r>
        <w:rPr>
          <w:rFonts w:hint="eastAsia" w:ascii="Times New Roman" w:hAnsi="Times New Roman" w:eastAsia="仿宋_GB2312"/>
          <w:color w:val="000000"/>
          <w:sz w:val="32"/>
          <w:szCs w:val="32"/>
        </w:rPr>
        <w:t>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1、预算编制和执行情况：2023年我中心全年预算数1301.36万元，2023年全年执行数为：881.89万元，预算执行率67.77%，达到目标值的良好水平。</w:t>
      </w:r>
    </w:p>
    <w:p>
      <w:pPr>
        <w:widowControl/>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2、三公经费控制情况：2023年三公经费预算数为6万元，2023年实际支付三公经费总额为2.47万元，严控单位公务用车运行维护费指标支出，较上年度有大幅度下降。</w:t>
      </w:r>
    </w:p>
    <w:p>
      <w:pPr>
        <w:widowControl/>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3、项目支出管理规范和绩效情况：项目支出严格按照预算安排数和项目管理条例执行，绩效评定结果为优。</w:t>
      </w:r>
    </w:p>
    <w:p>
      <w:pPr>
        <w:widowControl/>
        <w:spacing w:line="600" w:lineRule="exact"/>
        <w:ind w:firstLine="643" w:firstLineChars="200"/>
        <w:rPr>
          <w:rFonts w:ascii="Times New Roman" w:hAnsi="Times New Roman" w:eastAsia="仿宋_GB2312"/>
          <w:b/>
          <w:bCs/>
          <w:color w:val="000000"/>
          <w:sz w:val="32"/>
          <w:szCs w:val="32"/>
        </w:rPr>
      </w:pPr>
      <w:r>
        <w:rPr>
          <w:rFonts w:hint="eastAsia" w:ascii="Times New Roman" w:hAnsi="Times New Roman" w:eastAsia="仿宋_GB2312"/>
          <w:b/>
          <w:bCs/>
          <w:color w:val="000000"/>
          <w:sz w:val="32"/>
          <w:szCs w:val="32"/>
        </w:rPr>
        <w:t>项目绩效目标完成情况。</w:t>
      </w:r>
    </w:p>
    <w:p>
      <w:pPr>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（1） </w:t>
      </w:r>
      <w:r>
        <w:rPr>
          <w:rFonts w:ascii="Times New Roman" w:hAnsi="Times New Roman" w:eastAsia="仿宋_GB2312"/>
          <w:sz w:val="32"/>
          <w:szCs w:val="32"/>
        </w:rPr>
        <w:t>2023年市中心城区投入运营的七座污水处理厂累计处理生活污水9986.1213万吨(进水)，污水处理厂平均运行负荷率60.13%。累计削减化学需氧量（COD）22795.9727吨，生化需氧量（BOD）9254.8137吨，确保了污水处理设施的正常运行。对污水处理设施运行和提标改造现场督办共200余次，针对运营所存在问题，共下发整改督办函和警告函15份，召开生产监管工作例会3次，确保了污水处理设施正常运转和运行效益的发挥。全年</w:t>
      </w:r>
      <w:r>
        <w:rPr>
          <w:rFonts w:ascii="Times New Roman" w:hAnsi="Times New Roman" w:eastAsia="仿宋_GB2312"/>
          <w:color w:val="000000"/>
          <w:sz w:val="32"/>
          <w:szCs w:val="32"/>
        </w:rPr>
        <w:t>严格按照特许经营协议核定各污水运营单位污水处理服务费，合计核定污水处理服务费15153.302万元，累计核减污水处理服务费205.341万元。</w:t>
      </w:r>
    </w:p>
    <w:p>
      <w:pPr>
        <w:widowControl/>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中心水质监测监督管理科每月不定期对中心城区投入运行的7家污水处理厂进水、出水及污泥进行抽样监测，2023年共计抽样监测68个批次，累计出具检测报告348份。严格要求各污水处理厂按照《城镇污水处理厂运行技术规范》做好化验室的基础建设、日常化验检测工作，以及各项化验检测数据的规范填写与上报工作，确保污水处理厂的正常生产及稳定运行，对不符合运行规范的污水厂进行了通报或通知整改，全年累计下发5份通报和2份督办函。2023年2月份组织岳阳代表队参加了第二届湖南省住建行业职业技能竞赛（水环境监测员），并取得了团体二等奖和一个个人二等奖、一个个人三等奖的优异成绩。</w:t>
      </w:r>
    </w:p>
    <w:p>
      <w:pPr>
        <w:widowControl/>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在污泥处理处置监管方面，先后就污泥转移联单制度、污泥处置应急预案、处置数量核实和污泥处置费审核拨付召开污泥处理处置专题会议，建立报表、台账制度，实行每周至少一次对地磅计量进行跟踪督查，核准污泥处置量，严把污泥处置服务费审核关，及时纠正污泥处置过程中存在的问题。2023年市中心城区共处置污泥44813.51吨，其中华能处置污泥 44078.03吨，外运培菌735.48吨，对华能岳阳电厂下督办函两份，污泥无害化处置率达100%。</w:t>
      </w:r>
    </w:p>
    <w:p>
      <w:pPr>
        <w:widowControl/>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2023年度，我中心对羊角山垃圾渗滤液处置现场地表植被进行了两次修剪和清理，对喷淋系统进行了检修维护，并委托第三方检测机构每季度对水质进行采样检测，监测渗滤液水质变化情况。全年365天安排专人值班，保证调节池液位降低到有效液位，防止渗滤液从调节池溢出，有效地杜绝对北港河的污染。。</w:t>
      </w:r>
    </w:p>
    <w:p>
      <w:pPr>
        <w:widowControl/>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5</w:t>
      </w:r>
      <w:r>
        <w:rPr>
          <w:rFonts w:ascii="Times New Roman" w:hAnsi="Times New Roman" w:eastAsia="仿宋_GB2312"/>
          <w:color w:val="000000"/>
          <w:sz w:val="32"/>
          <w:szCs w:val="32"/>
        </w:rPr>
        <w:t>）积极推进污水处理监督系统项目建设工作。为优化对污水处理厂日常运营监管模式，实现污水处理行业监管的信息化、规范化、可视化，中心牵头多次查阅和收集相关资料，召开相关会议，并前往武汉考察学习，先后与审计、财政、发改相关部门对接工作，于2023年1月完成岳阳市发改委可行性研究报告批复，5月完成市财政局项目预算评审。根据《岳阳市智慧城市整体特许经营项目政府采购合同》和《关于对&lt;岳阳市污水处理监督系统项目建设方案&gt;的审核意见》授予岳阳市交投智慧城市开发有限公司实施项目建设，6月完成合同签订，并启动实施。11月20日完成项目初验，12月底完成终验并投入正式使用。</w:t>
      </w:r>
    </w:p>
    <w:p>
      <w:pPr>
        <w:pStyle w:val="8"/>
        <w:spacing w:after="0" w:line="600" w:lineRule="exact"/>
        <w:ind w:firstLine="0" w:firstLineChars="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6</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2023年度污水处理费收费工作完成征缴财政9500万，超额完成征缴任务。</w:t>
      </w:r>
    </w:p>
    <w:p>
      <w:pPr>
        <w:pStyle w:val="12"/>
        <w:widowControl/>
        <w:spacing w:line="600" w:lineRule="exact"/>
        <w:ind w:firstLine="640"/>
        <w:rPr>
          <w:rFonts w:ascii="Times New Roman" w:hAnsi="Times New Roman" w:eastAsia="黑体"/>
          <w:sz w:val="32"/>
          <w:szCs w:val="32"/>
        </w:rPr>
      </w:pPr>
      <w:r>
        <w:rPr>
          <w:rFonts w:hint="eastAsia" w:ascii="Times New Roman" w:hAnsi="Times New Roman" w:eastAsia="黑体"/>
          <w:sz w:val="32"/>
          <w:szCs w:val="32"/>
        </w:rPr>
        <w:t>七、</w:t>
      </w:r>
      <w:r>
        <w:rPr>
          <w:rFonts w:ascii="Times New Roman" w:hAnsi="Times New Roman" w:eastAsia="黑体"/>
          <w:sz w:val="32"/>
          <w:szCs w:val="32"/>
        </w:rPr>
        <w:t>存在的问题及原因分析</w:t>
      </w:r>
    </w:p>
    <w:p>
      <w:pPr>
        <w:widowControl/>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（一）预算编制和执行缺乏准确性。由于项目执行中不确定因素较多，因而造成预算编制数和实际发生数存在差异，影响了预算收支的准确性。</w:t>
      </w:r>
    </w:p>
    <w:p>
      <w:pPr>
        <w:widowControl/>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（二）足额安排公用支出</w:t>
      </w:r>
    </w:p>
    <w:p>
      <w:pPr>
        <w:widowControl/>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近年来单位具体职能工作有所增加，上级部门交办的临时性任务繁杂，但预算中未有相关经费安排，建议能提高公用支出预算比例，保障我中心相关工作的有效开展。</w:t>
      </w:r>
    </w:p>
    <w:p>
      <w:pPr>
        <w:widowControl/>
        <w:numPr>
          <w:ilvl w:val="0"/>
          <w:numId w:val="3"/>
        </w:num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下一步改进措施</w:t>
      </w:r>
    </w:p>
    <w:p>
      <w:pPr>
        <w:pStyle w:val="8"/>
        <w:spacing w:after="0"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（一）提高思想认识。增强各科室人员对绩效考核的重视度。</w:t>
      </w:r>
    </w:p>
    <w:p>
      <w:pPr>
        <w:pStyle w:val="8"/>
        <w:spacing w:after="0"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（二）建立良好的沟通和反馈机制。建立健全规范的制度保障系统，可以使各类信息能上传下达，相互协调，提高工作效率和效能，增强各科室之间的沟通，了解各科室的基本情况与其相关需求。</w:t>
      </w:r>
    </w:p>
    <w:p>
      <w:pPr>
        <w:pStyle w:val="8"/>
        <w:spacing w:after="0" w:line="600" w:lineRule="exact"/>
        <w:ind w:firstLine="640" w:firstLineChars="200"/>
      </w:pPr>
      <w:r>
        <w:rPr>
          <w:rFonts w:hint="eastAsia" w:ascii="Times New Roman" w:hAnsi="Times New Roman" w:eastAsia="仿宋_GB2312"/>
          <w:color w:val="000000"/>
          <w:sz w:val="32"/>
          <w:szCs w:val="32"/>
        </w:rPr>
        <w:t>（三）加强单位预算的绩效评价。建立财政支出预算绩效考评制度是加强预算管理、提高财政资金使用效益的重要制度保障，结合本单位的实际将绩效考评结果作为预算安排的依据，要不断完善绩效考评办法，提高财政资金使用的规范性、安全性和有效性。</w:t>
      </w:r>
    </w:p>
    <w:p>
      <w:pPr>
        <w:widowControl/>
        <w:numPr>
          <w:ilvl w:val="0"/>
          <w:numId w:val="3"/>
        </w:num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部门整体支出绩效自评结果拟应用和公开情况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（一）我中心根据整体支出绩效评定指标对各绩效指标量化评价，自评指标得分94.78分。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我中心将项目支出后的实际状况与项目申报的绩效目标进行对比分析。按项目实际支出和项目申报绩效目标进行对比分析自评：污水处理事务经费项目得分96.18分，城市管网及污水处理补助项目得分92.07分。</w:t>
      </w:r>
    </w:p>
    <w:p>
      <w:pPr>
        <w:pStyle w:val="7"/>
        <w:widowControl/>
        <w:spacing w:line="600" w:lineRule="exact"/>
        <w:ind w:firstLine="420"/>
        <w:jc w:val="both"/>
      </w:pPr>
      <w:r>
        <w:rPr>
          <w:rFonts w:hint="eastAsia" w:ascii="Times New Roman" w:hAnsi="Times New Roman" w:eastAsia="仿宋_GB2312"/>
          <w:color w:val="000000"/>
          <w:sz w:val="32"/>
          <w:szCs w:val="32"/>
        </w:rPr>
        <w:t>（三）我中心将在按时将2023年度部门整体支出绩效自评交上级主管部门挂网公示。</w:t>
      </w:r>
    </w:p>
    <w:p>
      <w:pPr>
        <w:widowControl/>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其他需要说明的情况</w:t>
      </w:r>
    </w:p>
    <w:p>
      <w:pPr>
        <w:widowControl/>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无</w:t>
      </w:r>
    </w:p>
    <w:p>
      <w:pPr>
        <w:spacing w:line="600" w:lineRule="exact"/>
      </w:pPr>
    </w:p>
    <w:sectPr>
      <w:pgSz w:w="11906" w:h="16838"/>
      <w:pgMar w:top="1587" w:right="1587" w:bottom="1134" w:left="1587" w:header="851" w:footer="992" w:gutter="0"/>
      <w:cols w:space="720" w:num="1"/>
      <w:docGrid w:type="lines" w:linePitch="3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6E7E51"/>
    <w:multiLevelType w:val="singleLevel"/>
    <w:tmpl w:val="ED6E7E51"/>
    <w:lvl w:ilvl="0" w:tentative="0">
      <w:start w:val="4"/>
      <w:numFmt w:val="chineseCounting"/>
      <w:suff w:val="nothing"/>
      <w:lvlText w:val="%1、"/>
      <w:lvlJc w:val="left"/>
      <w:rPr>
        <w:rFonts w:hint="eastAsia"/>
      </w:rPr>
    </w:lvl>
  </w:abstractNum>
  <w:abstractNum w:abstractNumId="1">
    <w:nsid w:val="F6969868"/>
    <w:multiLevelType w:val="singleLevel"/>
    <w:tmpl w:val="F6969868"/>
    <w:lvl w:ilvl="0" w:tentative="0">
      <w:start w:val="1"/>
      <w:numFmt w:val="chineseCounting"/>
      <w:suff w:val="nothing"/>
      <w:lvlText w:val="%1、"/>
      <w:lvlJc w:val="left"/>
      <w:rPr>
        <w:rFonts w:hint="eastAsia"/>
      </w:rPr>
    </w:lvl>
  </w:abstractNum>
  <w:abstractNum w:abstractNumId="2">
    <w:nsid w:val="4A4EE1AA"/>
    <w:multiLevelType w:val="singleLevel"/>
    <w:tmpl w:val="4A4EE1AA"/>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9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CCFF8E41"/>
    <w:rsid w:val="00253434"/>
    <w:rsid w:val="009C145E"/>
    <w:rsid w:val="00D37ED2"/>
    <w:rsid w:val="00D90DF0"/>
    <w:rsid w:val="00DB0AC7"/>
    <w:rsid w:val="01443A1B"/>
    <w:rsid w:val="015F254D"/>
    <w:rsid w:val="02007E3E"/>
    <w:rsid w:val="02D13AA8"/>
    <w:rsid w:val="03062FFD"/>
    <w:rsid w:val="055F39A2"/>
    <w:rsid w:val="06494230"/>
    <w:rsid w:val="08345652"/>
    <w:rsid w:val="09485EFB"/>
    <w:rsid w:val="0A433449"/>
    <w:rsid w:val="0B8C389F"/>
    <w:rsid w:val="0C0F0642"/>
    <w:rsid w:val="0C233266"/>
    <w:rsid w:val="115F78BB"/>
    <w:rsid w:val="142706FA"/>
    <w:rsid w:val="15642AEF"/>
    <w:rsid w:val="15732C83"/>
    <w:rsid w:val="179D474C"/>
    <w:rsid w:val="17F7788B"/>
    <w:rsid w:val="1A892B95"/>
    <w:rsid w:val="1A893CD4"/>
    <w:rsid w:val="1AAB183B"/>
    <w:rsid w:val="207B74C4"/>
    <w:rsid w:val="21316710"/>
    <w:rsid w:val="21482B1C"/>
    <w:rsid w:val="21EB477C"/>
    <w:rsid w:val="2671171F"/>
    <w:rsid w:val="26945CDC"/>
    <w:rsid w:val="27744E56"/>
    <w:rsid w:val="2A6227AB"/>
    <w:rsid w:val="2B1144D8"/>
    <w:rsid w:val="2C4B14B4"/>
    <w:rsid w:val="2D46629B"/>
    <w:rsid w:val="2EB80FBF"/>
    <w:rsid w:val="32A46EDD"/>
    <w:rsid w:val="33AD0A7E"/>
    <w:rsid w:val="34AB307B"/>
    <w:rsid w:val="36502E7E"/>
    <w:rsid w:val="37B327C8"/>
    <w:rsid w:val="37FC7C58"/>
    <w:rsid w:val="3ABF0799"/>
    <w:rsid w:val="3B807F2C"/>
    <w:rsid w:val="3CAF2100"/>
    <w:rsid w:val="3DC962FC"/>
    <w:rsid w:val="3E38680E"/>
    <w:rsid w:val="3E69364E"/>
    <w:rsid w:val="3E853CDE"/>
    <w:rsid w:val="3F5F4FF7"/>
    <w:rsid w:val="47C45597"/>
    <w:rsid w:val="4B1936C2"/>
    <w:rsid w:val="4C455922"/>
    <w:rsid w:val="4E7850CA"/>
    <w:rsid w:val="4F916E36"/>
    <w:rsid w:val="52E04F16"/>
    <w:rsid w:val="555A5BD5"/>
    <w:rsid w:val="576E26F4"/>
    <w:rsid w:val="57963E8B"/>
    <w:rsid w:val="59590A7F"/>
    <w:rsid w:val="5AF0176D"/>
    <w:rsid w:val="5B594951"/>
    <w:rsid w:val="5FDF9D25"/>
    <w:rsid w:val="65061835"/>
    <w:rsid w:val="65631114"/>
    <w:rsid w:val="659D2AED"/>
    <w:rsid w:val="6AF827CC"/>
    <w:rsid w:val="6BDE0866"/>
    <w:rsid w:val="6BED3FC5"/>
    <w:rsid w:val="6C5C7AA7"/>
    <w:rsid w:val="6DD736B3"/>
    <w:rsid w:val="6F7540DD"/>
    <w:rsid w:val="704E469D"/>
    <w:rsid w:val="70946D02"/>
    <w:rsid w:val="72134C01"/>
    <w:rsid w:val="725F3101"/>
    <w:rsid w:val="72AC19B9"/>
    <w:rsid w:val="751E3683"/>
    <w:rsid w:val="78AE7934"/>
    <w:rsid w:val="7A984115"/>
    <w:rsid w:val="7B7934A2"/>
    <w:rsid w:val="7DDF84BA"/>
    <w:rsid w:val="7EA429DF"/>
    <w:rsid w:val="7F1C21E8"/>
    <w:rsid w:val="7F726DF2"/>
    <w:rsid w:val="7F9B7D6E"/>
    <w:rsid w:val="7FF65C39"/>
    <w:rsid w:val="B57639E9"/>
    <w:rsid w:val="B7DFD28A"/>
    <w:rsid w:val="CCFF8E41"/>
    <w:rsid w:val="F7FB0F6A"/>
    <w:rsid w:val="FB0FB09A"/>
    <w:rsid w:val="FB7F7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sz w:val="28"/>
      <w:szCs w:val="24"/>
      <w:lang w:val="en-US" w:eastAsia="zh-CN" w:bidi="ar-SA"/>
    </w:rPr>
  </w:style>
  <w:style w:type="paragraph" w:styleId="2">
    <w:name w:val="heading 4"/>
    <w:basedOn w:val="1"/>
    <w:next w:val="1"/>
    <w:qFormat/>
    <w:uiPriority w:val="0"/>
    <w:pPr>
      <w:keepLines/>
      <w:spacing w:beforeLines="50" w:line="500" w:lineRule="atLeast"/>
      <w:outlineLvl w:val="3"/>
    </w:pPr>
    <w:rPr>
      <w:rFonts w:ascii="微软雅黑" w:hAnsi="微软雅黑" w:eastAsia="微软雅黑"/>
      <w:bCs/>
      <w:sz w:val="24"/>
      <w:szCs w:val="2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customStyle="1" w:styleId="4">
    <w:name w:val="正文首行缩进1"/>
    <w:basedOn w:val="1"/>
    <w:qFormat/>
    <w:uiPriority w:val="0"/>
    <w:pPr>
      <w:spacing w:after="120"/>
      <w:ind w:firstLine="420" w:firstLineChars="100"/>
    </w:pPr>
    <w:rPr>
      <w:rFonts w:ascii="Times New Roman" w:hAnsi="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jc w:val="left"/>
    </w:pPr>
    <w:rPr>
      <w:sz w:val="24"/>
    </w:rPr>
  </w:style>
  <w:style w:type="paragraph" w:styleId="8">
    <w:name w:val="Body Text First Indent"/>
    <w:basedOn w:val="3"/>
    <w:qFormat/>
    <w:uiPriority w:val="0"/>
    <w:pPr>
      <w:ind w:firstLine="420" w:firstLineChars="100"/>
    </w:pPr>
  </w:style>
  <w:style w:type="paragraph" w:customStyle="1" w:styleId="11">
    <w:name w:val="列出段落1"/>
    <w:basedOn w:val="1"/>
    <w:qFormat/>
    <w:uiPriority w:val="34"/>
    <w:pPr>
      <w:ind w:firstLine="420" w:firstLineChars="200"/>
    </w:pPr>
  </w:style>
  <w:style w:type="paragraph" w:styleId="12">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536</Words>
  <Characters>3060</Characters>
  <Lines>25</Lines>
  <Paragraphs>7</Paragraphs>
  <TotalTime>1</TotalTime>
  <ScaleCrop>false</ScaleCrop>
  <LinksUpToDate>false</LinksUpToDate>
  <CharactersWithSpaces>3589</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2024-06-13T08:03:00Z</dcterms:created>
  <dc:creator>yyadmin</dc:creator>
  <cp:lastModifiedBy>李枚</cp:lastModifiedBy>
  <cp:lastPrinted>2023-07-18T09:24:00Z</cp:lastPrinted>
  <dcterms:modified xsi:type="dcterms:W3CDTF">2024-06-26T07:06:10Z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F8BD6B11A48143C18374878C2994C911</vt:lpwstr>
  </property>
</Properties>
</file>