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03" w:rsidRDefault="001B3603">
      <w:pPr>
        <w:jc w:val="center"/>
        <w:rPr>
          <w:rFonts w:ascii="Times New Roman" w:eastAsia="方正小标宋_GBK" w:hAnsi="Times New Roman"/>
          <w:sz w:val="52"/>
          <w:szCs w:val="52"/>
        </w:rPr>
      </w:pPr>
    </w:p>
    <w:p w:rsidR="001B3603" w:rsidRDefault="005B40A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2023年度岳阳市城乡建设事务中心整体支出绩效自评报告</w:t>
      </w:r>
    </w:p>
    <w:p w:rsidR="001B3603" w:rsidRDefault="001B3603">
      <w:pPr>
        <w:jc w:val="center"/>
        <w:rPr>
          <w:rFonts w:ascii="Times New Roman" w:eastAsia="方正小标宋_GBK" w:hAnsi="Times New Roman"/>
          <w:b/>
          <w:sz w:val="52"/>
          <w:szCs w:val="52"/>
        </w:rPr>
      </w:pPr>
    </w:p>
    <w:p w:rsidR="001B3603" w:rsidRDefault="001B3603">
      <w:pPr>
        <w:jc w:val="center"/>
        <w:rPr>
          <w:rFonts w:ascii="Times New Roman" w:eastAsia="楷体_GB2312" w:hAnsi="Times New Roman"/>
          <w:b/>
          <w:sz w:val="32"/>
          <w:szCs w:val="32"/>
        </w:rPr>
      </w:pPr>
    </w:p>
    <w:p w:rsidR="001B3603" w:rsidRDefault="001B3603">
      <w:pPr>
        <w:jc w:val="center"/>
        <w:rPr>
          <w:rFonts w:ascii="Times New Roman" w:eastAsia="楷体_GB2312" w:hAnsi="Times New Roman"/>
          <w:b/>
          <w:sz w:val="32"/>
          <w:szCs w:val="32"/>
        </w:rPr>
      </w:pPr>
    </w:p>
    <w:p w:rsidR="001B3603" w:rsidRDefault="001B3603">
      <w:pPr>
        <w:jc w:val="center"/>
        <w:rPr>
          <w:rFonts w:ascii="Times New Roman" w:eastAsia="楷体_GB2312" w:hAnsi="Times New Roman"/>
          <w:b/>
          <w:sz w:val="32"/>
          <w:szCs w:val="32"/>
        </w:rPr>
      </w:pPr>
    </w:p>
    <w:p w:rsidR="001B3603" w:rsidRDefault="001B3603">
      <w:pPr>
        <w:jc w:val="center"/>
        <w:rPr>
          <w:rFonts w:ascii="Times New Roman" w:eastAsia="楷体_GB2312" w:hAnsi="Times New Roman"/>
          <w:b/>
          <w:sz w:val="32"/>
          <w:szCs w:val="32"/>
        </w:rPr>
      </w:pPr>
    </w:p>
    <w:p w:rsidR="001B3603" w:rsidRDefault="001B3603">
      <w:pPr>
        <w:jc w:val="center"/>
        <w:rPr>
          <w:rFonts w:ascii="Times New Roman" w:eastAsia="楷体_GB2312" w:hAnsi="Times New Roman"/>
          <w:b/>
          <w:sz w:val="32"/>
          <w:szCs w:val="32"/>
        </w:rPr>
      </w:pPr>
    </w:p>
    <w:p w:rsidR="001B3603" w:rsidRDefault="001B3603">
      <w:pPr>
        <w:jc w:val="center"/>
        <w:rPr>
          <w:rFonts w:ascii="Times New Roman" w:eastAsia="楷体_GB2312" w:hAnsi="Times New Roman"/>
          <w:b/>
          <w:sz w:val="32"/>
          <w:szCs w:val="32"/>
        </w:rPr>
      </w:pPr>
    </w:p>
    <w:p w:rsidR="001B3603" w:rsidRDefault="001B3603">
      <w:pPr>
        <w:jc w:val="center"/>
        <w:rPr>
          <w:rFonts w:ascii="Times New Roman" w:eastAsia="黑体" w:hAnsi="Times New Roman"/>
          <w:sz w:val="32"/>
          <w:szCs w:val="32"/>
        </w:rPr>
      </w:pPr>
    </w:p>
    <w:p w:rsidR="001B3603" w:rsidRDefault="001B3603">
      <w:pPr>
        <w:jc w:val="center"/>
        <w:rPr>
          <w:rFonts w:ascii="Times New Roman" w:eastAsia="黑体" w:hAnsi="Times New Roman"/>
          <w:sz w:val="32"/>
          <w:szCs w:val="32"/>
        </w:rPr>
      </w:pPr>
    </w:p>
    <w:p w:rsidR="001B3603" w:rsidRDefault="001B3603">
      <w:pPr>
        <w:jc w:val="center"/>
        <w:rPr>
          <w:rFonts w:ascii="Times New Roman" w:eastAsia="黑体" w:hAnsi="Times New Roman"/>
          <w:sz w:val="32"/>
          <w:szCs w:val="32"/>
        </w:rPr>
      </w:pPr>
    </w:p>
    <w:p w:rsidR="001B3603" w:rsidRDefault="001B3603">
      <w:pPr>
        <w:rPr>
          <w:rFonts w:ascii="Times New Roman" w:eastAsia="黑体" w:hAnsi="Times New Roman"/>
          <w:sz w:val="32"/>
          <w:szCs w:val="32"/>
        </w:rPr>
      </w:pPr>
    </w:p>
    <w:p w:rsidR="001B3603" w:rsidRDefault="001B3603">
      <w:pPr>
        <w:jc w:val="center"/>
        <w:rPr>
          <w:rFonts w:ascii="Times New Roman" w:eastAsia="黑体" w:hAnsi="Times New Roman"/>
          <w:sz w:val="32"/>
          <w:szCs w:val="32"/>
        </w:rPr>
      </w:pPr>
    </w:p>
    <w:p w:rsidR="001B3603" w:rsidRDefault="001B3603">
      <w:pPr>
        <w:jc w:val="center"/>
        <w:rPr>
          <w:rFonts w:ascii="Times New Roman" w:eastAsia="黑体" w:hAnsi="Times New Roman"/>
          <w:sz w:val="32"/>
          <w:szCs w:val="32"/>
        </w:rPr>
      </w:pPr>
    </w:p>
    <w:p w:rsidR="001B3603" w:rsidRDefault="001B3603">
      <w:pPr>
        <w:jc w:val="center"/>
        <w:rPr>
          <w:rFonts w:ascii="Times New Roman" w:eastAsia="黑体" w:hAnsi="Times New Roman"/>
          <w:sz w:val="32"/>
          <w:szCs w:val="32"/>
        </w:rPr>
      </w:pPr>
    </w:p>
    <w:p w:rsidR="001B3603" w:rsidRDefault="005B40AB">
      <w:pPr>
        <w:spacing w:line="600" w:lineRule="exact"/>
        <w:jc w:val="center"/>
        <w:rPr>
          <w:rFonts w:ascii="Times New Roman" w:eastAsia="仿宋_GB2312" w:hAnsi="Times New Roman"/>
          <w:sz w:val="32"/>
          <w:szCs w:val="32"/>
          <w:u w:val="single"/>
        </w:rPr>
      </w:pPr>
      <w:r>
        <w:rPr>
          <w:rFonts w:ascii="Times New Roman" w:eastAsia="仿宋_GB2312" w:hAnsi="Times New Roman"/>
          <w:sz w:val="32"/>
          <w:szCs w:val="32"/>
        </w:rPr>
        <w:t>部门（单位）名称：</w:t>
      </w:r>
      <w:r>
        <w:rPr>
          <w:rFonts w:ascii="Times New Roman" w:eastAsia="仿宋_GB2312" w:hAnsi="Times New Roman"/>
          <w:sz w:val="32"/>
          <w:szCs w:val="32"/>
          <w:u w:val="single"/>
        </w:rPr>
        <w:t>（盖章）</w:t>
      </w:r>
    </w:p>
    <w:p w:rsidR="001B3603" w:rsidRDefault="005B40AB">
      <w:pPr>
        <w:spacing w:line="600" w:lineRule="exact"/>
        <w:jc w:val="center"/>
        <w:rPr>
          <w:rFonts w:ascii="Times New Roman" w:eastAsia="楷体_GB2312" w:hAnsi="Times New Roman"/>
          <w:sz w:val="32"/>
          <w:szCs w:val="32"/>
        </w:rPr>
      </w:pPr>
      <w:r>
        <w:rPr>
          <w:rFonts w:ascii="Times New Roman" w:eastAsia="楷体_GB2312" w:hAnsi="Times New Roman"/>
          <w:sz w:val="32"/>
          <w:szCs w:val="32"/>
        </w:rPr>
        <w:t>年</w:t>
      </w:r>
      <w:r>
        <w:rPr>
          <w:rFonts w:ascii="Times New Roman" w:eastAsia="楷体_GB2312" w:hAnsi="Times New Roman"/>
          <w:sz w:val="32"/>
          <w:szCs w:val="32"/>
        </w:rPr>
        <w:t xml:space="preserve">  </w:t>
      </w:r>
      <w:r>
        <w:rPr>
          <w:rFonts w:ascii="Times New Roman" w:eastAsia="楷体_GB2312" w:hAnsi="Times New Roman"/>
          <w:sz w:val="32"/>
          <w:szCs w:val="32"/>
        </w:rPr>
        <w:t>月</w:t>
      </w:r>
      <w:r>
        <w:rPr>
          <w:rFonts w:ascii="Times New Roman" w:eastAsia="楷体_GB2312" w:hAnsi="Times New Roman"/>
          <w:sz w:val="32"/>
          <w:szCs w:val="32"/>
        </w:rPr>
        <w:t xml:space="preserve">  </w:t>
      </w:r>
      <w:r>
        <w:rPr>
          <w:rFonts w:ascii="Times New Roman" w:eastAsia="楷体_GB2312" w:hAnsi="Times New Roman"/>
          <w:sz w:val="32"/>
          <w:szCs w:val="32"/>
        </w:rPr>
        <w:t>日</w:t>
      </w:r>
    </w:p>
    <w:p w:rsidR="001B3603" w:rsidRDefault="005B40AB">
      <w:pPr>
        <w:jc w:val="center"/>
        <w:rPr>
          <w:rFonts w:ascii="Times New Roman" w:eastAsia="仿宋_GB2312" w:hAnsi="Times New Roman"/>
          <w:sz w:val="32"/>
          <w:szCs w:val="32"/>
        </w:rPr>
      </w:pPr>
      <w:r>
        <w:rPr>
          <w:rFonts w:ascii="Times New Roman" w:eastAsia="仿宋_GB2312" w:hAnsi="Times New Roman"/>
          <w:sz w:val="32"/>
          <w:szCs w:val="32"/>
        </w:rPr>
        <w:t>（此页为封面）</w:t>
      </w:r>
    </w:p>
    <w:p w:rsidR="001B3603" w:rsidRDefault="005B40AB">
      <w:pPr>
        <w:jc w:val="center"/>
        <w:rPr>
          <w:rFonts w:ascii="方正小标宋简体" w:eastAsia="方正小标宋简体" w:hAnsi="方正小标宋简体" w:cs="方正小标宋简体"/>
          <w:sz w:val="44"/>
          <w:szCs w:val="44"/>
        </w:rPr>
      </w:pPr>
      <w:r>
        <w:rPr>
          <w:rFonts w:ascii="Times New Roman" w:eastAsia="仿宋_GB2312" w:hAnsi="Times New Roman"/>
          <w:sz w:val="32"/>
          <w:szCs w:val="32"/>
        </w:rPr>
        <w:br w:type="page"/>
      </w:r>
      <w:r>
        <w:rPr>
          <w:rFonts w:ascii="方正小标宋简体" w:eastAsia="方正小标宋简体" w:hAnsi="方正小标宋简体" w:cs="方正小标宋简体" w:hint="eastAsia"/>
          <w:sz w:val="44"/>
          <w:szCs w:val="44"/>
        </w:rPr>
        <w:lastRenderedPageBreak/>
        <w:t>2023年度岳阳市城乡建设事务中心整体支出绩效自评报告</w:t>
      </w:r>
    </w:p>
    <w:p w:rsidR="001B3603" w:rsidRDefault="001B3603">
      <w:pPr>
        <w:spacing w:line="640" w:lineRule="exact"/>
        <w:ind w:firstLineChars="200" w:firstLine="640"/>
        <w:rPr>
          <w:rFonts w:ascii="Times New Roman" w:eastAsia="仿宋_GB2312" w:hAnsi="Times New Roman"/>
          <w:sz w:val="32"/>
          <w:szCs w:val="32"/>
        </w:rPr>
      </w:pPr>
    </w:p>
    <w:p w:rsidR="001B3603" w:rsidRDefault="005B40AB">
      <w:pPr>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部门（单位）基本情况</w:t>
      </w:r>
    </w:p>
    <w:p w:rsidR="001B3603" w:rsidRDefault="005B40AB">
      <w:pPr>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我单位为住房和城乡建设局管理的公益一类事业单位，主要职能职责是：1、参与拟订城乡建设事务中心相关的行政规章、地方性法规、规章和规范性文本相关事务性工作；2、负责市本级财政投资由市住房和城乡建设局实施的城建项目；3、负责建筑业企业、工程监理企业、质量检测企业、勘察设计企业、招标代理企业等机构的资质及执业人员管理的行政辅助工作；4、负责拟订中心城区（包括城</w:t>
      </w:r>
      <w:proofErr w:type="gramStart"/>
      <w:r>
        <w:rPr>
          <w:rFonts w:ascii="仿宋_GB2312" w:eastAsia="仿宋_GB2312" w:hAnsi="仿宋_GB2312" w:cs="仿宋_GB2312" w:hint="eastAsia"/>
          <w:sz w:val="32"/>
          <w:szCs w:val="32"/>
        </w:rPr>
        <w:t>陵矶新港区</w:t>
      </w:r>
      <w:proofErr w:type="gramEnd"/>
      <w:r>
        <w:rPr>
          <w:rFonts w:ascii="仿宋_GB2312" w:eastAsia="仿宋_GB2312" w:hAnsi="仿宋_GB2312" w:cs="仿宋_GB2312" w:hint="eastAsia"/>
          <w:sz w:val="32"/>
          <w:szCs w:val="32"/>
        </w:rPr>
        <w:t>）城建项目计划及调查统计、督查考评等工作。5、负责城建项目库的建设、维护、管理和项目前期研究等工作；6、负责历史文化名城、名镇、名村、历史建筑和传统村落（民居）的保护；7、负责国有土地房屋征收项目评估报告备案、成本概算决算审核的行政辅助工作；8、负责建筑工程造价监督指导管理的行政辅助和技术支撑工作；9、负责建筑行业职业培训监督管理和建筑施工企业安管人员、建筑施工特种作业人员考核的行政辅助工作；10、负责海绵城市规划建设和管理的技术支撑工作；11、负责市本级政府投资的房建和市政工程项目招投标监管的行政辅助工作。12、负责国有土地房屋征收补偿项目具体实施的事务性工作；13、</w:t>
      </w:r>
      <w:r>
        <w:rPr>
          <w:rFonts w:ascii="仿宋_GB2312" w:eastAsia="仿宋_GB2312" w:hAnsi="仿宋_GB2312" w:cs="仿宋_GB2312" w:hint="eastAsia"/>
          <w:sz w:val="32"/>
          <w:szCs w:val="32"/>
        </w:rPr>
        <w:lastRenderedPageBreak/>
        <w:t>负责发布建设工程造价相关服务和监管的事务性工作；14、负责住房和城乡建设领域施工现场专业人员、建筑工人职业培训以及岗位资格继续教育的事务性工作；15、负责国有土地房屋征收、勘察设计企业、招标代理企业等机构信用评价的事务性工作。</w:t>
      </w:r>
    </w:p>
    <w:p w:rsidR="001B3603" w:rsidRDefault="001B3603">
      <w:pPr>
        <w:spacing w:line="640" w:lineRule="exact"/>
        <w:rPr>
          <w:rFonts w:ascii="Times New Roman" w:eastAsia="黑体" w:hAnsi="Times New Roman"/>
          <w:sz w:val="32"/>
          <w:szCs w:val="32"/>
        </w:rPr>
      </w:pPr>
    </w:p>
    <w:p w:rsidR="001B3603" w:rsidRDefault="005B40AB">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1B3603" w:rsidRDefault="005B40AB">
      <w:pPr>
        <w:pStyle w:val="a7"/>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1B3603" w:rsidRDefault="005B40AB">
      <w:pPr>
        <w:pStyle w:val="a7"/>
        <w:widowControl/>
        <w:spacing w:line="640" w:lineRule="exact"/>
        <w:ind w:firstLine="640"/>
        <w:rPr>
          <w:rFonts w:ascii="Times New Roman" w:eastAsia="楷体_GB2312" w:hAnsi="Times New Roman"/>
          <w:b/>
          <w:sz w:val="32"/>
          <w:szCs w:val="32"/>
        </w:rPr>
      </w:pPr>
      <w:r>
        <w:rPr>
          <w:rFonts w:ascii="仿宋_GB2312" w:eastAsia="仿宋_GB2312" w:hAnsi="仿宋_GB2312" w:cs="仿宋_GB2312" w:hint="eastAsia"/>
          <w:color w:val="333333"/>
          <w:sz w:val="32"/>
          <w:szCs w:val="32"/>
          <w:shd w:val="clear" w:color="auto" w:fill="FFFFFF"/>
        </w:rPr>
        <w:t>基本支出是指为保障单位机构运转、完成日常工作任务而发生的各项支出，包括职工基本工资、津补贴、社会保障缴费、离退休费等人员经费以及办公费、水电费、办公设备购置费等日常公用经费。2023年本中心一般公共预算财政拨款基本支出1307.9万元，其中：人员经费支出1211.41万元，日常公用经费支出96.49万元。</w:t>
      </w:r>
    </w:p>
    <w:p w:rsidR="001B3603" w:rsidRDefault="005B40AB">
      <w:pPr>
        <w:pStyle w:val="a7"/>
        <w:widowControl/>
        <w:numPr>
          <w:ilvl w:val="0"/>
          <w:numId w:val="2"/>
        </w:numPr>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1B3603" w:rsidRDefault="005B40AB">
      <w:pPr>
        <w:spacing w:line="600" w:lineRule="exact"/>
        <w:ind w:firstLineChars="200" w:firstLine="640"/>
        <w:rPr>
          <w:rFonts w:ascii="仿宋_GB2312" w:eastAsia="仿宋_GB2312" w:hAnsi="仿宋_GB2312" w:cs="仿宋_GB2312"/>
          <w:color w:val="555555"/>
          <w:sz w:val="32"/>
          <w:szCs w:val="32"/>
          <w:shd w:val="clear" w:color="auto" w:fill="FFFFFF"/>
        </w:rPr>
      </w:pPr>
      <w:r>
        <w:rPr>
          <w:rFonts w:ascii="仿宋_GB2312" w:eastAsia="仿宋_GB2312" w:hAnsi="仿宋_GB2312" w:cs="仿宋_GB2312" w:hint="eastAsia"/>
          <w:color w:val="555555"/>
          <w:sz w:val="32"/>
          <w:szCs w:val="32"/>
          <w:shd w:val="clear" w:color="auto" w:fill="FFFFFF"/>
        </w:rPr>
        <w:t>2023年项目支出969.74万元，项目支出严格遵照《行政事业单位财务制度》、《国库集中支付管理规定》，使项目支出规定的用途使用并达到预期目的。加强对项目资金事前、事中、事后全过程的管理监督，发挥专项资金效益的最大化。</w:t>
      </w:r>
    </w:p>
    <w:p w:rsidR="001B3603" w:rsidRDefault="001B3603">
      <w:pPr>
        <w:pStyle w:val="a7"/>
        <w:widowControl/>
        <w:spacing w:line="640" w:lineRule="exact"/>
        <w:ind w:firstLineChars="0" w:firstLine="0"/>
        <w:rPr>
          <w:rFonts w:ascii="Times New Roman" w:eastAsia="楷体_GB2312" w:hAnsi="Times New Roman"/>
          <w:b/>
          <w:sz w:val="32"/>
          <w:szCs w:val="32"/>
        </w:rPr>
      </w:pPr>
    </w:p>
    <w:p w:rsidR="001B3603" w:rsidRDefault="005B40AB">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三、政府性基金预算支出情况</w:t>
      </w:r>
    </w:p>
    <w:p w:rsidR="001B3603" w:rsidRDefault="005B40AB">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lastRenderedPageBreak/>
        <w:t>四、国有资本经营预算支出情况</w:t>
      </w:r>
    </w:p>
    <w:p w:rsidR="001B3603" w:rsidRDefault="005B40AB">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五、社会保险基金预算支出情况</w:t>
      </w:r>
    </w:p>
    <w:p w:rsidR="001B3603" w:rsidRDefault="005B40AB">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六、部门整体支出绩效情况</w:t>
      </w:r>
    </w:p>
    <w:p w:rsidR="001B3603" w:rsidRDefault="005B40AB">
      <w:pPr>
        <w:spacing w:line="620" w:lineRule="exact"/>
        <w:ind w:firstLineChars="200" w:firstLine="643"/>
        <w:rPr>
          <w:rFonts w:eastAsia="仿宋" w:cs="仿宋"/>
          <w:sz w:val="32"/>
          <w:szCs w:val="32"/>
        </w:rPr>
      </w:pPr>
      <w:r>
        <w:rPr>
          <w:rFonts w:eastAsia="仿宋" w:cs="仿宋" w:hint="eastAsia"/>
          <w:b/>
          <w:bCs/>
          <w:sz w:val="32"/>
          <w:szCs w:val="32"/>
        </w:rPr>
        <w:t>城市建设有提升。</w:t>
      </w:r>
      <w:r>
        <w:rPr>
          <w:rFonts w:eastAsia="仿宋" w:cs="仿宋" w:hint="eastAsia"/>
          <w:sz w:val="32"/>
          <w:szCs w:val="32"/>
        </w:rPr>
        <w:t>年初编制了年度城建计划，策划项目28个；政府批准实施了《中心城区人行过街设施专项规划》；建立了城建项目库，录入项目68个；先后三次共申报国债工程项目25个，已有7个项目通过</w:t>
      </w:r>
      <w:proofErr w:type="gramStart"/>
      <w:r>
        <w:rPr>
          <w:rFonts w:eastAsia="仿宋" w:cs="仿宋" w:hint="eastAsia"/>
          <w:sz w:val="32"/>
          <w:szCs w:val="32"/>
        </w:rPr>
        <w:t>省发改</w:t>
      </w:r>
      <w:proofErr w:type="gramEnd"/>
      <w:r>
        <w:rPr>
          <w:rFonts w:eastAsia="仿宋" w:cs="仿宋" w:hint="eastAsia"/>
          <w:sz w:val="32"/>
          <w:szCs w:val="32"/>
        </w:rPr>
        <w:t>委</w:t>
      </w:r>
      <w:proofErr w:type="gramStart"/>
      <w:r>
        <w:rPr>
          <w:rFonts w:eastAsia="仿宋" w:cs="仿宋" w:hint="eastAsia"/>
          <w:sz w:val="32"/>
          <w:szCs w:val="32"/>
        </w:rPr>
        <w:t>和省住建</w:t>
      </w:r>
      <w:proofErr w:type="gramEnd"/>
      <w:r>
        <w:rPr>
          <w:rFonts w:eastAsia="仿宋" w:cs="仿宋" w:hint="eastAsia"/>
          <w:sz w:val="32"/>
          <w:szCs w:val="32"/>
        </w:rPr>
        <w:t>厅审核，申报资金达9.8亿元；每季度调度各县（市、区）地下市政基础设施建设和运行管理工作，市中心城区地下基础设施普查和综合管理信息平台建设工作全面顺利开展；将市海绵城市监测网络及智慧管理平台项目与局指挥中心统筹建设，为城市建设管理夯实基础；探索实行了特许经营权授予工作，编制了《城市供水特许经营实施方案》并获市政府常务会研究通过。</w:t>
      </w:r>
      <w:r>
        <w:rPr>
          <w:rFonts w:eastAsia="仿宋" w:cs="仿宋" w:hint="eastAsia"/>
          <w:b/>
          <w:bCs/>
          <w:sz w:val="32"/>
          <w:szCs w:val="32"/>
        </w:rPr>
        <w:t>项目建设有形象。</w:t>
      </w:r>
      <w:r>
        <w:rPr>
          <w:rFonts w:eastAsia="仿宋" w:cs="仿宋" w:hint="eastAsia"/>
          <w:sz w:val="32"/>
          <w:szCs w:val="32"/>
        </w:rPr>
        <w:t>克服困难多方协调全力推进，7个海绵项目已基本完工5个，2个正在抓紧推进。“保交楼”配套道路已开工1个项目，并启动1个项目前期工作。海绵城市监测网络及智慧管理平台、城市地下综合管线普查及综合信息管理平台建设全面进入实施阶段。特别是市委庭院海绵项目，主动邀请市委多个部门以及老同志现场踏勘并专题会商设计方案，得到了市委办有关领导的肯定。西瓜山湿地公园打造出新的生态亮点，有力助推了城区水环境综合治理。</w:t>
      </w:r>
      <w:r>
        <w:rPr>
          <w:rFonts w:eastAsia="仿宋" w:cs="仿宋" w:hint="eastAsia"/>
          <w:b/>
          <w:bCs/>
          <w:sz w:val="32"/>
          <w:szCs w:val="32"/>
        </w:rPr>
        <w:t>项目征收有质效。</w:t>
      </w:r>
      <w:r>
        <w:rPr>
          <w:rFonts w:eastAsia="仿宋" w:cs="仿宋" w:hint="eastAsia"/>
          <w:sz w:val="32"/>
          <w:szCs w:val="32"/>
        </w:rPr>
        <w:t>完成预评估报告备案28个，备案</w:t>
      </w:r>
      <w:r>
        <w:rPr>
          <w:rFonts w:eastAsia="仿宋" w:cs="仿宋" w:hint="eastAsia"/>
          <w:sz w:val="32"/>
          <w:szCs w:val="32"/>
        </w:rPr>
        <w:lastRenderedPageBreak/>
        <w:t>总金额4.5亿元。完成正式评估报告备案34个，备案总金额5.3亿元。出具概算审核意见13份，概算审核金额9.5亿元。完成了三眼桥南侧等6个旧改和收储项目的征收直接成本审核，审定征收直接总成本5.57亿元，核减成本0.21亿元，为项目建设提供了前期基础。</w:t>
      </w:r>
      <w:r>
        <w:rPr>
          <w:rFonts w:eastAsia="仿宋" w:cs="仿宋" w:hint="eastAsia"/>
          <w:b/>
          <w:bCs/>
          <w:sz w:val="32"/>
          <w:szCs w:val="32"/>
        </w:rPr>
        <w:t>海绵管控有力度。</w:t>
      </w:r>
      <w:r>
        <w:rPr>
          <w:rFonts w:eastAsia="仿宋" w:cs="仿宋" w:hint="eastAsia"/>
          <w:sz w:val="32"/>
          <w:szCs w:val="32"/>
        </w:rPr>
        <w:t>配合全面开展</w:t>
      </w:r>
      <w:proofErr w:type="gramStart"/>
      <w:r>
        <w:rPr>
          <w:rFonts w:eastAsia="仿宋" w:cs="仿宋" w:hint="eastAsia"/>
          <w:sz w:val="32"/>
          <w:szCs w:val="32"/>
        </w:rPr>
        <w:t>城区房</w:t>
      </w:r>
      <w:proofErr w:type="gramEnd"/>
      <w:r>
        <w:rPr>
          <w:rFonts w:eastAsia="仿宋" w:cs="仿宋" w:hint="eastAsia"/>
          <w:sz w:val="32"/>
          <w:szCs w:val="32"/>
        </w:rPr>
        <w:t>建市政项目海绵方案审查、现场巡查以及效果评价等工作。配合建立集体会商会议制度，对规划无海绵指标要求的项目实行豁免申请，开辟绿色通道。全年巡查项目263个，下发整改通知单64份，编制月度巡查报告11份，完成项目评价37个，批准豁免申请项目26个，出具集体会商意见20件。总体看，在全面强化海绵城市源头管控和日常监管积累了经验。</w:t>
      </w:r>
    </w:p>
    <w:p w:rsidR="001B3603" w:rsidRDefault="005B40AB">
      <w:pPr>
        <w:spacing w:line="620" w:lineRule="exact"/>
        <w:ind w:firstLineChars="200" w:firstLine="643"/>
        <w:rPr>
          <w:rFonts w:eastAsia="仿宋" w:cs="仿宋"/>
          <w:sz w:val="32"/>
          <w:szCs w:val="32"/>
        </w:rPr>
      </w:pPr>
      <w:r>
        <w:rPr>
          <w:rFonts w:eastAsia="仿宋" w:cs="仿宋" w:hint="eastAsia"/>
          <w:b/>
          <w:bCs/>
          <w:sz w:val="32"/>
          <w:szCs w:val="32"/>
        </w:rPr>
        <w:t>职能落地“多维度”。</w:t>
      </w:r>
      <w:r>
        <w:rPr>
          <w:rFonts w:eastAsia="仿宋" w:cs="仿宋" w:hint="eastAsia"/>
          <w:sz w:val="32"/>
          <w:szCs w:val="32"/>
        </w:rPr>
        <w:t>根据“三定规定”，按照“接得住管得好”的目标，积极协调新增职能的承接和联动。市住建局已书面授权我中心开展无障碍环境建设、名城保护等管理工作。我中心起草了《实施方案》等一系列文件；举办了专题培训班；在</w:t>
      </w:r>
      <w:proofErr w:type="gramStart"/>
      <w:r>
        <w:rPr>
          <w:rFonts w:eastAsia="仿宋" w:cs="仿宋" w:hint="eastAsia"/>
          <w:sz w:val="32"/>
          <w:szCs w:val="32"/>
        </w:rPr>
        <w:t>局官网</w:t>
      </w:r>
      <w:proofErr w:type="gramEnd"/>
      <w:r>
        <w:rPr>
          <w:rFonts w:eastAsia="仿宋" w:cs="仿宋" w:hint="eastAsia"/>
          <w:sz w:val="32"/>
          <w:szCs w:val="32"/>
        </w:rPr>
        <w:t>和公众号上发布了7篇宣贯文章，在岳阳日报进行了2篇专题报道；进行了调查摸底，开展了县市区督查；多次邀请市残联、老年人协会参加无障碍设施体验活动；成功化解长沙铁路运输检察院因高铁东站停车场无障碍设施不达标对我局提起公益诉讼事件，并得到检察机关的高度评价；民进岳阳市委书面表示“市住建局高度重视，</w:t>
      </w:r>
      <w:r>
        <w:rPr>
          <w:rFonts w:eastAsia="仿宋" w:cs="仿宋" w:hint="eastAsia"/>
          <w:sz w:val="32"/>
          <w:szCs w:val="32"/>
        </w:rPr>
        <w:lastRenderedPageBreak/>
        <w:t>周密部署安排，工作措施得力，对该提案办理非常满意”。此外，还完成了《岳阳历史文化名城保护规划》征求意见、第七批历史文化名城名镇名村现场考察、保护现场宣传活动、建筑业企业“双随机</w:t>
      </w:r>
      <w:proofErr w:type="gramStart"/>
      <w:r>
        <w:rPr>
          <w:rFonts w:eastAsia="仿宋" w:cs="仿宋" w:hint="eastAsia"/>
          <w:sz w:val="32"/>
          <w:szCs w:val="32"/>
        </w:rPr>
        <w:t>一</w:t>
      </w:r>
      <w:proofErr w:type="gramEnd"/>
      <w:r>
        <w:rPr>
          <w:rFonts w:eastAsia="仿宋" w:cs="仿宋" w:hint="eastAsia"/>
          <w:sz w:val="32"/>
          <w:szCs w:val="32"/>
        </w:rPr>
        <w:t>公开”资质动态核查、质量安全督查、勘察设计市场调研等工作。</w:t>
      </w:r>
      <w:r>
        <w:rPr>
          <w:rFonts w:eastAsia="仿宋" w:cs="仿宋" w:hint="eastAsia"/>
          <w:b/>
          <w:bCs/>
          <w:sz w:val="32"/>
          <w:szCs w:val="32"/>
        </w:rPr>
        <w:t>造价服务“接地气”。</w:t>
      </w:r>
      <w:r>
        <w:rPr>
          <w:rFonts w:eastAsia="仿宋" w:cs="仿宋" w:hint="eastAsia"/>
          <w:sz w:val="32"/>
          <w:szCs w:val="32"/>
        </w:rPr>
        <w:t>加强</w:t>
      </w:r>
      <w:r>
        <w:rPr>
          <w:rFonts w:eastAsia="仿宋" w:cs="仿宋"/>
          <w:sz w:val="32"/>
          <w:szCs w:val="32"/>
        </w:rPr>
        <w:t>工程造价动态管理</w:t>
      </w:r>
      <w:r>
        <w:rPr>
          <w:rFonts w:eastAsia="仿宋" w:cs="仿宋" w:hint="eastAsia"/>
          <w:sz w:val="32"/>
          <w:szCs w:val="32"/>
        </w:rPr>
        <w:t>和</w:t>
      </w:r>
      <w:r>
        <w:rPr>
          <w:rFonts w:eastAsia="仿宋" w:cs="仿宋"/>
          <w:sz w:val="32"/>
          <w:szCs w:val="32"/>
        </w:rPr>
        <w:t>全过程监管，通过做好招标控制价备案、行业计价管理、咨询市场监管、问题解答和纠纷调解等工作，全面执行现行计价规定和要求。</w:t>
      </w:r>
      <w:r>
        <w:rPr>
          <w:rFonts w:eastAsia="仿宋" w:cs="仿宋" w:hint="eastAsia"/>
          <w:sz w:val="32"/>
          <w:szCs w:val="32"/>
        </w:rPr>
        <w:t>主动到企业和行业协会交流，</w:t>
      </w:r>
      <w:proofErr w:type="gramStart"/>
      <w:r>
        <w:rPr>
          <w:rFonts w:eastAsia="仿宋" w:cs="仿宋" w:hint="eastAsia"/>
          <w:sz w:val="32"/>
          <w:szCs w:val="32"/>
        </w:rPr>
        <w:t>每两月</w:t>
      </w:r>
      <w:proofErr w:type="gramEnd"/>
      <w:r>
        <w:rPr>
          <w:rFonts w:eastAsia="仿宋" w:cs="仿宋" w:hint="eastAsia"/>
          <w:sz w:val="32"/>
          <w:szCs w:val="32"/>
        </w:rPr>
        <w:t>定期发布材料市场价格信息，满足建筑市场价格信息需求。妥善协调造价矛盾纠纷，全年接待来人来访200余人次，解答问题80余条，调解造价纠纷12起。特别是己内酰胺产业链搬迁与升级转型发展配套工程施工总承包项目、海吉星农产品</w:t>
      </w:r>
      <w:proofErr w:type="gramStart"/>
      <w:r>
        <w:rPr>
          <w:rFonts w:eastAsia="仿宋" w:cs="仿宋" w:hint="eastAsia"/>
          <w:sz w:val="32"/>
          <w:szCs w:val="32"/>
        </w:rPr>
        <w:t>物流园</w:t>
      </w:r>
      <w:proofErr w:type="gramEnd"/>
      <w:r>
        <w:rPr>
          <w:rFonts w:eastAsia="仿宋" w:cs="仿宋" w:hint="eastAsia"/>
          <w:sz w:val="32"/>
          <w:szCs w:val="32"/>
        </w:rPr>
        <w:t>项目等造价争议调解得到各方高度评价。</w:t>
      </w:r>
      <w:r>
        <w:rPr>
          <w:rFonts w:eastAsia="仿宋" w:cs="仿宋" w:hint="eastAsia"/>
          <w:b/>
          <w:bCs/>
          <w:sz w:val="32"/>
          <w:szCs w:val="32"/>
        </w:rPr>
        <w:t>行业考培“三率先”。</w:t>
      </w:r>
      <w:r>
        <w:rPr>
          <w:rFonts w:eastAsia="仿宋" w:cs="仿宋" w:hint="eastAsia"/>
          <w:sz w:val="32"/>
          <w:szCs w:val="32"/>
        </w:rPr>
        <w:t>年初在全省率先建成运行首</w:t>
      </w:r>
      <w:proofErr w:type="gramStart"/>
      <w:r>
        <w:rPr>
          <w:rFonts w:eastAsia="仿宋" w:cs="仿宋" w:hint="eastAsia"/>
          <w:sz w:val="32"/>
          <w:szCs w:val="32"/>
        </w:rPr>
        <w:t>个</w:t>
      </w:r>
      <w:proofErr w:type="gramEnd"/>
      <w:r>
        <w:rPr>
          <w:rFonts w:eastAsia="仿宋" w:cs="仿宋" w:hint="eastAsia"/>
          <w:sz w:val="32"/>
          <w:szCs w:val="32"/>
        </w:rPr>
        <w:t>标准化建筑施工特种作业考培基地，并报省厅同意在全省率先恢复考培工作；向省厅呈报建筑电工和吊篮安装拆卸工考核方案，争取到省厅初步同意我市率先试点。“考培分离”“打造基地”等有关做法得到</w:t>
      </w:r>
      <w:proofErr w:type="gramStart"/>
      <w:r>
        <w:rPr>
          <w:rFonts w:eastAsia="仿宋" w:cs="仿宋" w:hint="eastAsia"/>
          <w:sz w:val="32"/>
          <w:szCs w:val="32"/>
        </w:rPr>
        <w:t>省住建厅充分</w:t>
      </w:r>
      <w:proofErr w:type="gramEnd"/>
      <w:r>
        <w:rPr>
          <w:rFonts w:eastAsia="仿宋" w:cs="仿宋" w:hint="eastAsia"/>
          <w:sz w:val="32"/>
          <w:szCs w:val="32"/>
        </w:rPr>
        <w:t>肯定和推介。今年来，全省两次相关交流会推介“岳阳模式”并两次作典型发言介绍“岳阳经验”；在省厅开展全省建筑施工特种作业专项检查中得到高度评价，并在全省通报中7次点名表扬岳阳；精心组织参加</w:t>
      </w:r>
      <w:proofErr w:type="gramStart"/>
      <w:r>
        <w:rPr>
          <w:rFonts w:eastAsia="仿宋" w:cs="仿宋" w:hint="eastAsia"/>
          <w:sz w:val="32"/>
          <w:szCs w:val="32"/>
        </w:rPr>
        <w:t>全省住</w:t>
      </w:r>
      <w:proofErr w:type="gramEnd"/>
      <w:r>
        <w:rPr>
          <w:rFonts w:eastAsia="仿宋" w:cs="仿宋" w:hint="eastAsia"/>
          <w:sz w:val="32"/>
          <w:szCs w:val="32"/>
        </w:rPr>
        <w:t>建技能竞赛活动，我市获得团体三等奖。全</w:t>
      </w:r>
      <w:r>
        <w:rPr>
          <w:rFonts w:eastAsia="仿宋" w:cs="仿宋" w:hint="eastAsia"/>
          <w:sz w:val="32"/>
          <w:szCs w:val="32"/>
        </w:rPr>
        <w:lastRenderedPageBreak/>
        <w:t>年完成建筑行业考培10875人次。其中，建筑施工企业主要负责人、项目负责人和专职安全生产管理人员安全生产考核3150人次，建筑施工特种作业人员新取证考核、延期复核1161人次，住</w:t>
      </w:r>
      <w:proofErr w:type="gramStart"/>
      <w:r>
        <w:rPr>
          <w:rFonts w:eastAsia="仿宋" w:cs="仿宋" w:hint="eastAsia"/>
          <w:sz w:val="32"/>
          <w:szCs w:val="32"/>
        </w:rPr>
        <w:t>建领域</w:t>
      </w:r>
      <w:proofErr w:type="gramEnd"/>
      <w:r>
        <w:rPr>
          <w:rFonts w:eastAsia="仿宋" w:cs="仿宋" w:hint="eastAsia"/>
          <w:sz w:val="32"/>
          <w:szCs w:val="32"/>
        </w:rPr>
        <w:t>施工现场专业人员培训测试和继续教育4169人次，土建工程</w:t>
      </w:r>
      <w:proofErr w:type="gramStart"/>
      <w:r>
        <w:rPr>
          <w:rFonts w:eastAsia="仿宋" w:cs="仿宋" w:hint="eastAsia"/>
          <w:sz w:val="32"/>
          <w:szCs w:val="32"/>
        </w:rPr>
        <w:t>专业初</w:t>
      </w:r>
      <w:proofErr w:type="gramEnd"/>
      <w:r>
        <w:rPr>
          <w:rFonts w:eastAsia="仿宋" w:cs="仿宋" w:hint="eastAsia"/>
          <w:sz w:val="32"/>
          <w:szCs w:val="32"/>
        </w:rPr>
        <w:t>中级职称考试2294人次，建筑工人培训101人次，超额完成目标任务。</w:t>
      </w:r>
    </w:p>
    <w:p w:rsidR="001B3603" w:rsidRDefault="001B3603">
      <w:pPr>
        <w:widowControl/>
        <w:spacing w:line="640" w:lineRule="exact"/>
        <w:ind w:firstLineChars="200" w:firstLine="640"/>
        <w:rPr>
          <w:rFonts w:ascii="Times New Roman" w:eastAsia="仿宋_GB2312" w:hAnsi="Times New Roman"/>
          <w:color w:val="000000"/>
          <w:sz w:val="32"/>
          <w:szCs w:val="32"/>
        </w:rPr>
      </w:pPr>
    </w:p>
    <w:p w:rsidR="001B3603" w:rsidRDefault="005B40AB">
      <w:pPr>
        <w:pStyle w:val="a7"/>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七、存在的问题及原因分析</w:t>
      </w:r>
    </w:p>
    <w:p w:rsidR="001B3603" w:rsidRDefault="005B40AB">
      <w:pPr>
        <w:widowControl/>
        <w:spacing w:line="64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评价指标体系需要进一步完善。财政支出评价对象涉及部门多，指标体系之间差异性大，难以把握评价办法，还不能满足目前工作开展需要。</w:t>
      </w:r>
    </w:p>
    <w:p w:rsidR="001B3603" w:rsidRDefault="005B40AB">
      <w:pPr>
        <w:widowControl/>
        <w:numPr>
          <w:ilvl w:val="0"/>
          <w:numId w:val="3"/>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下一步改进措施</w:t>
      </w:r>
    </w:p>
    <w:p w:rsidR="001B3603" w:rsidRDefault="005B40AB">
      <w:pPr>
        <w:widowControl/>
        <w:spacing w:line="64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color w:val="333333"/>
          <w:sz w:val="32"/>
          <w:szCs w:val="32"/>
          <w:shd w:val="clear" w:color="auto" w:fill="FFFFFF"/>
        </w:rPr>
        <w:t>随着预算管理“一体化”系统全面实施，对预算编制提出了更高的要求。</w:t>
      </w:r>
      <w:r>
        <w:rPr>
          <w:rFonts w:ascii="仿宋_GB2312" w:eastAsia="仿宋_GB2312" w:hAnsi="仿宋_GB2312" w:cs="仿宋_GB2312" w:hint="eastAsia"/>
          <w:color w:val="333333"/>
          <w:sz w:val="32"/>
          <w:szCs w:val="32"/>
          <w:shd w:val="clear" w:color="auto" w:fill="FFFFFF"/>
        </w:rPr>
        <w:t>我中心需</w:t>
      </w:r>
      <w:r>
        <w:rPr>
          <w:rFonts w:ascii="仿宋_GB2312" w:eastAsia="仿宋_GB2312" w:hAnsi="仿宋_GB2312" w:cs="仿宋_GB2312"/>
          <w:color w:val="333333"/>
          <w:sz w:val="32"/>
          <w:szCs w:val="32"/>
          <w:shd w:val="clear" w:color="auto" w:fill="FFFFFF"/>
        </w:rPr>
        <w:t>根据年度工作计划，科学合理</w:t>
      </w:r>
      <w:proofErr w:type="gramStart"/>
      <w:r>
        <w:rPr>
          <w:rFonts w:ascii="仿宋_GB2312" w:eastAsia="仿宋_GB2312" w:hAnsi="仿宋_GB2312" w:cs="仿宋_GB2312"/>
          <w:color w:val="333333"/>
          <w:sz w:val="32"/>
          <w:szCs w:val="32"/>
          <w:shd w:val="clear" w:color="auto" w:fill="FFFFFF"/>
        </w:rPr>
        <w:t>编部门</w:t>
      </w:r>
      <w:proofErr w:type="gramEnd"/>
      <w:r>
        <w:rPr>
          <w:rFonts w:ascii="仿宋_GB2312" w:eastAsia="仿宋_GB2312" w:hAnsi="仿宋_GB2312" w:cs="仿宋_GB2312"/>
          <w:color w:val="333333"/>
          <w:sz w:val="32"/>
          <w:szCs w:val="32"/>
          <w:shd w:val="clear" w:color="auto" w:fill="FFFFFF"/>
        </w:rPr>
        <w:t>预算，合理保障资金需要，严格执行；强化预算绩效意识，绩效目标编制需量化</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细化</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color w:val="333333"/>
          <w:sz w:val="32"/>
          <w:szCs w:val="32"/>
          <w:shd w:val="clear" w:color="auto" w:fill="FFFFFF"/>
        </w:rPr>
        <w:t>全面，确保绩效目标完整反映部门整体支出情况，与年度预算资金相匹配，切实提升项目管理水平，提高资金使用效率；加强宣传培训，提升绩效意识，强化资金管理部门和使用部门的责任，提高参与度，促使单位绩效管理工作高效运行，实现预算绩效管理与预算管理的“一体化”目标。</w:t>
      </w:r>
    </w:p>
    <w:p w:rsidR="001B3603" w:rsidRDefault="005B40AB">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九、部门整体支出绩效自评结果拟应用和公开情况</w:t>
      </w:r>
    </w:p>
    <w:p w:rsidR="001B3603" w:rsidRDefault="005B40AB">
      <w:pPr>
        <w:widowControl/>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其他需要说明的情况</w:t>
      </w:r>
    </w:p>
    <w:p w:rsidR="001B3603" w:rsidRDefault="001B3603">
      <w:pPr>
        <w:widowControl/>
        <w:spacing w:line="640" w:lineRule="exact"/>
        <w:ind w:firstLineChars="200" w:firstLine="640"/>
        <w:rPr>
          <w:rFonts w:ascii="Times New Roman" w:eastAsia="仿宋_GB2312" w:hAnsi="Times New Roman"/>
          <w:sz w:val="32"/>
          <w:szCs w:val="32"/>
        </w:rPr>
      </w:pPr>
    </w:p>
    <w:p w:rsidR="001B3603" w:rsidRDefault="005B40AB">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报告需要以下附件：</w:t>
      </w:r>
    </w:p>
    <w:p w:rsidR="001B3603" w:rsidRDefault="005B40AB">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1.部门整体支出绩效评价基础数据表</w:t>
      </w:r>
    </w:p>
    <w:p w:rsidR="001B3603" w:rsidRDefault="005B40AB">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2.部门整体支出绩效自评表</w:t>
      </w:r>
    </w:p>
    <w:p w:rsidR="001B3603" w:rsidRDefault="005B40AB">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3.项目支出绩效自评表（一个</w:t>
      </w:r>
      <w:proofErr w:type="gramStart"/>
      <w:r>
        <w:rPr>
          <w:rFonts w:ascii="仿宋_GB2312" w:eastAsia="仿宋_GB2312" w:hAnsi="仿宋_GB2312" w:cs="仿宋_GB2312" w:hint="eastAsia"/>
          <w:sz w:val="32"/>
          <w:szCs w:val="32"/>
        </w:rPr>
        <w:t>一级项目</w:t>
      </w:r>
      <w:proofErr w:type="gramEnd"/>
      <w:r>
        <w:rPr>
          <w:rFonts w:ascii="仿宋_GB2312" w:eastAsia="仿宋_GB2312" w:hAnsi="仿宋_GB2312" w:cs="仿宋_GB2312" w:hint="eastAsia"/>
          <w:sz w:val="32"/>
          <w:szCs w:val="32"/>
        </w:rPr>
        <w:t>支出一张表）</w:t>
      </w:r>
    </w:p>
    <w:p w:rsidR="001B3603" w:rsidRDefault="005B40AB">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4.政府性基金预算支出情况表</w:t>
      </w:r>
    </w:p>
    <w:p w:rsidR="001B3603" w:rsidRDefault="005B40AB">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5.国有资本经营预算支出情况表</w:t>
      </w:r>
    </w:p>
    <w:p w:rsidR="001B3603" w:rsidRDefault="005B40AB">
      <w:pPr>
        <w:widowControl/>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6.社会保险基金预算支出情况表</w:t>
      </w:r>
    </w:p>
    <w:p w:rsidR="001B3603" w:rsidRDefault="005B40AB" w:rsidP="001B3603">
      <w:pPr>
        <w:spacing w:afterLines="50" w:line="600" w:lineRule="exact"/>
        <w:rPr>
          <w:rFonts w:ascii="黑体" w:eastAsia="黑体" w:hAnsi="黑体" w:cs="黑体"/>
          <w:sz w:val="32"/>
          <w:szCs w:val="32"/>
        </w:rPr>
      </w:pPr>
      <w:r>
        <w:rPr>
          <w:rFonts w:ascii="仿宋_GB2312" w:eastAsia="仿宋_GB2312" w:hAnsi="仿宋_GB2312" w:cs="仿宋_GB2312" w:hint="eastAsia"/>
          <w:sz w:val="32"/>
          <w:szCs w:val="32"/>
        </w:rPr>
        <w:br w:type="page"/>
      </w:r>
    </w:p>
    <w:p w:rsidR="001B3603" w:rsidRDefault="005B40AB" w:rsidP="001B3603">
      <w:pPr>
        <w:spacing w:afterLines="50" w:line="600" w:lineRule="exact"/>
        <w:rPr>
          <w:rFonts w:ascii="黑体" w:eastAsia="黑体" w:hAnsi="黑体" w:cs="黑体"/>
          <w:sz w:val="32"/>
          <w:szCs w:val="32"/>
        </w:rPr>
      </w:pPr>
      <w:r>
        <w:rPr>
          <w:rFonts w:ascii="黑体" w:eastAsia="黑体" w:hAnsi="黑体" w:cs="黑体" w:hint="eastAsia"/>
          <w:sz w:val="32"/>
          <w:szCs w:val="32"/>
        </w:rPr>
        <w:lastRenderedPageBreak/>
        <w:t>附件1</w:t>
      </w:r>
    </w:p>
    <w:p w:rsidR="001B3603" w:rsidRDefault="005B40AB" w:rsidP="001B3603">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2023年度部门整体支出绩效评价基础数据表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1B3603">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1B3603">
        <w:trPr>
          <w:trHeight w:val="168"/>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74　</w:t>
            </w:r>
          </w:p>
        </w:tc>
        <w:tc>
          <w:tcPr>
            <w:tcW w:w="2240" w:type="dxa"/>
            <w:gridSpan w:val="2"/>
            <w:tcBorders>
              <w:top w:val="single" w:sz="4" w:space="0" w:color="auto"/>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73　</w:t>
            </w:r>
          </w:p>
        </w:tc>
        <w:tc>
          <w:tcPr>
            <w:tcW w:w="2041" w:type="dxa"/>
            <w:gridSpan w:val="2"/>
            <w:tcBorders>
              <w:top w:val="single" w:sz="4" w:space="0" w:color="auto"/>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2022年决算数</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2023年预算数</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r>
      <w:tr w:rsidR="001B3603">
        <w:trPr>
          <w:trHeight w:val="146"/>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1B3603">
        <w:trPr>
          <w:trHeight w:val="93"/>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1B3603">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1B3603">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206.77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1B3603">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1B3603">
            <w:pPr>
              <w:widowControl/>
              <w:spacing w:line="360" w:lineRule="exact"/>
              <w:jc w:val="center"/>
              <w:rPr>
                <w:rFonts w:ascii="仿宋_GB2312" w:eastAsia="仿宋_GB2312" w:hAnsi="仿宋_GB2312" w:cs="仿宋_GB2312"/>
                <w:sz w:val="20"/>
                <w:szCs w:val="20"/>
              </w:rPr>
            </w:pP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城乡建设事务管理经费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1B3603">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156</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143.59</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非税收入征收成本（征收工作经费）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1B3603">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1B3603">
        <w:trPr>
          <w:trHeight w:val="505"/>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非税收入征收成本（职称考试劳务费）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1B3603">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2022年非税收入结转</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1B3603">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74.58</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42.18</w:t>
            </w:r>
          </w:p>
        </w:tc>
      </w:tr>
      <w:tr w:rsidR="001B3603">
        <w:trPr>
          <w:trHeight w:val="538"/>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4、财政补助（城市管网及污水补助资金）</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1B3603">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3956.08</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783.97</w:t>
            </w:r>
          </w:p>
        </w:tc>
      </w:tr>
      <w:tr w:rsidR="001B3603">
        <w:trPr>
          <w:trHeight w:val="210"/>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1B3603">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　16.99</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9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9　</w:t>
            </w:r>
          </w:p>
        </w:tc>
      </w:tr>
      <w:tr w:rsidR="001B3603">
        <w:trPr>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3.5　</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8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7.53　</w:t>
            </w:r>
          </w:p>
        </w:tc>
      </w:tr>
      <w:tr w:rsidR="001B3603">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　0.3</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3　</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color w:val="000000" w:themeColor="text1"/>
                <w:sz w:val="20"/>
                <w:szCs w:val="20"/>
              </w:rPr>
            </w:pPr>
            <w:r>
              <w:rPr>
                <w:rFonts w:ascii="仿宋_GB2312" w:eastAsia="仿宋_GB2312" w:hAnsi="仿宋_GB2312" w:cs="仿宋_GB2312" w:hint="eastAsia"/>
                <w:color w:val="000000" w:themeColor="text1"/>
                <w:sz w:val="20"/>
                <w:szCs w:val="20"/>
              </w:rPr>
              <w:t xml:space="preserve">　2</w:t>
            </w:r>
          </w:p>
        </w:tc>
      </w:tr>
      <w:tr w:rsidR="001B3603">
        <w:trPr>
          <w:trHeight w:val="178"/>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373.5</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905.78　</w:t>
            </w:r>
          </w:p>
        </w:tc>
      </w:tr>
      <w:tr w:rsidR="001B3603">
        <w:trPr>
          <w:trHeight w:val="135"/>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240"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1147.46</w:t>
            </w:r>
          </w:p>
        </w:tc>
        <w:tc>
          <w:tcPr>
            <w:tcW w:w="2041" w:type="dxa"/>
            <w:gridSpan w:val="2"/>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1307.9　</w:t>
            </w:r>
          </w:p>
        </w:tc>
      </w:tr>
      <w:tr w:rsidR="001B3603">
        <w:trPr>
          <w:trHeight w:val="705"/>
          <w:jc w:val="center"/>
        </w:trPr>
        <w:tc>
          <w:tcPr>
            <w:tcW w:w="3354" w:type="dxa"/>
            <w:vMerge w:val="restart"/>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p>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（2023年完工项目）</w:t>
            </w:r>
          </w:p>
        </w:tc>
        <w:tc>
          <w:tcPr>
            <w:tcW w:w="1189" w:type="dxa"/>
            <w:tcBorders>
              <w:top w:val="nil"/>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p>
          <w:p w:rsidR="001B3603" w:rsidRDefault="005B40A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w:t>
            </w:r>
          </w:p>
        </w:tc>
        <w:tc>
          <w:tcPr>
            <w:tcW w:w="849" w:type="dxa"/>
            <w:tcBorders>
              <w:top w:val="nil"/>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1B3603">
        <w:trPr>
          <w:trHeight w:val="90"/>
          <w:jc w:val="center"/>
        </w:trPr>
        <w:tc>
          <w:tcPr>
            <w:tcW w:w="3354" w:type="dxa"/>
            <w:vMerge/>
            <w:tcBorders>
              <w:top w:val="nil"/>
              <w:left w:val="single" w:sz="4" w:space="0" w:color="auto"/>
              <w:bottom w:val="single" w:sz="4" w:space="0" w:color="auto"/>
              <w:right w:val="single" w:sz="4" w:space="0" w:color="auto"/>
            </w:tcBorders>
            <w:noWrap/>
            <w:vAlign w:val="center"/>
          </w:tcPr>
          <w:p w:rsidR="001B3603" w:rsidRDefault="001B3603">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849" w:type="dxa"/>
            <w:tcBorders>
              <w:top w:val="nil"/>
              <w:left w:val="nil"/>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1129" w:type="dxa"/>
            <w:tcBorders>
              <w:top w:val="nil"/>
              <w:left w:val="nil"/>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1111" w:type="dxa"/>
            <w:tcBorders>
              <w:top w:val="nil"/>
              <w:left w:val="nil"/>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1081" w:type="dxa"/>
            <w:tcBorders>
              <w:top w:val="nil"/>
              <w:left w:val="nil"/>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c>
          <w:tcPr>
            <w:tcW w:w="960" w:type="dxa"/>
            <w:tcBorders>
              <w:top w:val="nil"/>
              <w:left w:val="nil"/>
              <w:bottom w:val="single" w:sz="4" w:space="0" w:color="auto"/>
              <w:right w:val="single" w:sz="4" w:space="0" w:color="auto"/>
            </w:tcBorders>
            <w:noWrap/>
            <w:vAlign w:val="center"/>
          </w:tcPr>
          <w:p w:rsidR="001B3603" w:rsidRDefault="005B40AB">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0</w:t>
            </w:r>
          </w:p>
        </w:tc>
      </w:tr>
      <w:tr w:rsidR="001B3603">
        <w:trPr>
          <w:trHeight w:val="123"/>
          <w:jc w:val="center"/>
        </w:trPr>
        <w:tc>
          <w:tcPr>
            <w:tcW w:w="3354" w:type="dxa"/>
            <w:tcBorders>
              <w:top w:val="nil"/>
              <w:left w:val="single" w:sz="4" w:space="0" w:color="auto"/>
              <w:bottom w:val="single" w:sz="4" w:space="0" w:color="auto"/>
              <w:right w:val="single" w:sz="4" w:space="0" w:color="auto"/>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1B3603" w:rsidRDefault="005B40AB">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严控“三公经费”，降低运行成本，合理配置资金　</w:t>
            </w:r>
          </w:p>
        </w:tc>
      </w:tr>
    </w:tbl>
    <w:p w:rsidR="001B3603" w:rsidRDefault="005B40AB">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1B3603" w:rsidRDefault="001B3603">
      <w:pPr>
        <w:widowControl/>
        <w:spacing w:line="400" w:lineRule="exact"/>
        <w:jc w:val="left"/>
        <w:rPr>
          <w:rFonts w:ascii="Times New Roman" w:eastAsia="仿宋_GB2312" w:hAnsi="Times New Roman"/>
          <w:sz w:val="22"/>
        </w:rPr>
      </w:pPr>
    </w:p>
    <w:p w:rsidR="001B3603" w:rsidRDefault="005B40AB">
      <w:pPr>
        <w:widowControl/>
        <w:spacing w:line="400" w:lineRule="exact"/>
        <w:jc w:val="left"/>
        <w:rPr>
          <w:rFonts w:ascii="黑体" w:eastAsia="黑体" w:hAnsi="黑体" w:cs="黑体"/>
          <w:sz w:val="32"/>
          <w:szCs w:val="32"/>
        </w:rPr>
      </w:pPr>
      <w:r>
        <w:rPr>
          <w:rFonts w:ascii="Times New Roman" w:eastAsia="仿宋_GB2312" w:hAnsi="Times New Roman"/>
          <w:sz w:val="22"/>
        </w:rPr>
        <w:t>填表人：</w:t>
      </w:r>
      <w:r>
        <w:rPr>
          <w:rFonts w:ascii="Times New Roman" w:eastAsia="仿宋_GB2312" w:hAnsi="Times New Roman"/>
          <w:sz w:val="22"/>
        </w:rPr>
        <w:t xml:space="preserve">        </w:t>
      </w:r>
      <w:r>
        <w:rPr>
          <w:rFonts w:ascii="Times New Roman" w:eastAsia="仿宋_GB2312" w:hAnsi="Times New Roman"/>
          <w:sz w:val="22"/>
        </w:rPr>
        <w:t>填报日期：</w:t>
      </w:r>
      <w:r>
        <w:rPr>
          <w:rFonts w:ascii="Times New Roman" w:eastAsia="仿宋_GB2312" w:hAnsi="Times New Roman"/>
          <w:sz w:val="22"/>
        </w:rPr>
        <w:t xml:space="preserve">          </w:t>
      </w:r>
      <w:r>
        <w:rPr>
          <w:rFonts w:ascii="Times New Roman" w:eastAsia="仿宋_GB2312" w:hAnsi="Times New Roman"/>
          <w:sz w:val="22"/>
        </w:rPr>
        <w:t>联系电话：</w:t>
      </w:r>
      <w:r>
        <w:rPr>
          <w:rFonts w:ascii="Times New Roman" w:eastAsia="仿宋_GB2312" w:hAnsi="Times New Roman"/>
          <w:sz w:val="22"/>
        </w:rPr>
        <w:t xml:space="preserve">            </w:t>
      </w:r>
      <w:r>
        <w:rPr>
          <w:rFonts w:ascii="Times New Roman" w:eastAsia="仿宋_GB2312" w:hAnsi="Times New Roman"/>
          <w:sz w:val="22"/>
        </w:rPr>
        <w:t>单位负责人签字：</w:t>
      </w:r>
      <w:r>
        <w:rPr>
          <w:rFonts w:ascii="Times New Roman" w:eastAsia="仿宋_GB2312" w:hAnsi="Times New Roman"/>
          <w:sz w:val="22"/>
        </w:rPr>
        <w:br w:type="page"/>
      </w:r>
      <w:r>
        <w:rPr>
          <w:rFonts w:ascii="黑体" w:eastAsia="黑体" w:hAnsi="黑体" w:cs="黑体" w:hint="eastAsia"/>
          <w:sz w:val="32"/>
          <w:szCs w:val="32"/>
        </w:rPr>
        <w:lastRenderedPageBreak/>
        <w:t>附件2</w:t>
      </w:r>
    </w:p>
    <w:p w:rsidR="001B3603" w:rsidRDefault="005B40AB" w:rsidP="001B3603">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2023年度部门整体支出绩效自评表</w:t>
      </w:r>
    </w:p>
    <w:tbl>
      <w:tblPr>
        <w:tblW w:w="10079" w:type="dxa"/>
        <w:jc w:val="center"/>
        <w:tblLook w:val="04A0"/>
      </w:tblPr>
      <w:tblGrid>
        <w:gridCol w:w="1080"/>
        <w:gridCol w:w="1080"/>
        <w:gridCol w:w="1034"/>
        <w:gridCol w:w="1270"/>
        <w:gridCol w:w="1311"/>
        <w:gridCol w:w="1269"/>
        <w:gridCol w:w="716"/>
        <w:gridCol w:w="873"/>
        <w:gridCol w:w="1446"/>
      </w:tblGrid>
      <w:tr w:rsidR="001B3603">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岳阳市城乡建设事务中心　</w:t>
            </w:r>
          </w:p>
        </w:tc>
      </w:tr>
      <w:tr w:rsidR="001B3603">
        <w:trPr>
          <w:jc w:val="center"/>
        </w:trPr>
        <w:tc>
          <w:tcPr>
            <w:tcW w:w="1080" w:type="dxa"/>
            <w:vMerge w:val="restart"/>
            <w:tcBorders>
              <w:top w:val="nil"/>
              <w:left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算申请</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14" w:type="dxa"/>
            <w:gridSpan w:val="2"/>
            <w:tcBorders>
              <w:top w:val="nil"/>
              <w:left w:val="nil"/>
              <w:bottom w:val="single" w:sz="4" w:space="0" w:color="auto"/>
              <w:right w:val="single" w:sz="4" w:space="0" w:color="auto"/>
            </w:tcBorders>
            <w:noWrap/>
            <w:vAlign w:val="center"/>
          </w:tcPr>
          <w:p w:rsidR="001B3603" w:rsidRDefault="001B3603">
            <w:pPr>
              <w:spacing w:line="240" w:lineRule="exact"/>
              <w:jc w:val="center"/>
              <w:rPr>
                <w:rFonts w:ascii="仿宋_GB2312" w:eastAsia="仿宋_GB2312" w:hAnsi="仿宋_GB2312" w:cs="仿宋_GB2312"/>
                <w:sz w:val="20"/>
                <w:szCs w:val="20"/>
              </w:rPr>
            </w:pPr>
          </w:p>
        </w:tc>
        <w:tc>
          <w:tcPr>
            <w:tcW w:w="1270"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311"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269"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716"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46"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B3603">
        <w:trPr>
          <w:jc w:val="center"/>
        </w:trPr>
        <w:tc>
          <w:tcPr>
            <w:tcW w:w="1080" w:type="dxa"/>
            <w:vMerge/>
            <w:tcBorders>
              <w:top w:val="nil"/>
              <w:left w:val="single" w:sz="4" w:space="0" w:color="auto"/>
              <w:right w:val="single" w:sz="4" w:space="0" w:color="auto"/>
            </w:tcBorders>
            <w:noWrap/>
            <w:vAlign w:val="center"/>
          </w:tcPr>
          <w:p w:rsidR="001B3603" w:rsidRDefault="001B3603">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270"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1322.85</w:t>
            </w:r>
          </w:p>
        </w:tc>
        <w:tc>
          <w:tcPr>
            <w:tcW w:w="1311"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5509.27</w:t>
            </w:r>
          </w:p>
        </w:tc>
        <w:tc>
          <w:tcPr>
            <w:tcW w:w="1269"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2277.64</w:t>
            </w:r>
          </w:p>
        </w:tc>
        <w:tc>
          <w:tcPr>
            <w:tcW w:w="716" w:type="dxa"/>
            <w:tcBorders>
              <w:top w:val="nil"/>
              <w:left w:val="nil"/>
              <w:bottom w:val="single" w:sz="4" w:space="0" w:color="auto"/>
              <w:right w:val="single" w:sz="4" w:space="0" w:color="auto"/>
            </w:tcBorders>
            <w:noWrap/>
            <w:vAlign w:val="center"/>
          </w:tcPr>
          <w:p w:rsidR="001B3603" w:rsidRDefault="005B40AB">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873" w:type="dxa"/>
            <w:tcBorders>
              <w:top w:val="nil"/>
              <w:left w:val="nil"/>
              <w:bottom w:val="single" w:sz="4" w:space="0" w:color="auto"/>
              <w:right w:val="single" w:sz="4" w:space="0" w:color="auto"/>
            </w:tcBorders>
            <w:noWrap/>
            <w:vAlign w:val="center"/>
          </w:tcPr>
          <w:p w:rsidR="001B3603" w:rsidRDefault="001B3603">
            <w:pPr>
              <w:spacing w:line="240" w:lineRule="exact"/>
              <w:jc w:val="center"/>
              <w:rPr>
                <w:rFonts w:ascii="仿宋_GB2312" w:eastAsia="仿宋_GB2312" w:hAnsi="仿宋_GB2312" w:cs="仿宋_GB2312"/>
                <w:sz w:val="20"/>
                <w:szCs w:val="20"/>
              </w:rPr>
            </w:pPr>
          </w:p>
        </w:tc>
        <w:tc>
          <w:tcPr>
            <w:tcW w:w="1446" w:type="dxa"/>
            <w:tcBorders>
              <w:top w:val="nil"/>
              <w:left w:val="nil"/>
              <w:bottom w:val="single" w:sz="4" w:space="0" w:color="auto"/>
              <w:right w:val="single" w:sz="4" w:space="0" w:color="auto"/>
            </w:tcBorders>
            <w:noWrap/>
            <w:vAlign w:val="center"/>
          </w:tcPr>
          <w:p w:rsidR="001B3603" w:rsidRDefault="001B3603">
            <w:pPr>
              <w:spacing w:line="240" w:lineRule="exact"/>
              <w:jc w:val="center"/>
              <w:rPr>
                <w:rFonts w:ascii="仿宋_GB2312" w:eastAsia="仿宋_GB2312" w:hAnsi="仿宋_GB2312" w:cs="仿宋_GB2312"/>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4304" w:type="dxa"/>
            <w:gridSpan w:val="4"/>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  一般公共预算：2274.28</w:t>
            </w:r>
          </w:p>
        </w:tc>
        <w:tc>
          <w:tcPr>
            <w:tcW w:w="4304" w:type="dxa"/>
            <w:gridSpan w:val="4"/>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其中：基本支出：1307.9</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1B3603" w:rsidRDefault="005B40AB">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p>
        </w:tc>
        <w:tc>
          <w:tcPr>
            <w:tcW w:w="4304" w:type="dxa"/>
            <w:gridSpan w:val="4"/>
            <w:tcBorders>
              <w:top w:val="nil"/>
              <w:left w:val="nil"/>
              <w:bottom w:val="single" w:sz="4" w:space="0" w:color="auto"/>
              <w:right w:val="single" w:sz="4" w:space="0" w:color="auto"/>
            </w:tcBorders>
            <w:noWrap/>
            <w:vAlign w:val="center"/>
          </w:tcPr>
          <w:p w:rsidR="001B3603" w:rsidRDefault="005B40AB">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项目支出：969.74</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4304" w:type="dxa"/>
            <w:gridSpan w:val="4"/>
            <w:tcBorders>
              <w:top w:val="nil"/>
              <w:left w:val="nil"/>
              <w:bottom w:val="single" w:sz="4" w:space="0" w:color="auto"/>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bottom w:val="single" w:sz="4" w:space="0" w:color="000000"/>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nil"/>
              <w:left w:val="nil"/>
              <w:bottom w:val="single" w:sz="4" w:space="0" w:color="auto"/>
              <w:right w:val="single" w:sz="4" w:space="0" w:color="auto"/>
            </w:tcBorders>
            <w:noWrap/>
            <w:vAlign w:val="center"/>
          </w:tcPr>
          <w:p w:rsidR="001B3603" w:rsidRDefault="005B40AB">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其他资金：3.36</w:t>
            </w:r>
          </w:p>
        </w:tc>
        <w:tc>
          <w:tcPr>
            <w:tcW w:w="4304" w:type="dxa"/>
            <w:gridSpan w:val="4"/>
            <w:tcBorders>
              <w:top w:val="nil"/>
              <w:left w:val="nil"/>
              <w:bottom w:val="single" w:sz="4" w:space="0" w:color="auto"/>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95"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304"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c>
          <w:tcPr>
            <w:tcW w:w="4695"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1、进一步完善工程勘查质量管理制度和责任体系，通过“双随机、</w:t>
            </w:r>
            <w:proofErr w:type="gramStart"/>
            <w:r>
              <w:rPr>
                <w:rFonts w:ascii="仿宋_GB2312" w:eastAsia="仿宋_GB2312" w:hAnsi="仿宋_GB2312" w:cs="仿宋_GB2312" w:hint="eastAsia"/>
                <w:color w:val="000000"/>
                <w:sz w:val="20"/>
                <w:szCs w:val="20"/>
              </w:rPr>
              <w:t>一</w:t>
            </w:r>
            <w:proofErr w:type="gramEnd"/>
            <w:r>
              <w:rPr>
                <w:rFonts w:ascii="仿宋_GB2312" w:eastAsia="仿宋_GB2312" w:hAnsi="仿宋_GB2312" w:cs="仿宋_GB2312" w:hint="eastAsia"/>
                <w:color w:val="000000"/>
                <w:sz w:val="20"/>
                <w:szCs w:val="20"/>
              </w:rPr>
              <w:t>公开”方式开展工程勘查质量监管，提升监管的精准化、智能化水平。</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2、开展岳阳市城市地下市政基础设施综合管线普查工作、岳阳市中心城区集中供汽和冷暖联供项目专项研究工作。</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计划组织建设行业培训考核9600人次。其中，完成建筑施工企业主要负责人、项目负责人和专业安全生产管理人员培训考核5700人次、建设领域施工现场专业人员职业培训测试1800人次、建筑施工特种作业人员培训考核及延期复核1000人次、建筑工人职业培训500人次及土建专业技术人员初、中级职称考试600人次。</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4、全市海绵城市建设从设计、施工、效果评价等方面的全过程管控、宣传、培训、市级现场推进会、制定定额标准、开展课题研究等。</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5、强化征收调度、全面提质增效。加强对市、区重点征收项目的调度，协助解决项目征收过程中碰到的疑难问题，推动征收工作高质量高效率运转。</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参与建设系统城建工程的造价控制与审核，定期开展造价行业专业技术人员培训组考，以确保造价行业正常运转及稳定发展，加强机构建设和业务管理，全面服务工程建设。开展计价工作的管理，调解造价纠纷，依法对建设工程</w:t>
            </w:r>
            <w:proofErr w:type="gramStart"/>
            <w:r>
              <w:rPr>
                <w:rFonts w:ascii="仿宋_GB2312" w:eastAsia="仿宋_GB2312" w:hAnsi="仿宋_GB2312" w:cs="仿宋_GB2312" w:hint="eastAsia"/>
                <w:color w:val="000000"/>
                <w:sz w:val="20"/>
                <w:szCs w:val="20"/>
              </w:rPr>
              <w:t>发承包</w:t>
            </w:r>
            <w:proofErr w:type="gramEnd"/>
            <w:r>
              <w:rPr>
                <w:rFonts w:ascii="仿宋_GB2312" w:eastAsia="仿宋_GB2312" w:hAnsi="仿宋_GB2312" w:cs="仿宋_GB2312" w:hint="eastAsia"/>
                <w:color w:val="000000"/>
                <w:sz w:val="20"/>
                <w:szCs w:val="20"/>
              </w:rPr>
              <w:t>计价活动进行监督检查。</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7、完成市住建局交办的其他任务。　　</w:t>
            </w:r>
          </w:p>
        </w:tc>
        <w:tc>
          <w:tcPr>
            <w:tcW w:w="4304"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1、完善工程勘查质量管理制度和责任体系，通过“双随机、</w:t>
            </w:r>
            <w:proofErr w:type="gramStart"/>
            <w:r>
              <w:rPr>
                <w:rFonts w:ascii="仿宋_GB2312" w:eastAsia="仿宋_GB2312" w:hAnsi="仿宋_GB2312" w:cs="仿宋_GB2312" w:hint="eastAsia"/>
                <w:color w:val="000000"/>
                <w:sz w:val="20"/>
                <w:szCs w:val="20"/>
              </w:rPr>
              <w:t>一</w:t>
            </w:r>
            <w:proofErr w:type="gramEnd"/>
            <w:r>
              <w:rPr>
                <w:rFonts w:ascii="仿宋_GB2312" w:eastAsia="仿宋_GB2312" w:hAnsi="仿宋_GB2312" w:cs="仿宋_GB2312" w:hint="eastAsia"/>
                <w:color w:val="000000"/>
                <w:sz w:val="20"/>
                <w:szCs w:val="20"/>
              </w:rPr>
              <w:t>公开”方式开展工程勘查质量监管，提升监管的精准化、智能化水平。</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2、已开展岳阳市城市地下市政基础设施综合管线普查工作、岳阳市中心城区集中供汽和冷暖联供项目专项研究工作。</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3、全年完成建筑行业考培10875人次。其中，建筑施工企业主要负责人、项目负责人和专职安全生产管理人员安全生产考核3150人次，建筑施工特种作业人员新取证考核、延期复核1161人次，住</w:t>
            </w:r>
            <w:proofErr w:type="gramStart"/>
            <w:r>
              <w:rPr>
                <w:rFonts w:ascii="仿宋_GB2312" w:eastAsia="仿宋_GB2312" w:hAnsi="仿宋_GB2312" w:cs="仿宋_GB2312" w:hint="eastAsia"/>
                <w:color w:val="000000"/>
                <w:sz w:val="20"/>
                <w:szCs w:val="20"/>
              </w:rPr>
              <w:t>建领域</w:t>
            </w:r>
            <w:proofErr w:type="gramEnd"/>
            <w:r>
              <w:rPr>
                <w:rFonts w:ascii="仿宋_GB2312" w:eastAsia="仿宋_GB2312" w:hAnsi="仿宋_GB2312" w:cs="仿宋_GB2312" w:hint="eastAsia"/>
                <w:color w:val="000000"/>
                <w:sz w:val="20"/>
                <w:szCs w:val="20"/>
              </w:rPr>
              <w:t>施工现场专业人员培训测试和继续教育4169人次，土建工程</w:t>
            </w:r>
            <w:proofErr w:type="gramStart"/>
            <w:r>
              <w:rPr>
                <w:rFonts w:ascii="仿宋_GB2312" w:eastAsia="仿宋_GB2312" w:hAnsi="仿宋_GB2312" w:cs="仿宋_GB2312" w:hint="eastAsia"/>
                <w:color w:val="000000"/>
                <w:sz w:val="20"/>
                <w:szCs w:val="20"/>
              </w:rPr>
              <w:t>专业初</w:t>
            </w:r>
            <w:proofErr w:type="gramEnd"/>
            <w:r>
              <w:rPr>
                <w:rFonts w:ascii="仿宋_GB2312" w:eastAsia="仿宋_GB2312" w:hAnsi="仿宋_GB2312" w:cs="仿宋_GB2312" w:hint="eastAsia"/>
                <w:color w:val="000000"/>
                <w:sz w:val="20"/>
                <w:szCs w:val="20"/>
              </w:rPr>
              <w:t>中级职称考试2294人次，建筑工人培训101人次，超额完成目标任务。</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4、已开展全市海绵城市建设从设计、施工、效果评价等方面的全过程管控、宣传、培训、市级现场推进会、制定定额标准、开展课题研究等。</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5、已对市、区重点征收项目的调度，协助解决项目征收过程中碰到的疑难问题，推动征收工作高质量高效率运转。</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已开展建设系统城建工程的造价控制与审核，定期开展造价行业专业技术人员培训，以确保造价行业正常运转及稳定发展，加强机构建设和业务管理，全面服务工程建设。开展计价工作的管理，调解造价纠纷，依法对建设工程</w:t>
            </w:r>
            <w:proofErr w:type="gramStart"/>
            <w:r>
              <w:rPr>
                <w:rFonts w:ascii="仿宋_GB2312" w:eastAsia="仿宋_GB2312" w:hAnsi="仿宋_GB2312" w:cs="仿宋_GB2312" w:hint="eastAsia"/>
                <w:color w:val="000000"/>
                <w:sz w:val="20"/>
                <w:szCs w:val="20"/>
              </w:rPr>
              <w:t>发承包</w:t>
            </w:r>
            <w:proofErr w:type="gramEnd"/>
            <w:r>
              <w:rPr>
                <w:rFonts w:ascii="仿宋_GB2312" w:eastAsia="仿宋_GB2312" w:hAnsi="仿宋_GB2312" w:cs="仿宋_GB2312" w:hint="eastAsia"/>
                <w:color w:val="000000"/>
                <w:sz w:val="20"/>
                <w:szCs w:val="20"/>
              </w:rPr>
              <w:t>计价活动进行监督检查。</w:t>
            </w:r>
          </w:p>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7、已完成市住建局交办的其他任务。　</w:t>
            </w:r>
          </w:p>
        </w:tc>
      </w:tr>
      <w:tr w:rsidR="001B3603">
        <w:trPr>
          <w:jc w:val="center"/>
        </w:trPr>
        <w:tc>
          <w:tcPr>
            <w:tcW w:w="1080" w:type="dxa"/>
            <w:vMerge w:val="restart"/>
            <w:tcBorders>
              <w:top w:val="nil"/>
              <w:left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B3603" w:rsidRDefault="005B40A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1B3603" w:rsidRDefault="001B3603">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B3603" w:rsidRDefault="001B3603">
            <w:pPr>
              <w:widowControl/>
              <w:spacing w:line="240" w:lineRule="exact"/>
              <w:jc w:val="center"/>
              <w:rPr>
                <w:rFonts w:ascii="仿宋_GB2312" w:eastAsia="仿宋_GB2312" w:hAnsi="仿宋_GB2312" w:cs="仿宋_GB2312"/>
                <w:color w:val="000000"/>
                <w:sz w:val="20"/>
                <w:szCs w:val="20"/>
              </w:rPr>
            </w:pP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培训人次     调研次数     工程造价信息公布次数   </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1.组织建设行业培训考核9600人次 2.对2023年市本级政府投资城建项目展开调研，每月一次; 对各城建项目进行考评考核，每月一</w:t>
            </w:r>
            <w:r>
              <w:rPr>
                <w:rFonts w:ascii="仿宋_GB2312" w:eastAsia="仿宋_GB2312" w:hAnsi="仿宋_GB2312" w:cs="仿宋_GB2312" w:hint="eastAsia"/>
                <w:color w:val="000000"/>
                <w:sz w:val="20"/>
                <w:szCs w:val="20"/>
              </w:rPr>
              <w:lastRenderedPageBreak/>
              <w:t>次 :邀请专家对城市科学专题研究会议，每月一次.3.每月进行一次本地区建设工程材料价格、人工费、机械费、租赁价格等信息调查、采集、测算、报审和发布工作。</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 xml:space="preserve">　1.全年完成建筑行业考培10875人次。2.对2023年市本级政府投资城建项目展开调研，每月一次; 对各城建项目进行考评考核，每月</w:t>
            </w:r>
            <w:r>
              <w:rPr>
                <w:rFonts w:ascii="仿宋_GB2312" w:eastAsia="仿宋_GB2312" w:hAnsi="仿宋_GB2312" w:cs="仿宋_GB2312" w:hint="eastAsia"/>
                <w:color w:val="000000"/>
                <w:sz w:val="20"/>
                <w:szCs w:val="20"/>
              </w:rPr>
              <w:lastRenderedPageBreak/>
              <w:t>一次 :邀请专家对城市科学专题研究会议，每月一次.3.每月进行一次本地区建设工程材料价格、人工费、机械费、租赁价格等信息调查、采集、测算、报审和发布工作。</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 xml:space="preserve">30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30</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保障人员日常运转支出，以及单位的正常运转。      备案资料保管齐全、合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、完整。      建设工程造价工作合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性  城建项目数据准确率       考核合格颁发从业资格证书</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上级检查合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 xml:space="preserve"> </w:t>
            </w:r>
          </w:p>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性100% 90%以上     合格率达70%</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上级检查合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 xml:space="preserve"> </w:t>
            </w:r>
          </w:p>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性100% 90%以上     合格率达70%</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按计划完成全年工作任务</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全年</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按计划完成全年工作任务</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控制在预算内</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按照9000元/人的标准控制公用经费总开支</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控制在预算内</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B3603" w:rsidRDefault="001B3603">
            <w:pPr>
              <w:widowControl/>
              <w:spacing w:line="240" w:lineRule="exact"/>
              <w:jc w:val="left"/>
              <w:rPr>
                <w:rFonts w:ascii="仿宋_GB2312" w:eastAsia="仿宋_GB2312" w:hAnsi="仿宋_GB2312" w:cs="仿宋_GB2312"/>
                <w:color w:val="000000"/>
                <w:sz w:val="20"/>
                <w:szCs w:val="20"/>
              </w:rPr>
            </w:pPr>
          </w:p>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提高城市经济发展的承载能力</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改善城市基础设施水平，助力相关业态发展</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提高城市经济发展的承载能力</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服务工程建设领域</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促进建筑行业规范运行，提升质效。提升建设行业人才队伍建设质量，促进就业。</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促进建筑行业规范运行，提升质效。提升建设行业人才队伍建设质量，促进就业。</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ind w:left="200" w:hangingChars="100" w:hanging="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34"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城市环境品质</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以海绵城市建设促进城市水环境改善，增强城市“水弹性”</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增强城市“水弹性”</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5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trHeight w:val="290"/>
          <w:jc w:val="center"/>
        </w:trPr>
        <w:tc>
          <w:tcPr>
            <w:tcW w:w="1080" w:type="dxa"/>
            <w:vMerge/>
            <w:tcBorders>
              <w:left w:val="single" w:sz="4" w:space="0" w:color="auto"/>
              <w:right w:val="single" w:sz="4" w:space="0" w:color="auto"/>
            </w:tcBorders>
            <w:noWrap/>
            <w:vAlign w:val="center"/>
          </w:tcPr>
          <w:p w:rsidR="001B3603" w:rsidRDefault="001B3603">
            <w:pPr>
              <w:widowControl/>
              <w:spacing w:line="24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widowControl/>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w:t>
            </w:r>
            <w:r>
              <w:rPr>
                <w:rFonts w:ascii="仿宋_GB2312" w:eastAsia="仿宋_GB2312" w:hAnsi="仿宋_GB2312" w:cs="仿宋_GB2312" w:hint="eastAsia"/>
                <w:color w:val="000000"/>
                <w:sz w:val="20"/>
                <w:szCs w:val="20"/>
              </w:rPr>
              <w:lastRenderedPageBreak/>
              <w:t>响指标</w:t>
            </w:r>
          </w:p>
        </w:tc>
        <w:tc>
          <w:tcPr>
            <w:tcW w:w="127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不适用</w:t>
            </w:r>
          </w:p>
        </w:tc>
        <w:tc>
          <w:tcPr>
            <w:tcW w:w="1311"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269"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716"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4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w:t>
            </w:r>
          </w:p>
        </w:tc>
        <w:tc>
          <w:tcPr>
            <w:tcW w:w="1446"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trHeight w:val="1211"/>
          <w:jc w:val="center"/>
        </w:trPr>
        <w:tc>
          <w:tcPr>
            <w:tcW w:w="1080" w:type="dxa"/>
            <w:vMerge/>
            <w:tcBorders>
              <w:left w:val="single" w:sz="4" w:space="0" w:color="auto"/>
              <w:right w:val="single" w:sz="4" w:space="0" w:color="auto"/>
            </w:tcBorders>
            <w:noWrap/>
            <w:vAlign w:val="center"/>
          </w:tcPr>
          <w:p w:rsidR="001B3603" w:rsidRDefault="001B3603">
            <w:pPr>
              <w:spacing w:line="24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tcBorders>
              <w:top w:val="nil"/>
              <w:left w:val="nil"/>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70"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提升服务质量和办事效率，获得服务对象的好评</w:t>
            </w:r>
          </w:p>
        </w:tc>
        <w:tc>
          <w:tcPr>
            <w:tcW w:w="1311"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w:t>
            </w:r>
          </w:p>
        </w:tc>
        <w:tc>
          <w:tcPr>
            <w:tcW w:w="1269"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trHeight w:val="270"/>
          <w:jc w:val="center"/>
        </w:trPr>
        <w:tc>
          <w:tcPr>
            <w:tcW w:w="7044" w:type="dxa"/>
            <w:gridSpan w:val="6"/>
            <w:tcBorders>
              <w:top w:val="single" w:sz="4" w:space="0" w:color="auto"/>
              <w:left w:val="single" w:sz="4" w:space="0" w:color="auto"/>
              <w:bottom w:val="single" w:sz="4" w:space="0" w:color="auto"/>
              <w:right w:val="single" w:sz="4" w:space="0" w:color="000000"/>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716" w:type="dxa"/>
            <w:tcBorders>
              <w:top w:val="nil"/>
              <w:left w:val="nil"/>
              <w:bottom w:val="single" w:sz="4" w:space="0" w:color="auto"/>
              <w:right w:val="single" w:sz="4" w:space="0" w:color="auto"/>
            </w:tcBorders>
            <w:noWrap/>
            <w:vAlign w:val="center"/>
          </w:tcPr>
          <w:p w:rsidR="001B3603" w:rsidRDefault="005B40AB">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96</w:t>
            </w:r>
          </w:p>
        </w:tc>
        <w:tc>
          <w:tcPr>
            <w:tcW w:w="1446" w:type="dxa"/>
            <w:tcBorders>
              <w:top w:val="nil"/>
              <w:left w:val="nil"/>
              <w:bottom w:val="single" w:sz="4" w:space="0" w:color="auto"/>
              <w:right w:val="single" w:sz="4" w:space="0" w:color="auto"/>
            </w:tcBorders>
            <w:noWrap/>
            <w:vAlign w:val="center"/>
          </w:tcPr>
          <w:p w:rsidR="001B3603" w:rsidRDefault="005B40AB">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B3603" w:rsidRDefault="005B40AB">
      <w:pPr>
        <w:widowControl/>
        <w:spacing w:line="600" w:lineRule="exact"/>
        <w:jc w:val="left"/>
        <w:rPr>
          <w:rFonts w:ascii="Times New Roman" w:eastAsia="黑体" w:hAnsi="Times New Roman"/>
          <w:sz w:val="32"/>
          <w:szCs w:val="3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r>
        <w:rPr>
          <w:rFonts w:ascii="黑体" w:eastAsia="黑体" w:hAnsi="黑体" w:cs="黑体" w:hint="eastAsia"/>
          <w:sz w:val="32"/>
          <w:szCs w:val="32"/>
        </w:rPr>
        <w:lastRenderedPageBreak/>
        <w:t>附件3</w:t>
      </w:r>
    </w:p>
    <w:p w:rsidR="001B3603" w:rsidRDefault="005B40AB">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9851" w:type="dxa"/>
        <w:jc w:val="center"/>
        <w:tblLook w:val="04A0"/>
      </w:tblPr>
      <w:tblGrid>
        <w:gridCol w:w="1080"/>
        <w:gridCol w:w="1080"/>
        <w:gridCol w:w="1080"/>
        <w:gridCol w:w="1224"/>
        <w:gridCol w:w="1134"/>
        <w:gridCol w:w="1134"/>
        <w:gridCol w:w="828"/>
        <w:gridCol w:w="873"/>
        <w:gridCol w:w="1418"/>
      </w:tblGrid>
      <w:tr w:rsidR="001B3603">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城乡建设事务管理经费　</w:t>
            </w:r>
          </w:p>
        </w:tc>
      </w:tr>
      <w:tr w:rsidR="001B3603">
        <w:trPr>
          <w:trHeight w:val="90"/>
          <w:jc w:val="center"/>
        </w:trPr>
        <w:tc>
          <w:tcPr>
            <w:tcW w:w="1080" w:type="dxa"/>
            <w:tcBorders>
              <w:top w:val="nil"/>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岳阳市住房和城乡建设局</w:t>
            </w:r>
          </w:p>
        </w:tc>
        <w:tc>
          <w:tcPr>
            <w:tcW w:w="1134" w:type="dxa"/>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岳阳市城乡建设事务中心</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156</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156</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143.59</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1、每月进行一次本地区建设工程材料价格、人工费、机械费、租赁价格等信息调查、采集、测算、报审和发布工作。造价数据平台建设、软件购置及升级运维经费；对造价人员专业培训。</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2、维护和管理城建项目库，收集、汇总、</w:t>
            </w:r>
            <w:proofErr w:type="gramStart"/>
            <w:r>
              <w:rPr>
                <w:rFonts w:ascii="仿宋_GB2312" w:eastAsia="仿宋_GB2312" w:hAnsi="仿宋_GB2312" w:cs="仿宋_GB2312" w:hint="eastAsia"/>
                <w:color w:val="000000"/>
                <w:sz w:val="20"/>
                <w:szCs w:val="20"/>
              </w:rPr>
              <w:t>更新市</w:t>
            </w:r>
            <w:proofErr w:type="gramEnd"/>
            <w:r>
              <w:rPr>
                <w:rFonts w:ascii="仿宋_GB2312" w:eastAsia="仿宋_GB2312" w:hAnsi="仿宋_GB2312" w:cs="仿宋_GB2312" w:hint="eastAsia"/>
                <w:color w:val="000000"/>
                <w:sz w:val="20"/>
                <w:szCs w:val="20"/>
              </w:rPr>
              <w:t>城区总体规划范围内的市政基础设施项目基础数据。</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开展城建项目的调研及方案论证工作。对2023年市本级政府投资城建计划项目展开调研，每月一次；对各城建项目进行考评考核，每月一次；邀请专家对城市科学专题研究会议，一月一次。西环线片区海绵建设项目、市住建局机关庭院海绵改造项目、大中小学海绵改造项目、西瓜山黑臭水体治理项目、洞庭湖大桥绿化带海绵改造项目、市委机关庭院海绵改造项目的组织实施。</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计划组织建设行业培训考核9600人次。其中，完成建筑施工企业主要负责人、项目负责人和专业安全生产管理人员培训考核5700人次、建设领域施工现场专业人员职业培训测试1800人次、建筑施工特种作业人员培训考核及延期复核1000人次、建筑工人职业培训500人次及土建专业技术人员初、中级职称考试600人次。</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5、落实建筑工程勘查设计市场服务工作，组织实施工程勘查外业见证（根据工程报建项目数开展服务）。　　</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1、已每月进行一次本地区建设工程材料价格、人工费、机械费、租赁价格等信息调查、采集、测算、报审和发布工作。造价数据平台建设、软件购置及升级运维经费；对造价人员专业培训。</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roofErr w:type="gramStart"/>
            <w:r>
              <w:rPr>
                <w:rFonts w:ascii="仿宋_GB2312" w:eastAsia="仿宋_GB2312" w:hAnsi="仿宋_GB2312" w:cs="仿宋_GB2312" w:hint="eastAsia"/>
                <w:color w:val="000000"/>
                <w:sz w:val="20"/>
                <w:szCs w:val="20"/>
              </w:rPr>
              <w:t>已维护</w:t>
            </w:r>
            <w:proofErr w:type="gramEnd"/>
            <w:r>
              <w:rPr>
                <w:rFonts w:ascii="仿宋_GB2312" w:eastAsia="仿宋_GB2312" w:hAnsi="仿宋_GB2312" w:cs="仿宋_GB2312" w:hint="eastAsia"/>
                <w:color w:val="000000"/>
                <w:sz w:val="20"/>
                <w:szCs w:val="20"/>
              </w:rPr>
              <w:t>和管理城建项目库，收集、汇总、</w:t>
            </w:r>
            <w:proofErr w:type="gramStart"/>
            <w:r>
              <w:rPr>
                <w:rFonts w:ascii="仿宋_GB2312" w:eastAsia="仿宋_GB2312" w:hAnsi="仿宋_GB2312" w:cs="仿宋_GB2312" w:hint="eastAsia"/>
                <w:color w:val="000000"/>
                <w:sz w:val="20"/>
                <w:szCs w:val="20"/>
              </w:rPr>
              <w:t>更新市</w:t>
            </w:r>
            <w:proofErr w:type="gramEnd"/>
            <w:r>
              <w:rPr>
                <w:rFonts w:ascii="仿宋_GB2312" w:eastAsia="仿宋_GB2312" w:hAnsi="仿宋_GB2312" w:cs="仿宋_GB2312" w:hint="eastAsia"/>
                <w:color w:val="000000"/>
                <w:sz w:val="20"/>
                <w:szCs w:val="20"/>
              </w:rPr>
              <w:t>城区总体规划范围内的市政基础设施项目基础数据。</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已开展城建项目的调研及方案论证工作。对2023年市本级政府投资城建计划项目展开调研，每月一次；对各城建项目进行考评考核，每月一次；邀请专家对城市科学专题研究会议，一月一次。西环线片区海绵建设项目、市住建局机关庭院海绵改造项目、大中小学海绵改造项目、西瓜山黑臭水体治理项目、洞庭湖大桥绿化带海绵改造项目、市委机关庭院海绵改造项目的组织实施。</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4、全年完成建筑行业考培10875人次。其中，建筑施工企业主要负责人、项目负责人和专职安全生产管理人员安全生产考核3150人次，建筑施工特种作业人员新取证考核、延期复核1161人次，住</w:t>
            </w:r>
            <w:proofErr w:type="gramStart"/>
            <w:r>
              <w:rPr>
                <w:rFonts w:ascii="仿宋_GB2312" w:eastAsia="仿宋_GB2312" w:hAnsi="仿宋_GB2312" w:cs="仿宋_GB2312" w:hint="eastAsia"/>
                <w:color w:val="000000"/>
                <w:sz w:val="20"/>
                <w:szCs w:val="20"/>
              </w:rPr>
              <w:t>建领域</w:t>
            </w:r>
            <w:proofErr w:type="gramEnd"/>
            <w:r>
              <w:rPr>
                <w:rFonts w:ascii="仿宋_GB2312" w:eastAsia="仿宋_GB2312" w:hAnsi="仿宋_GB2312" w:cs="仿宋_GB2312" w:hint="eastAsia"/>
                <w:color w:val="000000"/>
                <w:sz w:val="20"/>
                <w:szCs w:val="20"/>
              </w:rPr>
              <w:t>施工现场专业人员培训测试和继续教育4169人次，土建工程</w:t>
            </w:r>
            <w:proofErr w:type="gramStart"/>
            <w:r>
              <w:rPr>
                <w:rFonts w:ascii="仿宋_GB2312" w:eastAsia="仿宋_GB2312" w:hAnsi="仿宋_GB2312" w:cs="仿宋_GB2312" w:hint="eastAsia"/>
                <w:color w:val="000000"/>
                <w:sz w:val="20"/>
                <w:szCs w:val="20"/>
              </w:rPr>
              <w:t>专业初</w:t>
            </w:r>
            <w:proofErr w:type="gramEnd"/>
            <w:r>
              <w:rPr>
                <w:rFonts w:ascii="仿宋_GB2312" w:eastAsia="仿宋_GB2312" w:hAnsi="仿宋_GB2312" w:cs="仿宋_GB2312" w:hint="eastAsia"/>
                <w:color w:val="000000"/>
                <w:sz w:val="20"/>
                <w:szCs w:val="20"/>
              </w:rPr>
              <w:t>中级职称考试2294人次，建筑工人培训101人次，超额完成目标任务。</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5、已完成建筑工程勘查设计市场服务前期工作。</w:t>
            </w:r>
          </w:p>
        </w:tc>
      </w:tr>
      <w:tr w:rsidR="001B3603">
        <w:trPr>
          <w:jc w:val="center"/>
        </w:trPr>
        <w:tc>
          <w:tcPr>
            <w:tcW w:w="1080" w:type="dxa"/>
            <w:vMerge w:val="restart"/>
            <w:tcBorders>
              <w:top w:val="nil"/>
              <w:left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B3603" w:rsidRDefault="001B3603">
            <w:pPr>
              <w:widowControl/>
              <w:spacing w:line="260" w:lineRule="exact"/>
              <w:jc w:val="center"/>
              <w:rPr>
                <w:rFonts w:ascii="仿宋_GB2312" w:eastAsia="仿宋_GB2312" w:hAnsi="仿宋_GB2312" w:cs="仿宋_GB2312"/>
                <w:color w:val="000000"/>
                <w:sz w:val="20"/>
                <w:szCs w:val="20"/>
              </w:rPr>
            </w:pP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项目管理次数至少10次</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项目管理次数10次</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对造价人员专业培训2次</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对造价人员专业培训2次</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完成建筑施工从业人员年度培训考</w:t>
            </w:r>
            <w:r>
              <w:rPr>
                <w:rFonts w:ascii="仿宋_GB2312" w:eastAsia="仿宋_GB2312" w:hAnsi="仿宋_GB2312" w:cs="仿宋_GB2312" w:hint="eastAsia"/>
                <w:color w:val="000000"/>
                <w:sz w:val="20"/>
                <w:szCs w:val="20"/>
              </w:rPr>
              <w:lastRenderedPageBreak/>
              <w:t>核计划</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 xml:space="preserve"> 9600人次</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完成建筑行业考培10875人</w:t>
            </w:r>
            <w:r>
              <w:rPr>
                <w:rFonts w:ascii="仿宋_GB2312" w:eastAsia="仿宋_GB2312" w:hAnsi="仿宋_GB2312" w:cs="仿宋_GB2312" w:hint="eastAsia"/>
                <w:color w:val="000000"/>
                <w:sz w:val="20"/>
                <w:szCs w:val="20"/>
              </w:rPr>
              <w:lastRenderedPageBreak/>
              <w:t>次</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每月进行一次本地区建设工程材料价格、人工费、机械费、租赁价格等信息调查、采集、测算、报审和发布工作。</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1.对2023年市本级政府投资城建项目展开调研，每月一次 2.对各城建项目进行考评考核，每月一次 3.邀请专家对城市科学专题研究会议，每月一次</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考核合格颁发从业资格证书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ind w:left="200" w:hangingChars="100" w:hanging="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合格率达70%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合格率达70%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建设工程造价工作合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性</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ind w:leftChars="71" w:left="199"/>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性100%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性100%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备案资料保管齐全、合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、完整</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ind w:left="200" w:hangingChars="100" w:hanging="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上级检查合</w:t>
            </w:r>
            <w:proofErr w:type="gramStart"/>
            <w:r>
              <w:rPr>
                <w:rFonts w:ascii="仿宋_GB2312" w:eastAsia="仿宋_GB2312" w:hAnsi="仿宋_GB2312" w:cs="仿宋_GB2312" w:hint="eastAsia"/>
                <w:color w:val="000000"/>
                <w:sz w:val="20"/>
                <w:szCs w:val="20"/>
              </w:rPr>
              <w:t>规</w:t>
            </w:r>
            <w:proofErr w:type="gramEnd"/>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上级检查合</w:t>
            </w:r>
            <w:proofErr w:type="gramStart"/>
            <w:r>
              <w:rPr>
                <w:rFonts w:ascii="仿宋_GB2312" w:eastAsia="仿宋_GB2312" w:hAnsi="仿宋_GB2312" w:cs="仿宋_GB2312" w:hint="eastAsia"/>
                <w:color w:val="000000"/>
                <w:sz w:val="20"/>
                <w:szCs w:val="20"/>
              </w:rPr>
              <w:t>规</w:t>
            </w:r>
            <w:proofErr w:type="gramEnd"/>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城建项目数据准确率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ind w:left="200" w:hangingChars="100" w:hanging="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准确率90%以上</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准确率90%以上</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各项工作按时完成</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ind w:left="200" w:hangingChars="100" w:hanging="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规定时效内</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规定时效内</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控制在预算内</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156万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控制在预算内</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B3603" w:rsidRDefault="001B3603">
            <w:pPr>
              <w:widowControl/>
              <w:spacing w:line="260" w:lineRule="exact"/>
              <w:jc w:val="left"/>
              <w:rPr>
                <w:rFonts w:ascii="仿宋_GB2312" w:eastAsia="仿宋_GB2312" w:hAnsi="仿宋_GB2312" w:cs="仿宋_GB2312"/>
                <w:color w:val="000000"/>
                <w:sz w:val="20"/>
                <w:szCs w:val="20"/>
              </w:rPr>
            </w:pP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产业发展，为促进我市住房和城乡建设事业平稳健康发展提供人才和智力支持。</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有利于城市产业结构升级，产生更多经济效益，促进城市经济发展。</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促进城市经济发展。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避免政府投资的工程建设项目因工程勘查质量不合格导致</w:t>
            </w:r>
            <w:r>
              <w:rPr>
                <w:rFonts w:ascii="仿宋_GB2312" w:eastAsia="仿宋_GB2312" w:hAnsi="仿宋_GB2312" w:cs="仿宋_GB2312" w:hint="eastAsia"/>
                <w:color w:val="000000"/>
                <w:sz w:val="20"/>
                <w:szCs w:val="20"/>
              </w:rPr>
              <w:lastRenderedPageBreak/>
              <w:t>建设项目变更设计、重复返工增加建设成本。</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 xml:space="preserve">　有所提升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进一步规范我市工程勘查质量行为，强化工程勘查质量意识，切实提高我市建设工程质量安全管理。确保造价行业正常运转及稳定发展，加强机构建设和业务管理，全面服务工程建设</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节省土地、节约能源、建筑物增值、提高交通安全等。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节省土地、节约能源、建筑物增值、提高交通安全等。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trHeight w:val="5737"/>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对建筑施工企业主要负责人、项目负责人和专职安全生产管理人员实行理论、能力培训考核；对建筑施工特种作业人员操作技能培训考核，让从业人员持证上岗。对建筑工人培训提升建设行业从业人员素质，提高建设工程质量，杜绝安全事故的发生。</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为促进我市住房城乡建设事业平稳健康发展提供人才和智力支持。社会效益良好。</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社会效益良好。</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城市环境品质</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提升城市环境品质</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提升城市环境品质</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受益对象满意度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95%以上</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95%以上</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96</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B3603" w:rsidRDefault="001B3603">
      <w:pPr>
        <w:rPr>
          <w:rFonts w:ascii="Times New Roman" w:eastAsia="仿宋_GB2312" w:hAnsi="Times New Roman"/>
          <w:sz w:val="18"/>
          <w:szCs w:val="18"/>
        </w:rPr>
      </w:pPr>
    </w:p>
    <w:p w:rsidR="001B3603" w:rsidRDefault="005B40AB">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1B3603" w:rsidRDefault="005B40AB">
      <w:pPr>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p>
    <w:p w:rsidR="001B3603" w:rsidRDefault="005B40AB">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lastRenderedPageBreak/>
        <w:t>附件3</w:t>
      </w:r>
    </w:p>
    <w:p w:rsidR="001B3603" w:rsidRDefault="005B40AB">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9851" w:type="dxa"/>
        <w:jc w:val="center"/>
        <w:tblLook w:val="04A0"/>
      </w:tblPr>
      <w:tblGrid>
        <w:gridCol w:w="1080"/>
        <w:gridCol w:w="1080"/>
        <w:gridCol w:w="1080"/>
        <w:gridCol w:w="1224"/>
        <w:gridCol w:w="1134"/>
        <w:gridCol w:w="1134"/>
        <w:gridCol w:w="828"/>
        <w:gridCol w:w="873"/>
        <w:gridCol w:w="1418"/>
      </w:tblGrid>
      <w:tr w:rsidR="001B3603">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非税收入征收成本（征收工作经费）　</w:t>
            </w:r>
          </w:p>
        </w:tc>
      </w:tr>
      <w:tr w:rsidR="001B3603">
        <w:trPr>
          <w:jc w:val="center"/>
        </w:trPr>
        <w:tc>
          <w:tcPr>
            <w:tcW w:w="1080" w:type="dxa"/>
            <w:tcBorders>
              <w:top w:val="nil"/>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岳阳市住房和城乡建设局</w:t>
            </w:r>
          </w:p>
        </w:tc>
        <w:tc>
          <w:tcPr>
            <w:tcW w:w="1134" w:type="dxa"/>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岳阳市城乡建设事务中心</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1.完善我市国有土地上房屋征收的相关配套政策，确保我市征收有法可依，有章可循；</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2.加强我市国有土地上房屋征收补偿的监督管理，做到征收补偿公平、公正、公开，确保社会稳定；</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3.完成年度交办的市级征收（收购）实施工作任务，确保市重点项目及公益事业的顺利实施。</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4.近几年完成评估报告备案15个 成本审核12个 项目实施1个。　　</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1.完善我市国有土地上房屋征收的相关配套政策，确保我市征收有法可依，有章可循；</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2.加强我市国有土地上房屋征收补偿的监督管理，做到征收补偿公平、公正、公开，确保社会稳定；</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3.完成年度交办的市级征收（收购）实施工作任务，确保市重点项目及公益事业的顺利实施。</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4.近几年完成预评估报告备案28个，完成正式评估报告备案34个。出具概算审核意见13份</w:t>
            </w:r>
            <w:r>
              <w:rPr>
                <w:rFonts w:eastAsia="仿宋" w:cs="仿宋" w:hint="eastAsia"/>
                <w:sz w:val="32"/>
                <w:szCs w:val="32"/>
              </w:rPr>
              <w:t>。</w:t>
            </w:r>
          </w:p>
        </w:tc>
      </w:tr>
      <w:tr w:rsidR="001B3603">
        <w:trPr>
          <w:jc w:val="center"/>
        </w:trPr>
        <w:tc>
          <w:tcPr>
            <w:tcW w:w="1080" w:type="dxa"/>
            <w:vMerge w:val="restart"/>
            <w:tcBorders>
              <w:top w:val="nil"/>
              <w:left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B3603" w:rsidRDefault="001B3603">
            <w:pPr>
              <w:widowControl/>
              <w:spacing w:line="260" w:lineRule="exact"/>
              <w:jc w:val="center"/>
              <w:rPr>
                <w:rFonts w:ascii="仿宋_GB2312" w:eastAsia="仿宋_GB2312" w:hAnsi="仿宋_GB2312" w:cs="仿宋_GB2312"/>
                <w:color w:val="000000"/>
                <w:sz w:val="20"/>
                <w:szCs w:val="20"/>
              </w:rPr>
            </w:pP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1.完成评估报告备案12个、成本审核10个、项目实施1个工作。</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12 10 1</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完成预评估报告备案28个，完成正式评估报告备案34个。出具概算审核意见13份</w:t>
            </w:r>
            <w:r>
              <w:rPr>
                <w:rFonts w:eastAsia="仿宋" w:cs="仿宋" w:hint="eastAsia"/>
                <w:sz w:val="32"/>
                <w:szCs w:val="32"/>
              </w:rPr>
              <w:t>。</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1.评估报告结果公开公正，概决算结果依法依规； 2.实施任务全面完成，未造成社会不良影响。</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90%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90%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全年</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全年</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控制在预算内</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80万</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B3603" w:rsidRDefault="001B3603">
            <w:pPr>
              <w:widowControl/>
              <w:spacing w:line="260" w:lineRule="exact"/>
              <w:jc w:val="left"/>
              <w:rPr>
                <w:rFonts w:ascii="仿宋_GB2312" w:eastAsia="仿宋_GB2312" w:hAnsi="仿宋_GB2312" w:cs="仿宋_GB2312"/>
                <w:color w:val="000000"/>
                <w:sz w:val="20"/>
                <w:szCs w:val="20"/>
              </w:rPr>
            </w:pP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1.加强成本控制，确保政府土地收益； 2.完成征收工作费用收缴。</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经济平稳发展</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经济平稳发展</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1.确保依法依规和社会稳定； 2.保障了被征收人的合法权益和社会稳定。</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有所提升</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1提高城市品位，改善群众居住环境；</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有所改善</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有所改善</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1.受到各级政府及部门领导的好评； 2.得到群众的支持和肯定。</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B3603" w:rsidRDefault="001B3603">
      <w:pPr>
        <w:rPr>
          <w:rFonts w:ascii="Times New Roman" w:eastAsia="仿宋_GB2312" w:hAnsi="Times New Roman"/>
          <w:sz w:val="18"/>
          <w:szCs w:val="18"/>
        </w:rPr>
      </w:pPr>
    </w:p>
    <w:p w:rsidR="001B3603" w:rsidRDefault="005B40AB">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1B3603" w:rsidRDefault="005B40AB">
      <w:pPr>
        <w:rPr>
          <w:rFonts w:ascii="Times New Roman" w:eastAsia="仿宋_GB2312" w:hAnsi="Times New Roman"/>
          <w:sz w:val="22"/>
          <w:szCs w:val="2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p>
    <w:p w:rsidR="001B3603" w:rsidRDefault="005B40AB">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lastRenderedPageBreak/>
        <w:t>附件3</w:t>
      </w:r>
    </w:p>
    <w:p w:rsidR="001B3603" w:rsidRDefault="005B40AB">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9851" w:type="dxa"/>
        <w:jc w:val="center"/>
        <w:tblLook w:val="04A0"/>
      </w:tblPr>
      <w:tblGrid>
        <w:gridCol w:w="1080"/>
        <w:gridCol w:w="1080"/>
        <w:gridCol w:w="1080"/>
        <w:gridCol w:w="1224"/>
        <w:gridCol w:w="1134"/>
        <w:gridCol w:w="1134"/>
        <w:gridCol w:w="828"/>
        <w:gridCol w:w="873"/>
        <w:gridCol w:w="1418"/>
      </w:tblGrid>
      <w:tr w:rsidR="001B3603">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非税收入征收成本（职称考试劳务费）　</w:t>
            </w:r>
          </w:p>
        </w:tc>
      </w:tr>
      <w:tr w:rsidR="001B3603">
        <w:trPr>
          <w:jc w:val="center"/>
        </w:trPr>
        <w:tc>
          <w:tcPr>
            <w:tcW w:w="1080" w:type="dxa"/>
            <w:tcBorders>
              <w:top w:val="nil"/>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8.8</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依法依规完成组考工作，不出现群体突发事件，确保稳定有序。　　</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依法依规完成组考工作，未出现群体突发事件，</w:t>
            </w:r>
            <w:proofErr w:type="gramStart"/>
            <w:r>
              <w:rPr>
                <w:rFonts w:ascii="仿宋_GB2312" w:eastAsia="仿宋_GB2312" w:hAnsi="仿宋_GB2312" w:cs="仿宋_GB2312" w:hint="eastAsia"/>
                <w:color w:val="000000"/>
                <w:sz w:val="20"/>
                <w:szCs w:val="20"/>
              </w:rPr>
              <w:t>组考稳定</w:t>
            </w:r>
            <w:proofErr w:type="gramEnd"/>
            <w:r>
              <w:rPr>
                <w:rFonts w:ascii="仿宋_GB2312" w:eastAsia="仿宋_GB2312" w:hAnsi="仿宋_GB2312" w:cs="仿宋_GB2312" w:hint="eastAsia"/>
                <w:color w:val="000000"/>
                <w:sz w:val="20"/>
                <w:szCs w:val="20"/>
              </w:rPr>
              <w:t>有序。</w:t>
            </w:r>
          </w:p>
        </w:tc>
      </w:tr>
      <w:tr w:rsidR="001B3603">
        <w:trPr>
          <w:jc w:val="center"/>
        </w:trPr>
        <w:tc>
          <w:tcPr>
            <w:tcW w:w="1080" w:type="dxa"/>
            <w:vMerge w:val="restart"/>
            <w:tcBorders>
              <w:top w:val="nil"/>
              <w:left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B3603" w:rsidRDefault="001B3603">
            <w:pPr>
              <w:widowControl/>
              <w:spacing w:line="260" w:lineRule="exact"/>
              <w:jc w:val="center"/>
              <w:rPr>
                <w:rFonts w:ascii="仿宋_GB2312" w:eastAsia="仿宋_GB2312" w:hAnsi="仿宋_GB2312" w:cs="仿宋_GB2312"/>
                <w:color w:val="000000"/>
                <w:sz w:val="20"/>
                <w:szCs w:val="20"/>
              </w:rPr>
            </w:pP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完成1次职称组考工作</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做好组考工</w:t>
            </w:r>
            <w:proofErr w:type="gramEnd"/>
            <w:r>
              <w:rPr>
                <w:rFonts w:ascii="仿宋_GB2312" w:eastAsia="仿宋_GB2312" w:hAnsi="仿宋_GB2312" w:cs="仿宋_GB2312" w:hint="eastAsia"/>
                <w:color w:val="000000"/>
                <w:sz w:val="20"/>
                <w:szCs w:val="20"/>
              </w:rPr>
              <w:t>作、保障考试顺利完成</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每年</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全年</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全年</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控制在预算内</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8.8万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控制在预算内</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B3603" w:rsidRDefault="001B3603">
            <w:pPr>
              <w:widowControl/>
              <w:spacing w:line="260" w:lineRule="exact"/>
              <w:jc w:val="left"/>
              <w:rPr>
                <w:rFonts w:ascii="仿宋_GB2312" w:eastAsia="仿宋_GB2312" w:hAnsi="仿宋_GB2312" w:cs="仿宋_GB2312"/>
                <w:color w:val="000000"/>
                <w:sz w:val="20"/>
                <w:szCs w:val="20"/>
              </w:rPr>
            </w:pP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为促进我市住房和城乡建设事业平稳发展提供人才和智力支持</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为社会创造经济效益</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为社会创造经济效益</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对建筑业</w:t>
            </w:r>
            <w:proofErr w:type="gramStart"/>
            <w:r>
              <w:rPr>
                <w:rFonts w:ascii="仿宋_GB2312" w:eastAsia="仿宋_GB2312" w:hAnsi="仿宋_GB2312" w:cs="仿宋_GB2312" w:hint="eastAsia"/>
                <w:color w:val="000000"/>
                <w:sz w:val="20"/>
                <w:szCs w:val="20"/>
              </w:rPr>
              <w:t>考企业核</w:t>
            </w:r>
            <w:proofErr w:type="gramEnd"/>
            <w:r>
              <w:rPr>
                <w:rFonts w:ascii="仿宋_GB2312" w:eastAsia="仿宋_GB2312" w:hAnsi="仿宋_GB2312" w:cs="仿宋_GB2312" w:hint="eastAsia"/>
                <w:color w:val="000000"/>
                <w:sz w:val="20"/>
                <w:szCs w:val="20"/>
              </w:rPr>
              <w:t>人才提供良好服务</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ind w:left="200" w:hangingChars="100" w:hanging="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社会效益良好</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社会效益良好</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200" w:firstLine="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99%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99%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B3603" w:rsidRDefault="001B3603">
      <w:pPr>
        <w:rPr>
          <w:rFonts w:ascii="Times New Roman" w:eastAsia="仿宋_GB2312" w:hAnsi="Times New Roman"/>
          <w:sz w:val="18"/>
          <w:szCs w:val="18"/>
        </w:rPr>
      </w:pPr>
    </w:p>
    <w:p w:rsidR="001B3603" w:rsidRDefault="005B40AB">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1B3603" w:rsidRDefault="005B40AB">
      <w:pPr>
        <w:rPr>
          <w:rFonts w:ascii="黑体" w:eastAsia="黑体" w:hAnsi="黑体" w:cs="黑体"/>
          <w:sz w:val="32"/>
          <w:szCs w:val="32"/>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p>
    <w:p w:rsidR="001B3603" w:rsidRDefault="005B40AB">
      <w:pPr>
        <w:widowControl/>
        <w:spacing w:line="600" w:lineRule="exact"/>
        <w:jc w:val="left"/>
        <w:rPr>
          <w:rFonts w:ascii="Times New Roman" w:eastAsia="黑体" w:hAnsi="Times New Roman"/>
          <w:sz w:val="32"/>
          <w:szCs w:val="32"/>
        </w:rPr>
      </w:pPr>
      <w:r>
        <w:rPr>
          <w:rFonts w:ascii="黑体" w:eastAsia="黑体" w:hAnsi="黑体" w:cs="黑体" w:hint="eastAsia"/>
          <w:sz w:val="32"/>
          <w:szCs w:val="32"/>
        </w:rPr>
        <w:lastRenderedPageBreak/>
        <w:t>附件3</w:t>
      </w:r>
    </w:p>
    <w:p w:rsidR="001B3603" w:rsidRDefault="005B40AB">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2023年度项目支出绩效自评表</w:t>
      </w:r>
    </w:p>
    <w:tbl>
      <w:tblPr>
        <w:tblW w:w="9851" w:type="dxa"/>
        <w:jc w:val="center"/>
        <w:tblLook w:val="04A0"/>
      </w:tblPr>
      <w:tblGrid>
        <w:gridCol w:w="1080"/>
        <w:gridCol w:w="1080"/>
        <w:gridCol w:w="1080"/>
        <w:gridCol w:w="1224"/>
        <w:gridCol w:w="1134"/>
        <w:gridCol w:w="1134"/>
        <w:gridCol w:w="828"/>
        <w:gridCol w:w="873"/>
        <w:gridCol w:w="1418"/>
      </w:tblGrid>
      <w:tr w:rsidR="001B3603">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2022年非税收入结转　</w:t>
            </w:r>
          </w:p>
        </w:tc>
      </w:tr>
      <w:tr w:rsidR="001B3603">
        <w:trPr>
          <w:jc w:val="center"/>
        </w:trPr>
        <w:tc>
          <w:tcPr>
            <w:tcW w:w="1080" w:type="dxa"/>
            <w:tcBorders>
              <w:top w:val="nil"/>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岳阳市住房和城乡建设局</w:t>
            </w:r>
          </w:p>
        </w:tc>
        <w:tc>
          <w:tcPr>
            <w:tcW w:w="1134" w:type="dxa"/>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岳阳市城乡建设事务中心</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42.18</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74.58</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维持单位正常运转</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维持单位正常运转</w:t>
            </w:r>
          </w:p>
        </w:tc>
      </w:tr>
      <w:tr w:rsidR="001B3603">
        <w:trPr>
          <w:jc w:val="center"/>
        </w:trPr>
        <w:tc>
          <w:tcPr>
            <w:tcW w:w="1080" w:type="dxa"/>
            <w:vMerge w:val="restart"/>
            <w:tcBorders>
              <w:top w:val="nil"/>
              <w:left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B3603" w:rsidRDefault="001B3603">
            <w:pPr>
              <w:widowControl/>
              <w:spacing w:line="260" w:lineRule="exact"/>
              <w:jc w:val="center"/>
              <w:rPr>
                <w:rFonts w:ascii="仿宋_GB2312" w:eastAsia="仿宋_GB2312" w:hAnsi="仿宋_GB2312" w:cs="仿宋_GB2312"/>
                <w:color w:val="000000"/>
                <w:sz w:val="20"/>
                <w:szCs w:val="20"/>
              </w:rPr>
            </w:pP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全年</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全年</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控制在预算内</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控制在预算内</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控制在预算内</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B3603" w:rsidRDefault="001B3603">
            <w:pPr>
              <w:widowControl/>
              <w:spacing w:line="260" w:lineRule="exact"/>
              <w:jc w:val="left"/>
              <w:rPr>
                <w:rFonts w:ascii="仿宋_GB2312" w:eastAsia="仿宋_GB2312" w:hAnsi="仿宋_GB2312" w:cs="仿宋_GB2312"/>
                <w:color w:val="000000"/>
                <w:sz w:val="20"/>
                <w:szCs w:val="20"/>
              </w:rPr>
            </w:pP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ind w:left="200" w:hangingChars="100" w:hanging="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1134"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不适用</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干部职工满意</w:t>
            </w:r>
          </w:p>
        </w:tc>
        <w:tc>
          <w:tcPr>
            <w:tcW w:w="1134"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ind w:firstLineChars="200" w:firstLine="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95%　</w:t>
            </w:r>
          </w:p>
        </w:tc>
        <w:tc>
          <w:tcPr>
            <w:tcW w:w="1134"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95%　　</w:t>
            </w:r>
          </w:p>
        </w:tc>
        <w:tc>
          <w:tcPr>
            <w:tcW w:w="828"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90</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1B3603" w:rsidRDefault="001B3603">
      <w:pPr>
        <w:rPr>
          <w:rFonts w:ascii="Times New Roman" w:eastAsia="仿宋_GB2312" w:hAnsi="Times New Roman"/>
          <w:sz w:val="18"/>
          <w:szCs w:val="18"/>
        </w:rPr>
      </w:pPr>
    </w:p>
    <w:p w:rsidR="001B3603" w:rsidRDefault="005B40AB">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1B3603" w:rsidRDefault="005B40AB">
      <w:pPr>
        <w:widowControl/>
        <w:spacing w:line="600" w:lineRule="exact"/>
        <w:jc w:val="center"/>
        <w:rPr>
          <w:rFonts w:ascii="方正小标宋简体" w:eastAsia="方正小标宋简体" w:hAnsi="方正小标宋简体" w:cs="方正小标宋简体"/>
          <w:color w:val="000000"/>
          <w:sz w:val="36"/>
          <w:szCs w:val="36"/>
        </w:rPr>
      </w:pPr>
      <w:r>
        <w:rPr>
          <w:rFonts w:ascii="Times New Roman" w:eastAsia="仿宋_GB2312" w:hAnsi="Times New Roman"/>
          <w:sz w:val="22"/>
          <w:szCs w:val="22"/>
        </w:rPr>
        <w:t>填表人：</w:t>
      </w:r>
      <w:r>
        <w:rPr>
          <w:rFonts w:ascii="Times New Roman" w:eastAsia="仿宋_GB2312" w:hAnsi="Times New Roman"/>
          <w:sz w:val="22"/>
          <w:szCs w:val="22"/>
        </w:rPr>
        <w:t xml:space="preserve">       </w:t>
      </w:r>
      <w:r>
        <w:rPr>
          <w:rFonts w:ascii="Times New Roman" w:eastAsia="仿宋_GB2312" w:hAnsi="Times New Roman"/>
          <w:sz w:val="22"/>
          <w:szCs w:val="22"/>
        </w:rPr>
        <w:t>填报日期：</w:t>
      </w:r>
      <w:r>
        <w:rPr>
          <w:rFonts w:ascii="Times New Roman" w:eastAsia="仿宋_GB2312" w:hAnsi="Times New Roman"/>
          <w:sz w:val="22"/>
          <w:szCs w:val="22"/>
        </w:rPr>
        <w:t xml:space="preserve">     </w:t>
      </w:r>
      <w:r>
        <w:rPr>
          <w:rFonts w:ascii="Times New Roman" w:eastAsia="仿宋_GB2312" w:hAnsi="Times New Roman"/>
          <w:sz w:val="22"/>
          <w:szCs w:val="22"/>
        </w:rPr>
        <w:t>联系电话：</w:t>
      </w:r>
      <w:r>
        <w:rPr>
          <w:rFonts w:ascii="Times New Roman" w:eastAsia="仿宋_GB2312" w:hAnsi="Times New Roman"/>
          <w:sz w:val="22"/>
          <w:szCs w:val="22"/>
        </w:rPr>
        <w:t xml:space="preserve">    </w:t>
      </w:r>
      <w:r>
        <w:rPr>
          <w:rFonts w:ascii="Times New Roman" w:eastAsia="仿宋_GB2312" w:hAnsi="Times New Roman"/>
          <w:sz w:val="22"/>
          <w:szCs w:val="22"/>
        </w:rPr>
        <w:t>单位负责人签字：</w:t>
      </w:r>
      <w:r>
        <w:rPr>
          <w:rFonts w:ascii="Times New Roman" w:eastAsia="仿宋_GB2312" w:hAnsi="Times New Roman"/>
          <w:sz w:val="22"/>
          <w:szCs w:val="22"/>
        </w:rPr>
        <w:br w:type="page"/>
      </w:r>
    </w:p>
    <w:p w:rsidR="001B3603" w:rsidRDefault="005B40AB">
      <w:pPr>
        <w:widowControl/>
        <w:spacing w:line="600" w:lineRule="exact"/>
        <w:jc w:val="center"/>
        <w:rPr>
          <w:rFonts w:ascii="方正小标宋简体" w:eastAsia="方正小标宋简体" w:hAnsi="方正小标宋简体" w:cs="方正小标宋简体"/>
          <w:color w:val="000000"/>
          <w:sz w:val="36"/>
          <w:szCs w:val="36"/>
        </w:rPr>
      </w:pPr>
      <w:bookmarkStart w:id="0" w:name="_GoBack"/>
      <w:r>
        <w:rPr>
          <w:rFonts w:ascii="方正小标宋简体" w:eastAsia="方正小标宋简体" w:hAnsi="方正小标宋简体" w:cs="方正小标宋简体" w:hint="eastAsia"/>
          <w:color w:val="000000"/>
          <w:sz w:val="36"/>
          <w:szCs w:val="36"/>
        </w:rPr>
        <w:lastRenderedPageBreak/>
        <w:t>2023年度项目支出绩效自评表</w:t>
      </w:r>
    </w:p>
    <w:tbl>
      <w:tblPr>
        <w:tblW w:w="9851" w:type="dxa"/>
        <w:jc w:val="center"/>
        <w:tblLook w:val="04A0"/>
      </w:tblPr>
      <w:tblGrid>
        <w:gridCol w:w="1080"/>
        <w:gridCol w:w="1080"/>
        <w:gridCol w:w="1080"/>
        <w:gridCol w:w="1224"/>
        <w:gridCol w:w="1134"/>
        <w:gridCol w:w="1134"/>
        <w:gridCol w:w="828"/>
        <w:gridCol w:w="873"/>
        <w:gridCol w:w="1418"/>
      </w:tblGrid>
      <w:tr w:rsidR="001B3603">
        <w:trPr>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财政补助（城市管网及污水处理资金）　</w:t>
            </w:r>
          </w:p>
        </w:tc>
      </w:tr>
      <w:tr w:rsidR="001B3603">
        <w:trPr>
          <w:jc w:val="center"/>
        </w:trPr>
        <w:tc>
          <w:tcPr>
            <w:tcW w:w="1080" w:type="dxa"/>
            <w:tcBorders>
              <w:top w:val="nil"/>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518"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岳阳市住房和城乡建设局</w:t>
            </w:r>
          </w:p>
        </w:tc>
        <w:tc>
          <w:tcPr>
            <w:tcW w:w="1134" w:type="dxa"/>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岳阳市城乡建设事务中心</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（万元）</w:t>
            </w: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34"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1B3603" w:rsidRDefault="005B40AB">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B3603">
        <w:trPr>
          <w:trHeight w:val="270"/>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3956.08</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783.97</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3956.08</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783.97</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B3603" w:rsidRDefault="005B40AB">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1B3603">
        <w:trPr>
          <w:jc w:val="center"/>
        </w:trPr>
        <w:tc>
          <w:tcPr>
            <w:tcW w:w="1080" w:type="dxa"/>
            <w:vMerge/>
            <w:tcBorders>
              <w:top w:val="nil"/>
              <w:left w:val="single" w:sz="4" w:space="0" w:color="auto"/>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4518" w:type="dxa"/>
            <w:gridSpan w:val="4"/>
            <w:tcBorders>
              <w:top w:val="single" w:sz="4" w:space="0" w:color="auto"/>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在海绵示范项目建设中全面落实海绵理念和海绵指标。</w:t>
            </w:r>
          </w:p>
        </w:tc>
        <w:tc>
          <w:tcPr>
            <w:tcW w:w="4253" w:type="dxa"/>
            <w:gridSpan w:val="4"/>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全年已完成海绵示范项目建设4个。</w:t>
            </w:r>
          </w:p>
        </w:tc>
      </w:tr>
      <w:tr w:rsidR="001B3603">
        <w:trPr>
          <w:jc w:val="center"/>
        </w:trPr>
        <w:tc>
          <w:tcPr>
            <w:tcW w:w="1080" w:type="dxa"/>
            <w:vMerge w:val="restart"/>
            <w:tcBorders>
              <w:top w:val="nil"/>
              <w:left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bookmarkStart w:id="1" w:name="OLE_LINK1" w:colFirst="1" w:colLast="3"/>
            <w:proofErr w:type="gramStart"/>
            <w:r>
              <w:rPr>
                <w:rFonts w:ascii="仿宋_GB2312" w:eastAsia="仿宋_GB2312" w:hAnsi="仿宋_GB2312" w:cs="仿宋_GB2312" w:hint="eastAsia"/>
                <w:color w:val="000000"/>
                <w:sz w:val="20"/>
                <w:szCs w:val="20"/>
              </w:rPr>
              <w:t>绩</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1B3603" w:rsidRDefault="001B3603">
            <w:pPr>
              <w:widowControl/>
              <w:spacing w:line="260" w:lineRule="exact"/>
              <w:jc w:val="center"/>
              <w:rPr>
                <w:rFonts w:ascii="仿宋_GB2312" w:eastAsia="仿宋_GB2312" w:hAnsi="仿宋_GB2312" w:cs="仿宋_GB2312"/>
                <w:color w:val="000000"/>
                <w:sz w:val="20"/>
                <w:szCs w:val="20"/>
              </w:rPr>
            </w:pP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综合管线增补录公里数、普查公里数</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综合管线增补录7169公里、普查1663公里</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综合管线增补录6365公里、普查2399公里</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进度落后，加快进度</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智慧平台外部传感设备安装数量、软件开发完成度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外部传感设备安装51套、软件开发完成度50%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外部传感设备安装83套、软件开发完成度75%</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西环线片区项目完成产值</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4313.56万元</w:t>
            </w:r>
          </w:p>
        </w:tc>
        <w:tc>
          <w:tcPr>
            <w:tcW w:w="1134" w:type="dxa"/>
            <w:tcBorders>
              <w:top w:val="nil"/>
              <w:left w:val="nil"/>
              <w:bottom w:val="single" w:sz="4" w:space="0" w:color="auto"/>
              <w:right w:val="single" w:sz="4" w:space="0" w:color="auto"/>
            </w:tcBorders>
            <w:noWrap/>
            <w:vAlign w:val="center"/>
          </w:tcPr>
          <w:p w:rsidR="001B3603" w:rsidRDefault="00034C17">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3280</w:t>
            </w:r>
            <w:r w:rsidR="005B40AB">
              <w:rPr>
                <w:rFonts w:ascii="仿宋_GB2312" w:eastAsia="仿宋_GB2312" w:hAnsi="仿宋_GB2312" w:cs="仿宋_GB2312" w:hint="eastAsia"/>
                <w:color w:val="000000"/>
                <w:sz w:val="20"/>
                <w:szCs w:val="20"/>
              </w:rPr>
              <w:t>万元</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处于项目施工前期，主要为施工做准备。</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青年路小学项目改造面积及其他设备设施</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完成改造项目占地面积7450m</w:t>
            </w:r>
            <w:r>
              <w:rPr>
                <w:rFonts w:ascii="仿宋_GB2312" w:eastAsia="仿宋_GB2312" w:hAnsi="仿宋_GB2312" w:cs="仿宋_GB2312" w:hint="eastAsia"/>
                <w:color w:val="000000"/>
                <w:sz w:val="20"/>
                <w:szCs w:val="20"/>
                <w:vertAlign w:val="superscript"/>
              </w:rPr>
              <w:t>2</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改造项目占地面积7450m</w:t>
            </w:r>
            <w:r>
              <w:rPr>
                <w:rFonts w:ascii="仿宋_GB2312" w:eastAsia="仿宋_GB2312" w:hAnsi="仿宋_GB2312" w:cs="仿宋_GB2312" w:hint="eastAsia"/>
                <w:color w:val="000000"/>
                <w:sz w:val="20"/>
                <w:szCs w:val="20"/>
                <w:vertAlign w:val="superscript"/>
              </w:rPr>
              <w:t>2</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青年路小学项目年径流总量控制率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不低于60%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71.20%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市人大庭院改造前期工作</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完成可</w:t>
            </w:r>
            <w:proofErr w:type="gramStart"/>
            <w:r>
              <w:rPr>
                <w:rFonts w:ascii="仿宋_GB2312" w:eastAsia="仿宋_GB2312" w:hAnsi="仿宋_GB2312" w:cs="仿宋_GB2312" w:hint="eastAsia"/>
                <w:color w:val="000000"/>
                <w:sz w:val="20"/>
                <w:szCs w:val="20"/>
              </w:rPr>
              <w:t>研</w:t>
            </w:r>
            <w:proofErr w:type="gramEnd"/>
            <w:r>
              <w:rPr>
                <w:rFonts w:ascii="仿宋_GB2312" w:eastAsia="仿宋_GB2312" w:hAnsi="仿宋_GB2312" w:cs="仿宋_GB2312" w:hint="eastAsia"/>
                <w:color w:val="000000"/>
                <w:sz w:val="20"/>
                <w:szCs w:val="20"/>
              </w:rPr>
              <w:t>、初设、概算编制及报批工作</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已完成可</w:t>
            </w:r>
            <w:proofErr w:type="gramStart"/>
            <w:r>
              <w:rPr>
                <w:rFonts w:ascii="仿宋_GB2312" w:eastAsia="仿宋_GB2312" w:hAnsi="仿宋_GB2312" w:cs="仿宋_GB2312" w:hint="eastAsia"/>
                <w:color w:val="000000"/>
                <w:sz w:val="20"/>
                <w:szCs w:val="20"/>
              </w:rPr>
              <w:t>研</w:t>
            </w:r>
            <w:proofErr w:type="gramEnd"/>
            <w:r>
              <w:rPr>
                <w:rFonts w:ascii="仿宋_GB2312" w:eastAsia="仿宋_GB2312" w:hAnsi="仿宋_GB2312" w:cs="仿宋_GB2312" w:hint="eastAsia"/>
                <w:color w:val="000000"/>
                <w:sz w:val="20"/>
                <w:szCs w:val="20"/>
              </w:rPr>
              <w:t>、初设、概算编制及报批工作</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市委大院改造项目完成产值</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1104.33万元</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1104.33万元</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306省道九华山段改造项目完成产值</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72.66万元</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191.63万元</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000000"/>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000000"/>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洞庭大桥改造项目完成产值</w:t>
            </w:r>
          </w:p>
        </w:tc>
        <w:tc>
          <w:tcPr>
            <w:tcW w:w="1134" w:type="dxa"/>
            <w:tcBorders>
              <w:top w:val="nil"/>
              <w:left w:val="nil"/>
              <w:bottom w:val="single" w:sz="4" w:space="0" w:color="000000"/>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63.19万元</w:t>
            </w:r>
          </w:p>
        </w:tc>
        <w:tc>
          <w:tcPr>
            <w:tcW w:w="1134" w:type="dxa"/>
            <w:tcBorders>
              <w:top w:val="nil"/>
              <w:left w:val="nil"/>
              <w:bottom w:val="single" w:sz="4" w:space="0" w:color="000000"/>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206.62万元</w:t>
            </w:r>
          </w:p>
        </w:tc>
        <w:tc>
          <w:tcPr>
            <w:tcW w:w="828" w:type="dxa"/>
            <w:tcBorders>
              <w:top w:val="nil"/>
              <w:left w:val="nil"/>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000000"/>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综合管线项目质量达标率</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000000"/>
              <w:left w:val="single" w:sz="4" w:space="0" w:color="000000"/>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000000"/>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智慧平台项目质量达标率</w:t>
            </w:r>
          </w:p>
        </w:tc>
        <w:tc>
          <w:tcPr>
            <w:tcW w:w="1134" w:type="dxa"/>
            <w:tcBorders>
              <w:top w:val="single" w:sz="4" w:space="0" w:color="000000"/>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single" w:sz="4" w:space="0" w:color="000000"/>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000000"/>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single" w:sz="4" w:space="0" w:color="000000"/>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single" w:sz="4" w:space="0" w:color="000000"/>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trHeight w:val="284"/>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西环线片区项目质量达标率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trHeight w:val="284"/>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青年路小学项目质量达标率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市人大庭院改造项目质量达标率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市委大院质量达标率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306省道九华山段改造项目质量达标率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洞庭大桥改造项目质量达标率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综合管线项目进度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65%</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65%</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智慧平台项目进度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79%</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西环线片区项目进度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16%</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1.35%</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处于项目施工前期，主要为施工准备，投资较少</w:t>
            </w: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青年路小学项目进度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93%</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市人大庭院改造项目进度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市委大院改造项目进度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306省道九华山段改造项目进度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52.75%</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洞庭大桥改造项目进度</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17.50%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57.22%</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nil"/>
              <w:left w:val="nil"/>
              <w:bottom w:val="single" w:sz="4" w:space="0" w:color="auto"/>
              <w:right w:val="single" w:sz="4" w:space="0" w:color="auto"/>
            </w:tcBorders>
            <w:noWrap/>
            <w:vAlign w:val="center"/>
          </w:tcPr>
          <w:p w:rsidR="001B3603" w:rsidRDefault="005B40AB">
            <w:pPr>
              <w:widowControl/>
              <w:autoSpaceDE w:val="0"/>
              <w:adjustRightInd w:val="0"/>
              <w:snapToGrid w:val="0"/>
              <w:spacing w:line="260" w:lineRule="exact"/>
              <w:jc w:val="left"/>
              <w:rPr>
                <w:rFonts w:ascii="仿宋_GB2312" w:eastAsia="仿宋_GB2312" w:hAnsi="仿宋_GB2312" w:cs="仿宋_GB2312"/>
                <w:color w:val="000000"/>
                <w:sz w:val="20"/>
                <w:szCs w:val="20"/>
              </w:rPr>
            </w:pPr>
            <w:r>
              <w:rPr>
                <w:rFonts w:ascii="仿宋_GB2312" w:eastAsia="仿宋_GB2312" w:hAnsi="Calibri" w:cs="仿宋_GB2312" w:hint="eastAsia"/>
                <w:color w:val="000000"/>
                <w:sz w:val="20"/>
                <w:szCs w:val="20"/>
              </w:rPr>
              <w:t>社会经济成本控制率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社会成本控制率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left w:val="nil"/>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生态环境成本控制率</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000000"/>
              <w:left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p w:rsidR="001B3603" w:rsidRDefault="001B3603">
            <w:pPr>
              <w:widowControl/>
              <w:spacing w:line="260" w:lineRule="exact"/>
              <w:jc w:val="left"/>
              <w:rPr>
                <w:rFonts w:ascii="仿宋_GB2312" w:eastAsia="仿宋_GB2312" w:hAnsi="仿宋_GB2312" w:cs="仿宋_GB2312"/>
                <w:color w:val="000000"/>
                <w:sz w:val="20"/>
                <w:szCs w:val="20"/>
              </w:rPr>
            </w:pPr>
          </w:p>
          <w:p w:rsidR="001B3603" w:rsidRDefault="001B3603">
            <w:pPr>
              <w:widowControl/>
              <w:spacing w:line="260" w:lineRule="exact"/>
              <w:jc w:val="left"/>
              <w:rPr>
                <w:rFonts w:ascii="仿宋_GB2312" w:eastAsia="仿宋_GB2312" w:hAnsi="仿宋_GB2312" w:cs="仿宋_GB2312"/>
                <w:color w:val="000000"/>
                <w:sz w:val="20"/>
                <w:szCs w:val="20"/>
              </w:rPr>
            </w:pP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1B3603" w:rsidRDefault="001B3603">
            <w:pPr>
              <w:widowControl/>
              <w:spacing w:line="260" w:lineRule="exact"/>
              <w:jc w:val="left"/>
              <w:rPr>
                <w:rFonts w:ascii="仿宋_GB2312" w:eastAsia="仿宋_GB2312" w:hAnsi="仿宋_GB2312" w:cs="仿宋_GB2312"/>
                <w:color w:val="000000"/>
                <w:sz w:val="20"/>
                <w:szCs w:val="20"/>
              </w:rPr>
            </w:pP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经济</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000000"/>
              <w:left w:val="single" w:sz="4" w:space="0" w:color="auto"/>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提升城市营商环境、吸</w:t>
            </w:r>
            <w:r>
              <w:rPr>
                <w:rFonts w:ascii="仿宋_GB2312" w:eastAsia="仿宋_GB2312" w:hAnsi="仿宋_GB2312" w:cs="仿宋_GB2312" w:hint="eastAsia"/>
                <w:color w:val="000000"/>
                <w:sz w:val="20"/>
                <w:szCs w:val="20"/>
              </w:rPr>
              <w:lastRenderedPageBreak/>
              <w:t>引社会资金投入，促进居民消费</w:t>
            </w:r>
          </w:p>
        </w:tc>
        <w:tc>
          <w:tcPr>
            <w:tcW w:w="1134" w:type="dxa"/>
            <w:tcBorders>
              <w:top w:val="single" w:sz="4" w:space="0" w:color="000000"/>
              <w:left w:val="single" w:sz="4" w:space="0" w:color="auto"/>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100%</w:t>
            </w:r>
          </w:p>
        </w:tc>
        <w:tc>
          <w:tcPr>
            <w:tcW w:w="1134" w:type="dxa"/>
            <w:tcBorders>
              <w:top w:val="single" w:sz="4" w:space="0" w:color="auto"/>
              <w:left w:val="single" w:sz="4" w:space="0" w:color="000000"/>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7.5</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项目的经济效益转化能力有</w:t>
            </w:r>
            <w:r>
              <w:rPr>
                <w:rFonts w:ascii="仿宋_GB2312" w:eastAsia="仿宋_GB2312" w:hAnsi="仿宋_GB2312" w:cs="仿宋_GB2312" w:hint="eastAsia"/>
                <w:color w:val="000000"/>
                <w:sz w:val="20"/>
                <w:szCs w:val="20"/>
              </w:rPr>
              <w:lastRenderedPageBreak/>
              <w:t>待提升。加强宣</w:t>
            </w:r>
            <w:proofErr w:type="gramStart"/>
            <w:r>
              <w:rPr>
                <w:rFonts w:ascii="仿宋_GB2312" w:eastAsia="仿宋_GB2312" w:hAnsi="仿宋_GB2312" w:cs="仿宋_GB2312" w:hint="eastAsia"/>
                <w:color w:val="000000"/>
                <w:sz w:val="20"/>
                <w:szCs w:val="20"/>
              </w:rPr>
              <w:t>贯</w:t>
            </w:r>
            <w:proofErr w:type="gramEnd"/>
            <w:r>
              <w:rPr>
                <w:rFonts w:ascii="仿宋_GB2312" w:eastAsia="仿宋_GB2312" w:hAnsi="仿宋_GB2312" w:cs="仿宋_GB2312" w:hint="eastAsia"/>
                <w:color w:val="000000"/>
                <w:sz w:val="20"/>
                <w:szCs w:val="20"/>
              </w:rPr>
              <w:t>。</w:t>
            </w:r>
          </w:p>
        </w:tc>
      </w:tr>
      <w:tr w:rsidR="001B3603">
        <w:trPr>
          <w:jc w:val="center"/>
        </w:trPr>
        <w:tc>
          <w:tcPr>
            <w:tcW w:w="1080" w:type="dxa"/>
            <w:vMerge/>
            <w:tcBorders>
              <w:left w:val="single" w:sz="4" w:space="0" w:color="auto"/>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000000"/>
              <w:left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000000"/>
              <w:left w:val="nil"/>
              <w:bottom w:val="single" w:sz="4" w:space="0" w:color="000000"/>
              <w:right w:val="single" w:sz="4" w:space="0" w:color="000000"/>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海绵城市建设理念推广</w:t>
            </w:r>
          </w:p>
        </w:tc>
        <w:tc>
          <w:tcPr>
            <w:tcW w:w="1134" w:type="dxa"/>
            <w:tcBorders>
              <w:top w:val="single" w:sz="4" w:space="0" w:color="auto"/>
              <w:left w:val="single" w:sz="4" w:space="0" w:color="000000"/>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single" w:sz="4" w:space="0" w:color="auto"/>
              <w:left w:val="single" w:sz="4" w:space="0" w:color="000000"/>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873"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1418" w:type="dxa"/>
            <w:tcBorders>
              <w:top w:val="single" w:sz="4" w:space="0" w:color="auto"/>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bottom w:val="single" w:sz="4" w:space="0" w:color="000000"/>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single" w:sz="4" w:space="0" w:color="000000"/>
              <w:left w:val="nil"/>
              <w:bottom w:val="single" w:sz="4" w:space="0" w:color="000000"/>
              <w:right w:val="single" w:sz="4" w:space="0" w:color="000000"/>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内涝防治、黑臭水体消除</w:t>
            </w:r>
          </w:p>
        </w:tc>
        <w:tc>
          <w:tcPr>
            <w:tcW w:w="1134" w:type="dxa"/>
            <w:tcBorders>
              <w:top w:val="single" w:sz="4" w:space="0" w:color="auto"/>
              <w:left w:val="single" w:sz="4" w:space="0" w:color="000000"/>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single" w:sz="4" w:space="0" w:color="auto"/>
              <w:left w:val="single" w:sz="4" w:space="0" w:color="000000"/>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873" w:type="dxa"/>
            <w:tcBorders>
              <w:top w:val="single" w:sz="4" w:space="0" w:color="auto"/>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1418" w:type="dxa"/>
            <w:tcBorders>
              <w:top w:val="single" w:sz="4" w:space="0" w:color="auto"/>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right w:val="single" w:sz="4" w:space="0" w:color="auto"/>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000000"/>
              <w:left w:val="nil"/>
              <w:bottom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1B3603" w:rsidRDefault="005B40AB">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000000"/>
              <w:left w:val="nil"/>
              <w:bottom w:val="single" w:sz="4" w:space="0" w:color="000000"/>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水环境提升、人居环境改善</w:t>
            </w:r>
          </w:p>
        </w:tc>
        <w:tc>
          <w:tcPr>
            <w:tcW w:w="1134" w:type="dxa"/>
            <w:tcBorders>
              <w:top w:val="nil"/>
              <w:left w:val="nil"/>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single" w:sz="4" w:space="0" w:color="000000"/>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w:t>
            </w:r>
          </w:p>
        </w:tc>
        <w:tc>
          <w:tcPr>
            <w:tcW w:w="1418" w:type="dxa"/>
            <w:tcBorders>
              <w:top w:val="nil"/>
              <w:left w:val="nil"/>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000000"/>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080" w:type="dxa"/>
            <w:vMerge/>
            <w:tcBorders>
              <w:left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000000"/>
              <w:left w:val="single" w:sz="4" w:space="0" w:color="000000"/>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000000"/>
              <w:left w:val="single" w:sz="4" w:space="0" w:color="auto"/>
              <w:bottom w:val="single" w:sz="4" w:space="0" w:color="auto"/>
              <w:right w:val="single" w:sz="4" w:space="0" w:color="000000"/>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设备设施正常使用年限</w:t>
            </w:r>
          </w:p>
        </w:tc>
        <w:tc>
          <w:tcPr>
            <w:tcW w:w="1134" w:type="dxa"/>
            <w:tcBorders>
              <w:top w:val="single" w:sz="4" w:space="0" w:color="auto"/>
              <w:left w:val="single" w:sz="4" w:space="0" w:color="000000"/>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single" w:sz="4" w:space="0" w:color="auto"/>
              <w:left w:val="single" w:sz="4" w:space="0" w:color="000000"/>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000000"/>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080" w:type="dxa"/>
            <w:vMerge/>
            <w:tcBorders>
              <w:left w:val="single" w:sz="4" w:space="0" w:color="000000"/>
              <w:bottom w:val="single" w:sz="4" w:space="0" w:color="000000"/>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c>
          <w:tcPr>
            <w:tcW w:w="1080" w:type="dxa"/>
            <w:vMerge/>
            <w:tcBorders>
              <w:left w:val="single" w:sz="4" w:space="0" w:color="000000"/>
              <w:bottom w:val="single" w:sz="4" w:space="0" w:color="000000"/>
              <w:right w:val="single" w:sz="4" w:space="0" w:color="auto"/>
            </w:tcBorders>
            <w:noWrap/>
            <w:vAlign w:val="center"/>
          </w:tcPr>
          <w:p w:rsidR="001B3603" w:rsidRDefault="001B3603">
            <w:pPr>
              <w:widowControl/>
              <w:spacing w:line="260" w:lineRule="exact"/>
              <w:jc w:val="center"/>
              <w:rPr>
                <w:rFonts w:ascii="仿宋_GB2312" w:eastAsia="仿宋_GB2312" w:hAnsi="仿宋_GB2312" w:cs="仿宋_GB2312"/>
                <w:color w:val="000000"/>
                <w:sz w:val="20"/>
                <w:szCs w:val="20"/>
              </w:rPr>
            </w:pPr>
          </w:p>
        </w:tc>
        <w:tc>
          <w:tcPr>
            <w:tcW w:w="1224" w:type="dxa"/>
            <w:tcBorders>
              <w:top w:val="single" w:sz="4" w:space="0" w:color="000000"/>
              <w:left w:val="single" w:sz="4" w:space="0" w:color="auto"/>
              <w:bottom w:val="single" w:sz="4" w:space="0" w:color="auto"/>
              <w:right w:val="single" w:sz="4" w:space="0" w:color="000000"/>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项目效果可持续年限</w:t>
            </w:r>
          </w:p>
        </w:tc>
        <w:tc>
          <w:tcPr>
            <w:tcW w:w="1134" w:type="dxa"/>
            <w:tcBorders>
              <w:top w:val="single" w:sz="4" w:space="0" w:color="auto"/>
              <w:left w:val="single" w:sz="4" w:space="0" w:color="000000"/>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single" w:sz="4" w:space="0" w:color="auto"/>
              <w:left w:val="single" w:sz="4" w:space="0" w:color="000000"/>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w:t>
            </w:r>
          </w:p>
        </w:tc>
        <w:tc>
          <w:tcPr>
            <w:tcW w:w="873" w:type="dxa"/>
            <w:tcBorders>
              <w:top w:val="single" w:sz="4" w:space="0" w:color="auto"/>
              <w:left w:val="single" w:sz="4" w:space="0" w:color="auto"/>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noWrap/>
            <w:vAlign w:val="center"/>
          </w:tcPr>
          <w:p w:rsidR="001B3603" w:rsidRDefault="001B3603">
            <w:pPr>
              <w:widowControl/>
              <w:spacing w:line="260" w:lineRule="exact"/>
              <w:jc w:val="left"/>
              <w:rPr>
                <w:rFonts w:ascii="仿宋_GB2312" w:eastAsia="仿宋_GB2312" w:hAnsi="仿宋_GB2312" w:cs="仿宋_GB2312"/>
                <w:color w:val="000000"/>
                <w:sz w:val="20"/>
                <w:szCs w:val="20"/>
              </w:rPr>
            </w:pPr>
          </w:p>
        </w:tc>
      </w:tr>
      <w:tr w:rsidR="001B3603">
        <w:trPr>
          <w:jc w:val="center"/>
        </w:trPr>
        <w:tc>
          <w:tcPr>
            <w:tcW w:w="1080" w:type="dxa"/>
            <w:vMerge/>
            <w:tcBorders>
              <w:left w:val="single" w:sz="4" w:space="0" w:color="auto"/>
              <w:right w:val="single" w:sz="4" w:space="0" w:color="000000"/>
            </w:tcBorders>
            <w:noWrap/>
            <w:vAlign w:val="center"/>
          </w:tcPr>
          <w:p w:rsidR="001B3603" w:rsidRDefault="001B3603">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000000"/>
              <w:left w:val="single" w:sz="4" w:space="0" w:color="000000"/>
              <w:bottom w:val="single" w:sz="4" w:space="0" w:color="000000"/>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nil"/>
              <w:left w:val="single" w:sz="4" w:space="0" w:color="000000"/>
              <w:bottom w:val="single" w:sz="4" w:space="0" w:color="000000"/>
              <w:right w:val="single" w:sz="4" w:space="0" w:color="000000"/>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人民群众满意度</w:t>
            </w:r>
          </w:p>
        </w:tc>
        <w:tc>
          <w:tcPr>
            <w:tcW w:w="1134" w:type="dxa"/>
            <w:tcBorders>
              <w:top w:val="nil"/>
              <w:left w:val="single" w:sz="4" w:space="0" w:color="000000"/>
              <w:bottom w:val="single" w:sz="4" w:space="0" w:color="000000"/>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34" w:type="dxa"/>
            <w:tcBorders>
              <w:top w:val="nil"/>
              <w:left w:val="single" w:sz="4" w:space="0" w:color="000000"/>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有待进一步提升。加强宣</w:t>
            </w:r>
            <w:proofErr w:type="gramStart"/>
            <w:r>
              <w:rPr>
                <w:rFonts w:ascii="仿宋_GB2312" w:eastAsia="仿宋_GB2312" w:hAnsi="仿宋_GB2312" w:cs="仿宋_GB2312" w:hint="eastAsia"/>
                <w:color w:val="000000"/>
                <w:sz w:val="20"/>
                <w:szCs w:val="20"/>
              </w:rPr>
              <w:t>贯</w:t>
            </w:r>
            <w:proofErr w:type="gramEnd"/>
            <w:r>
              <w:rPr>
                <w:rFonts w:ascii="仿宋_GB2312" w:eastAsia="仿宋_GB2312" w:hAnsi="仿宋_GB2312" w:cs="仿宋_GB2312" w:hint="eastAsia"/>
                <w:color w:val="000000"/>
                <w:sz w:val="20"/>
                <w:szCs w:val="20"/>
              </w:rPr>
              <w:t>。</w:t>
            </w:r>
          </w:p>
        </w:tc>
      </w:tr>
      <w:tr w:rsidR="001B3603">
        <w:trPr>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1B3603" w:rsidRDefault="005B40A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96.5</w:t>
            </w:r>
          </w:p>
        </w:tc>
        <w:tc>
          <w:tcPr>
            <w:tcW w:w="1418" w:type="dxa"/>
            <w:tcBorders>
              <w:top w:val="nil"/>
              <w:left w:val="nil"/>
              <w:bottom w:val="single" w:sz="4" w:space="0" w:color="auto"/>
              <w:right w:val="single" w:sz="4" w:space="0" w:color="auto"/>
            </w:tcBorders>
            <w:noWrap/>
            <w:vAlign w:val="center"/>
          </w:tcPr>
          <w:p w:rsidR="001B3603" w:rsidRDefault="005B40A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bookmarkEnd w:id="1"/>
    </w:tbl>
    <w:p w:rsidR="001B3603" w:rsidRDefault="001B3603"/>
    <w:p w:rsidR="001B3603" w:rsidRDefault="001B3603">
      <w:pPr>
        <w:rPr>
          <w:rFonts w:ascii="黑体" w:eastAsia="黑体" w:hAnsi="黑体" w:cs="黑体"/>
          <w:sz w:val="32"/>
          <w:szCs w:val="32"/>
        </w:rPr>
      </w:pPr>
    </w:p>
    <w:p w:rsidR="001B3603" w:rsidRDefault="001B3603">
      <w:pPr>
        <w:rPr>
          <w:rFonts w:ascii="黑体" w:eastAsia="黑体" w:hAnsi="黑体" w:cs="黑体"/>
          <w:sz w:val="32"/>
          <w:szCs w:val="32"/>
        </w:rPr>
      </w:pPr>
    </w:p>
    <w:bookmarkEnd w:id="0"/>
    <w:p w:rsidR="001B3603" w:rsidRDefault="001B3603">
      <w:pPr>
        <w:spacing w:line="360" w:lineRule="auto"/>
        <w:rPr>
          <w:rFonts w:ascii="仿宋_GB2312" w:eastAsia="仿宋_GB2312" w:hAnsi="仿宋_GB2312" w:cs="仿宋_GB2312"/>
          <w:sz w:val="32"/>
          <w:szCs w:val="32"/>
        </w:rPr>
      </w:pPr>
    </w:p>
    <w:sectPr w:rsidR="001B3603" w:rsidSect="001B36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0AB" w:rsidRDefault="005B40AB" w:rsidP="005B40AB">
      <w:r>
        <w:separator/>
      </w:r>
    </w:p>
  </w:endnote>
  <w:endnote w:type="continuationSeparator" w:id="1">
    <w:p w:rsidR="005B40AB" w:rsidRDefault="005B40AB" w:rsidP="005B4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方正小标宋简体">
    <w:altName w:val="方正舒体"/>
    <w:charset w:val="86"/>
    <w:family w:val="auto"/>
    <w:pitch w:val="default"/>
    <w:sig w:usb0="00000000" w:usb1="00000000" w:usb2="00000012"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0AB" w:rsidRDefault="005B40AB" w:rsidP="005B40AB">
      <w:r>
        <w:separator/>
      </w:r>
    </w:p>
  </w:footnote>
  <w:footnote w:type="continuationSeparator" w:id="1">
    <w:p w:rsidR="005B40AB" w:rsidRDefault="005B40AB" w:rsidP="005B4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0EF502"/>
    <w:multiLevelType w:val="singleLevel"/>
    <w:tmpl w:val="DD0EF502"/>
    <w:lvl w:ilvl="0">
      <w:start w:val="1"/>
      <w:numFmt w:val="chineseCounting"/>
      <w:suff w:val="nothing"/>
      <w:lvlText w:val="%1、"/>
      <w:lvlJc w:val="left"/>
      <w:rPr>
        <w:rFonts w:hint="eastAsia"/>
      </w:rPr>
    </w:lvl>
  </w:abstractNum>
  <w:abstractNum w:abstractNumId="1">
    <w:nsid w:val="F1E9EC40"/>
    <w:multiLevelType w:val="singleLevel"/>
    <w:tmpl w:val="F1E9EC40"/>
    <w:lvl w:ilvl="0">
      <w:start w:val="8"/>
      <w:numFmt w:val="chineseCounting"/>
      <w:suff w:val="nothing"/>
      <w:lvlText w:val="%1、"/>
      <w:lvlJc w:val="left"/>
      <w:rPr>
        <w:rFonts w:hint="eastAsia"/>
      </w:rPr>
    </w:lvl>
  </w:abstractNum>
  <w:abstractNum w:abstractNumId="2">
    <w:nsid w:val="F32D249D"/>
    <w:multiLevelType w:val="singleLevel"/>
    <w:tmpl w:val="F32D249D"/>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YyNTA4MzYzMjZhZWYzN2MyMTVkZDY3ZGUwNjQ0Y2IifQ=="/>
  </w:docVars>
  <w:rsids>
    <w:rsidRoot w:val="59886344"/>
    <w:rsid w:val="DFEF884A"/>
    <w:rsid w:val="00034C17"/>
    <w:rsid w:val="001B3603"/>
    <w:rsid w:val="001D4970"/>
    <w:rsid w:val="003E5D69"/>
    <w:rsid w:val="00437D14"/>
    <w:rsid w:val="005B40AB"/>
    <w:rsid w:val="007A6711"/>
    <w:rsid w:val="00835001"/>
    <w:rsid w:val="008E7A4D"/>
    <w:rsid w:val="00B75C91"/>
    <w:rsid w:val="00D33A98"/>
    <w:rsid w:val="00D7136D"/>
    <w:rsid w:val="00F90A5E"/>
    <w:rsid w:val="00FC6313"/>
    <w:rsid w:val="00FD11C0"/>
    <w:rsid w:val="191E2FE5"/>
    <w:rsid w:val="19B3384E"/>
    <w:rsid w:val="3B287A89"/>
    <w:rsid w:val="3C42645E"/>
    <w:rsid w:val="3DD73903"/>
    <w:rsid w:val="439C027C"/>
    <w:rsid w:val="491740DA"/>
    <w:rsid w:val="4BC2038E"/>
    <w:rsid w:val="4FBB3515"/>
    <w:rsid w:val="51D5399B"/>
    <w:rsid w:val="54D905A3"/>
    <w:rsid w:val="59886344"/>
    <w:rsid w:val="5A716FFD"/>
    <w:rsid w:val="5F7104A2"/>
    <w:rsid w:val="74416C47"/>
    <w:rsid w:val="796F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603"/>
    <w:pPr>
      <w:widowControl w:val="0"/>
      <w:jc w:val="both"/>
    </w:pPr>
    <w:rPr>
      <w:rFonts w:ascii="仿宋" w:hAnsi="仿宋"/>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1B3603"/>
    <w:rPr>
      <w:rFonts w:eastAsia="仿宋" w:cs="仿宋"/>
      <w:sz w:val="31"/>
      <w:szCs w:val="31"/>
      <w:lang w:eastAsia="en-US"/>
    </w:rPr>
  </w:style>
  <w:style w:type="paragraph" w:styleId="a4">
    <w:name w:val="Body Text Indent"/>
    <w:basedOn w:val="a"/>
    <w:qFormat/>
    <w:rsid w:val="001B3603"/>
    <w:pPr>
      <w:spacing w:line="360" w:lineRule="auto"/>
      <w:ind w:firstLineChars="200" w:firstLine="420"/>
    </w:pPr>
  </w:style>
  <w:style w:type="paragraph" w:styleId="a5">
    <w:name w:val="footer"/>
    <w:basedOn w:val="a"/>
    <w:link w:val="Char"/>
    <w:qFormat/>
    <w:rsid w:val="001B3603"/>
    <w:pPr>
      <w:tabs>
        <w:tab w:val="center" w:pos="4153"/>
        <w:tab w:val="right" w:pos="8306"/>
      </w:tabs>
      <w:snapToGrid w:val="0"/>
      <w:jc w:val="left"/>
    </w:pPr>
    <w:rPr>
      <w:sz w:val="18"/>
      <w:szCs w:val="18"/>
    </w:rPr>
  </w:style>
  <w:style w:type="paragraph" w:styleId="a6">
    <w:name w:val="header"/>
    <w:basedOn w:val="a"/>
    <w:uiPriority w:val="99"/>
    <w:qFormat/>
    <w:rsid w:val="001B3603"/>
    <w:pPr>
      <w:tabs>
        <w:tab w:val="center" w:pos="4153"/>
        <w:tab w:val="right" w:pos="8306"/>
      </w:tabs>
      <w:snapToGrid w:val="0"/>
      <w:jc w:val="center"/>
    </w:pPr>
    <w:rPr>
      <w:sz w:val="18"/>
      <w:szCs w:val="18"/>
    </w:rPr>
  </w:style>
  <w:style w:type="paragraph" w:styleId="2">
    <w:name w:val="Body Text First Indent 2"/>
    <w:basedOn w:val="a4"/>
    <w:qFormat/>
    <w:rsid w:val="001B3603"/>
    <w:pPr>
      <w:spacing w:after="120" w:line="240" w:lineRule="auto"/>
      <w:ind w:leftChars="200" w:left="420"/>
    </w:pPr>
  </w:style>
  <w:style w:type="paragraph" w:customStyle="1" w:styleId="1">
    <w:name w:val="列出段落1"/>
    <w:basedOn w:val="a"/>
    <w:uiPriority w:val="34"/>
    <w:qFormat/>
    <w:rsid w:val="001B3603"/>
    <w:pPr>
      <w:ind w:firstLineChars="200" w:firstLine="420"/>
    </w:pPr>
  </w:style>
  <w:style w:type="paragraph" w:styleId="a7">
    <w:name w:val="List Paragraph"/>
    <w:basedOn w:val="a"/>
    <w:uiPriority w:val="99"/>
    <w:qFormat/>
    <w:rsid w:val="001B3603"/>
    <w:pPr>
      <w:ind w:firstLineChars="200" w:firstLine="420"/>
    </w:pPr>
    <w:rPr>
      <w:rFonts w:ascii="Calibri" w:hAnsi="Calibri"/>
      <w:szCs w:val="22"/>
    </w:rPr>
  </w:style>
  <w:style w:type="character" w:customStyle="1" w:styleId="Char">
    <w:name w:val="页脚 Char"/>
    <w:basedOn w:val="a0"/>
    <w:link w:val="a5"/>
    <w:qFormat/>
    <w:rsid w:val="001B3603"/>
    <w:rPr>
      <w:rFonts w:ascii="仿宋" w:hAnsi="仿宋"/>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24</Pages>
  <Words>10642</Words>
  <Characters>3332</Characters>
  <Application>Microsoft Office Word</Application>
  <DocSecurity>0</DocSecurity>
  <Lines>27</Lines>
  <Paragraphs>27</Paragraphs>
  <ScaleCrop>false</ScaleCrop>
  <Company>Microsoft</Company>
  <LinksUpToDate>false</LinksUpToDate>
  <CharactersWithSpaces>13947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8</cp:revision>
  <cp:lastPrinted>2024-06-26T09:12:00Z</cp:lastPrinted>
  <dcterms:created xsi:type="dcterms:W3CDTF">2024-06-18T08:03:00Z</dcterms:created>
  <dcterms:modified xsi:type="dcterms:W3CDTF">2024-06-26T10:01:00Z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7C80C4A6463C4C9FAD78B88ED62C4C1E_13</vt:lpwstr>
  </property>
</Properties>
</file>