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ind w:leftChars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sz w:val="72"/>
          <w:szCs w:val="72"/>
        </w:rPr>
        <w:t>湖南非税收缴管理系统</w:t>
      </w:r>
    </w:p>
    <w:p>
      <w:pPr>
        <w:pStyle w:val="2"/>
        <w:numPr>
          <w:ilvl w:val="0"/>
          <w:numId w:val="0"/>
        </w:numPr>
        <w:bidi w:val="0"/>
        <w:ind w:leftChars="0"/>
        <w:jc w:val="center"/>
        <w:rPr>
          <w:rFonts w:hint="eastAsia" w:ascii="宋体" w:hAnsi="宋体" w:eastAsia="宋体" w:cs="宋体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44"/>
          <w:szCs w:val="44"/>
          <w:lang w:val="en-US" w:eastAsia="zh-CN" w:bidi="ar-SA"/>
        </w:rPr>
        <w:t>（其他电子票据管理平台开票指南）</w:t>
      </w:r>
    </w:p>
    <w:p>
      <w:pPr>
        <w:rPr>
          <w:rFonts w:hint="eastAsia" w:ascii="黑体" w:hAnsi="黑体" w:eastAsia="黑体" w:cstheme="minorBidi"/>
          <w:kern w:val="0"/>
          <w:sz w:val="32"/>
          <w:szCs w:val="32"/>
          <w:lang w:val="en-US" w:eastAsia="zh-CN" w:bidi="ar-SA"/>
        </w:rPr>
      </w:pPr>
    </w:p>
    <w:p>
      <w:pPr>
        <w:pStyle w:val="3"/>
        <w:bidi w:val="0"/>
        <w:rPr>
          <w:rFonts w:hint="eastAsia"/>
          <w:sz w:val="32"/>
          <w:szCs w:val="32"/>
          <w:lang w:val="en-US" w:eastAsia="zh-CN"/>
        </w:rPr>
      </w:pPr>
      <w:bookmarkStart w:id="0" w:name="_Toc2624"/>
      <w:r>
        <w:rPr>
          <w:rFonts w:hint="eastAsia"/>
          <w:sz w:val="32"/>
          <w:szCs w:val="32"/>
          <w:lang w:val="en-US" w:eastAsia="zh-CN"/>
        </w:rPr>
        <w:t>登录</w:t>
      </w:r>
      <w:bookmarkEnd w:id="0"/>
    </w:p>
    <w:p>
      <w:pPr>
        <w:ind w:firstLine="960" w:firstLineChars="300"/>
        <w:rPr>
          <w:rFonts w:hint="eastAsia" w:ascii="黑体" w:hAnsi="黑体" w:cstheme="minorBidi"/>
          <w:b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kern w:val="0"/>
          <w:sz w:val="32"/>
          <w:szCs w:val="32"/>
          <w:lang w:val="en-US" w:eastAsia="zh-CN" w:bidi="ar-SA"/>
        </w:rPr>
        <w:t>浏览器访问财政联网端，网址：</w:t>
      </w:r>
      <w:r>
        <w:rPr>
          <w:rFonts w:hint="eastAsia" w:ascii="黑体" w:hAnsi="黑体" w:eastAsia="黑体" w:cstheme="minorBidi"/>
          <w:b w:val="0"/>
          <w:color w:val="FF0000"/>
          <w:kern w:val="0"/>
          <w:sz w:val="32"/>
          <w:szCs w:val="32"/>
          <w:u w:val="none"/>
          <w:lang w:val="en-US" w:eastAsia="zh-CN" w:bidi="ar-SA"/>
        </w:rPr>
        <w:t>http://222.244.103.73:8900/othersbill/#/login</w:t>
      </w:r>
      <w:r>
        <w:rPr>
          <w:rFonts w:hint="eastAsia" w:ascii="黑体" w:hAnsi="黑体" w:cstheme="minorBidi"/>
          <w:b w:val="0"/>
          <w:color w:val="FF0000"/>
          <w:kern w:val="0"/>
          <w:sz w:val="32"/>
          <w:szCs w:val="32"/>
          <w:u w:val="none"/>
          <w:lang w:val="en-US" w:eastAsia="zh-CN" w:bidi="ar-SA"/>
        </w:rPr>
        <w:t>，操作用户见附表《岳阳市社会团体单位用户信息表》</w:t>
      </w:r>
    </w:p>
    <w:p>
      <w:pPr>
        <w:ind w:firstLine="960" w:firstLineChars="300"/>
        <w:rPr>
          <w:rFonts w:hint="default" w:ascii="黑体" w:hAnsi="黑体" w:cstheme="minorBidi"/>
          <w:b w:val="0"/>
          <w:kern w:val="0"/>
          <w:sz w:val="32"/>
          <w:szCs w:val="32"/>
          <w:lang w:val="en-US" w:eastAsia="zh-CN" w:bidi="ar-SA"/>
        </w:rPr>
      </w:pPr>
      <w:bookmarkStart w:id="1" w:name="_GoBack"/>
      <w:bookmarkEnd w:id="1"/>
    </w:p>
    <w:p>
      <w:pPr>
        <w:pStyle w:val="3"/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基础信息同步</w:t>
      </w:r>
    </w:p>
    <w:p>
      <w:pPr>
        <w:pStyle w:val="4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1、收费项目查询</w:t>
      </w:r>
    </w:p>
    <w:p>
      <w:pPr>
        <w:spacing w:line="360" w:lineRule="auto"/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查看财政对单位分配的收费项目信息。</w:t>
      </w:r>
    </w:p>
    <w:p>
      <w:pPr>
        <w:ind w:firstLine="420" w:firstLineChars="0"/>
      </w:pPr>
      <w:r>
        <w:drawing>
          <wp:inline distT="0" distB="0" distL="114300" distR="114300">
            <wp:extent cx="5267325" cy="1570355"/>
            <wp:effectExtent l="0" t="0" r="571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项目同步：</w:t>
      </w:r>
      <w:r>
        <w:rPr>
          <w:rFonts w:hint="eastAsia"/>
          <w:sz w:val="28"/>
          <w:szCs w:val="36"/>
          <w:lang w:val="en-US" w:eastAsia="zh-CN"/>
        </w:rPr>
        <w:t>调用省中台接口获取单位可使用的收费项目信息。</w:t>
      </w:r>
    </w:p>
    <w:p>
      <w:pPr>
        <w:pStyle w:val="4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2、单位票据挂接查询</w:t>
      </w: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查询单位可使用的电子票据种类信息。</w:t>
      </w:r>
    </w:p>
    <w:p>
      <w:p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单位可使用的票据种类是由财政人员在财政端给单位挂接的票据，如财政端已挂接，而系统中未显示，需要通过“基础数据”--&gt;“单位信息管理”--&gt;“单位详情信息同步”功能，同步票据的基础信息。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72405" cy="1466215"/>
            <wp:effectExtent l="0" t="0" r="635" b="120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ascii="黑体" w:hAnsi="黑体" w:eastAsia="黑体" w:cstheme="minorBidi"/>
          <w:kern w:val="0"/>
          <w:sz w:val="32"/>
          <w:szCs w:val="32"/>
          <w:lang w:val="en-US" w:eastAsia="zh-CN" w:bidi="ar-SA"/>
        </w:rPr>
      </w:pPr>
    </w:p>
    <w:p>
      <w:pPr>
        <w:rPr>
          <w:rFonts w:hint="default" w:ascii="黑体" w:hAnsi="黑体" w:eastAsia="黑体" w:cstheme="minorBidi"/>
          <w:kern w:val="0"/>
          <w:sz w:val="32"/>
          <w:szCs w:val="32"/>
          <w:lang w:val="en-US" w:eastAsia="zh-CN" w:bidi="ar-SA"/>
        </w:rPr>
      </w:pPr>
    </w:p>
    <w:p>
      <w:pPr>
        <w:pStyle w:val="3"/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其他财政票据申请</w:t>
      </w:r>
    </w:p>
    <w:p>
      <w:p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 w:ascii="黑体" w:hAnsi="黑体" w:eastAsia="黑体" w:cstheme="minorBidi"/>
          <w:b w:val="0"/>
          <w:kern w:val="0"/>
          <w:sz w:val="32"/>
          <w:szCs w:val="32"/>
          <w:lang w:val="en-US" w:eastAsia="zh-CN" w:bidi="ar-SA"/>
        </w:rPr>
        <w:t>票据申请类型和电子缴款书申请一样分为年度票据和备用票据。填写年度用票计划(年底)或补充用票计划(年中)，并通过联网单位提交到财政端系统。</w:t>
      </w:r>
    </w:p>
    <w:p>
      <w:pPr>
        <w:ind w:firstLine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1227455"/>
            <wp:effectExtent l="0" t="0" r="1905" b="698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30" w:firstLineChars="300"/>
        <w:rPr>
          <w:sz w:val="32"/>
          <w:szCs w:val="32"/>
        </w:rPr>
      </w:pPr>
      <w:r>
        <w:drawing>
          <wp:inline distT="0" distB="0" distL="114300" distR="114300">
            <wp:extent cx="5269865" cy="2741930"/>
            <wp:effectExtent l="0" t="0" r="3175" b="127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pStyle w:val="3"/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其他财政票据使用</w:t>
      </w:r>
    </w:p>
    <w:p>
      <w:pPr>
        <w:pStyle w:val="4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1、往来票据开具</w:t>
      </w: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填写缴款人代码、缴款人名称，选择收费项目、录入数量、金额及其他信息(备注)完成“湖南省资金往来结算票据 (电子)”的开具。</w:t>
      </w:r>
    </w:p>
    <w:p>
      <w:pPr>
        <w:ind w:firstLine="420" w:firstLineChars="0"/>
      </w:pPr>
      <w:r>
        <w:drawing>
          <wp:inline distT="0" distB="0" distL="114300" distR="114300">
            <wp:extent cx="5274310" cy="1003300"/>
            <wp:effectExtent l="0" t="0" r="13970" b="254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</w:pPr>
      <w:r>
        <w:drawing>
          <wp:inline distT="0" distB="0" distL="114300" distR="114300">
            <wp:extent cx="5270500" cy="3830955"/>
            <wp:effectExtent l="0" t="0" r="2540" b="9525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3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开具</w:t>
      </w:r>
      <w:r>
        <w:rPr>
          <w:rFonts w:hint="eastAsia"/>
          <w:sz w:val="28"/>
          <w:szCs w:val="36"/>
          <w:lang w:val="en-US" w:eastAsia="zh-CN"/>
        </w:rPr>
        <w:t>：弹框展示开具界面，录入相关信息后，完成票据的开具。</w:t>
      </w: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查看票据</w:t>
      </w:r>
      <w:r>
        <w:rPr>
          <w:rFonts w:hint="eastAsia"/>
          <w:sz w:val="28"/>
          <w:szCs w:val="36"/>
          <w:lang w:val="en-US" w:eastAsia="zh-CN"/>
        </w:rPr>
        <w:t>：勾选一条记录查看电子票据版式文件。</w:t>
      </w: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冲红</w:t>
      </w:r>
      <w:r>
        <w:rPr>
          <w:rFonts w:hint="eastAsia"/>
          <w:sz w:val="28"/>
          <w:szCs w:val="36"/>
          <w:lang w:val="en-US" w:eastAsia="zh-CN"/>
        </w:rPr>
        <w:t>：勾选一条已生成电子票据的记录，弹框展示票据信息，填写冲红原因，对勾选的记录进行冲红处理。</w:t>
      </w: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上传</w:t>
      </w:r>
      <w:r>
        <w:rPr>
          <w:rFonts w:hint="eastAsia"/>
          <w:sz w:val="28"/>
          <w:szCs w:val="36"/>
          <w:lang w:val="en-US" w:eastAsia="zh-CN"/>
        </w:rPr>
        <w:t>：对未上传的数据进行重传到省中台。</w:t>
      </w:r>
    </w:p>
    <w:p>
      <w:pPr>
        <w:ind w:firstLine="420" w:firstLineChars="0"/>
        <w:rPr>
          <w:rFonts w:hint="default"/>
          <w:sz w:val="28"/>
          <w:szCs w:val="36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2、捐赠票据开具</w:t>
      </w: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填写缴款人代码、缴款人名称，选择收费项目、录入数量、金额及其他信息(备注)完成“湖南省公益事业捐赠票据 (电子)”的开具。</w:t>
      </w:r>
    </w:p>
    <w:p>
      <w:pPr>
        <w:ind w:firstLine="420" w:firstLineChars="0"/>
      </w:pPr>
      <w:r>
        <w:drawing>
          <wp:inline distT="0" distB="0" distL="114300" distR="114300">
            <wp:extent cx="5271135" cy="1107440"/>
            <wp:effectExtent l="0" t="0" r="1905" b="508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</w:pPr>
      <w:r>
        <w:drawing>
          <wp:inline distT="0" distB="0" distL="114300" distR="114300">
            <wp:extent cx="5265420" cy="3894455"/>
            <wp:effectExtent l="0" t="0" r="7620" b="698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89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开具</w:t>
      </w:r>
      <w:r>
        <w:rPr>
          <w:rFonts w:hint="eastAsia"/>
          <w:sz w:val="28"/>
          <w:szCs w:val="36"/>
          <w:lang w:val="en-US" w:eastAsia="zh-CN"/>
        </w:rPr>
        <w:t>：弹框展示开具界面，录入相关信息后，完成票据的开具。</w:t>
      </w: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查看票据</w:t>
      </w:r>
      <w:r>
        <w:rPr>
          <w:rFonts w:hint="eastAsia"/>
          <w:sz w:val="28"/>
          <w:szCs w:val="36"/>
          <w:lang w:val="en-US" w:eastAsia="zh-CN"/>
        </w:rPr>
        <w:t>：勾选一条记录查看电子票据版式文件。</w:t>
      </w: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冲红</w:t>
      </w:r>
      <w:r>
        <w:rPr>
          <w:rFonts w:hint="eastAsia"/>
          <w:sz w:val="28"/>
          <w:szCs w:val="36"/>
          <w:lang w:val="en-US" w:eastAsia="zh-CN"/>
        </w:rPr>
        <w:t>：勾选一条已生成电子票据的记录，弹框展示票据信息，填写冲红原因，对勾选的记录进行冲红处理。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上传</w:t>
      </w:r>
      <w:r>
        <w:rPr>
          <w:rFonts w:hint="eastAsia"/>
          <w:sz w:val="28"/>
          <w:szCs w:val="36"/>
          <w:lang w:val="en-US" w:eastAsia="zh-CN"/>
        </w:rPr>
        <w:t>：对未上传的数据进行重传到省中台。</w:t>
      </w:r>
    </w:p>
    <w:p>
      <w:pPr>
        <w:pStyle w:val="4"/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0"/>
        </w:numPr>
        <w:bidi w:val="0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3、社团票据开具</w:t>
      </w: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填写缴款人代码、缴款人名称，选择收费项目、录入数量、金额及其他信息(备注)完成“湖南省社会团体会费票据 (电子)”的开具。</w:t>
      </w:r>
    </w:p>
    <w:p>
      <w:pPr>
        <w:ind w:firstLine="420" w:firstLineChars="0"/>
      </w:pPr>
      <w:r>
        <w:drawing>
          <wp:inline distT="0" distB="0" distL="114300" distR="114300">
            <wp:extent cx="5267325" cy="901700"/>
            <wp:effectExtent l="0" t="0" r="5715" b="1270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</w:pPr>
      <w:r>
        <w:drawing>
          <wp:inline distT="0" distB="0" distL="114300" distR="114300">
            <wp:extent cx="5265420" cy="3877945"/>
            <wp:effectExtent l="0" t="0" r="7620" b="8255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87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开具</w:t>
      </w:r>
      <w:r>
        <w:rPr>
          <w:rFonts w:hint="eastAsia"/>
          <w:sz w:val="28"/>
          <w:szCs w:val="36"/>
          <w:lang w:val="en-US" w:eastAsia="zh-CN"/>
        </w:rPr>
        <w:t>：弹框展示开具界面，录入相关信息后，完成票据的开具。</w:t>
      </w: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查看票据</w:t>
      </w:r>
      <w:r>
        <w:rPr>
          <w:rFonts w:hint="eastAsia"/>
          <w:sz w:val="28"/>
          <w:szCs w:val="36"/>
          <w:lang w:val="en-US" w:eastAsia="zh-CN"/>
        </w:rPr>
        <w:t>：勾选一条记录查看电子票据版式文件。</w:t>
      </w: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冲红</w:t>
      </w:r>
      <w:r>
        <w:rPr>
          <w:rFonts w:hint="eastAsia"/>
          <w:sz w:val="28"/>
          <w:szCs w:val="36"/>
          <w:lang w:val="en-US" w:eastAsia="zh-CN"/>
        </w:rPr>
        <w:t>：勾选一条已生成电子票据的记录，弹框展示票据信息，填写冲红原因，对勾选的记录进行冲红处理。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上传</w:t>
      </w:r>
      <w:r>
        <w:rPr>
          <w:rFonts w:hint="eastAsia"/>
          <w:sz w:val="28"/>
          <w:szCs w:val="36"/>
          <w:lang w:val="en-US" w:eastAsia="zh-CN"/>
        </w:rPr>
        <w:t>：对未上传的数据进行重传到省中台。</w:t>
      </w:r>
    </w:p>
    <w:p>
      <w:pPr>
        <w:pStyle w:val="3"/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电子票据入账</w:t>
      </w: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对开具的正常票据进行入账处理。</w:t>
      </w:r>
    </w:p>
    <w:p>
      <w:pPr>
        <w:ind w:firstLine="420" w:firstLineChars="0"/>
      </w:pPr>
      <w:r>
        <w:drawing>
          <wp:inline distT="0" distB="0" distL="114300" distR="114300">
            <wp:extent cx="5273675" cy="1396365"/>
            <wp:effectExtent l="0" t="0" r="14605" b="5715"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入账登记</w:t>
      </w:r>
      <w:r>
        <w:rPr>
          <w:rFonts w:hint="eastAsia"/>
          <w:sz w:val="28"/>
          <w:szCs w:val="36"/>
          <w:lang w:val="en-US" w:eastAsia="zh-CN"/>
        </w:rPr>
        <w:t>：勾选同一个票种的开票记录，选择入账日期、入账凭证号，进行入账操作，同时如果有附件上传需求时，也可以上传附件信息，如下图：</w:t>
      </w:r>
    </w:p>
    <w:p>
      <w:pPr>
        <w:ind w:firstLine="420" w:firstLineChars="0"/>
      </w:pPr>
      <w:r>
        <w:drawing>
          <wp:inline distT="0" distB="0" distL="114300" distR="114300">
            <wp:extent cx="5271135" cy="2030730"/>
            <wp:effectExtent l="0" t="0" r="1905" b="11430"/>
            <wp:docPr id="2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查看入账详情</w:t>
      </w:r>
      <w:r>
        <w:rPr>
          <w:rFonts w:hint="eastAsia"/>
          <w:sz w:val="28"/>
          <w:szCs w:val="36"/>
          <w:lang w:val="en-US" w:eastAsia="zh-CN"/>
        </w:rPr>
        <w:t>：勾选已入账的开票记录，查看该开票对应的入账详情信息，如下图：</w:t>
      </w:r>
    </w:p>
    <w:p>
      <w:pPr>
        <w:ind w:firstLine="420" w:firstLineChars="0"/>
      </w:pPr>
      <w:r>
        <w:drawing>
          <wp:inline distT="0" distB="0" distL="114300" distR="114300">
            <wp:extent cx="5272405" cy="2699385"/>
            <wp:effectExtent l="0" t="0" r="635" b="13335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撤销入账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：对已入账的记录，根据入账批次号进行撤销入账，撤销入账时，需要填写批次号信息，用户可以手动输入批次号或勾选已入账的记录，自动获取批次号，进行入账操作。如下图：</w:t>
      </w:r>
    </w:p>
    <w:p>
      <w:pPr>
        <w:ind w:firstLine="420" w:firstLineChars="0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38750" cy="3000375"/>
            <wp:effectExtent l="0" t="0" r="3810" b="1905"/>
            <wp:docPr id="2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ind w:firstLine="420" w:firstLineChars="0"/>
        <w:rPr>
          <w:rFonts w:hint="default"/>
          <w:lang w:val="en-US" w:eastAsia="zh-CN"/>
        </w:rPr>
      </w:pPr>
    </w:p>
    <w:p>
      <w:pPr>
        <w:pStyle w:val="3"/>
        <w:bidi w:val="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电子票据开票情况表</w:t>
      </w:r>
    </w:p>
    <w:p>
      <w:pPr>
        <w:ind w:firstLine="42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根据单位、年度、开票日期等条件统计业务单位在当前条件下的开票数量、开票金额、冲红数量、冲红金额、红票数量、红票金额等开票统计情况，并支持对查询的结果进行导出功能；</w:t>
      </w:r>
    </w:p>
    <w:p>
      <w:pPr>
        <w:ind w:firstLine="42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1311275"/>
            <wp:effectExtent l="0" t="0" r="4445" b="14605"/>
            <wp:docPr id="1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1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/>
        </w:rPr>
      </w:pPr>
    </w:p>
    <w:p>
      <w:pPr>
        <w:numPr>
          <w:ilvl w:val="0"/>
          <w:numId w:val="0"/>
        </w:num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39CC9"/>
    <w:multiLevelType w:val="multilevel"/>
    <w:tmpl w:val="45B39CC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M2IwOTNhNDJkZThhMzAyOGJiNmJhNTQ0YTkwYjUifQ=="/>
  </w:docVars>
  <w:rsids>
    <w:rsidRoot w:val="23913397"/>
    <w:rsid w:val="23913397"/>
    <w:rsid w:val="4859649B"/>
    <w:rsid w:val="5E73701B"/>
    <w:rsid w:val="7830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0" w:firstLine="0"/>
      <w:outlineLvl w:val="0"/>
    </w:pPr>
    <w:rPr>
      <w:rFonts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0" w:firstLine="0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无间隔1"/>
    <w:qFormat/>
    <w:uiPriority w:val="0"/>
    <w:rPr>
      <w:rFonts w:ascii="Times New Roman" w:hAnsi="Times New Roman" w:eastAsia="宋体" w:cstheme="minorBidi"/>
      <w:sz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2024-03-18T03:08:00Z</dcterms:created>
  <dc:creator>逍遥金刀</dc:creator>
  <cp:lastModifiedBy>逍遥金刀</cp:lastModifiedBy>
  <dcterms:modified xsi:type="dcterms:W3CDTF">2024-04-03T00:30:46Z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7E7D108ECA02452093B343C1F409B1B0_11</vt:lpwstr>
  </property>
</Properties>
</file>