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380"/>
        <w:rPr>
          <w:rFonts w:hint="eastAsia" w:ascii="黑体" w:hAnsi="黑体" w:eastAsia="黑体" w:cs="黑体"/>
          <w:sz w:val="32"/>
          <w:szCs w:val="32"/>
          <w:lang w:val="zh-CN" w:eastAsia="zh-CN" w:bidi="zh-CN"/>
        </w:rPr>
      </w:pPr>
      <w:r>
        <w:rPr>
          <w:rFonts w:hint="eastAsia" w:ascii="黑体" w:hAnsi="黑体" w:eastAsia="黑体" w:cs="黑体"/>
          <w:sz w:val="32"/>
          <w:szCs w:val="32"/>
        </w:rPr>
        <w:t>附件</w:t>
      </w:r>
      <w:r>
        <w:rPr>
          <w:rFonts w:hint="eastAsia" w:ascii="黑体" w:hAnsi="黑体" w:eastAsia="黑体" w:cs="黑体"/>
          <w:sz w:val="32"/>
          <w:szCs w:val="32"/>
          <w:lang w:val="zh-CN" w:eastAsia="zh-CN" w:bidi="zh-CN"/>
        </w:rPr>
        <w:t>2</w:t>
      </w:r>
      <w:bookmarkStart w:id="0" w:name="bookmark2"/>
      <w:bookmarkStart w:id="1" w:name="bookmark0"/>
      <w:bookmarkStart w:id="2" w:name="bookmark1"/>
    </w:p>
    <w:p>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中央企业独立工矿区市政社区等办社会</w:t>
      </w:r>
    </w:p>
    <w:p>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职能运营补助资金预算绩效目标表</w:t>
      </w:r>
      <w:bookmarkEnd w:id="0"/>
      <w:bookmarkEnd w:id="1"/>
      <w:bookmarkEnd w:id="2"/>
    </w:p>
    <w:p>
      <w:pPr>
        <w:pStyle w:val="7"/>
        <w:spacing w:after="120"/>
        <w:jc w:val="center"/>
      </w:pPr>
    </w:p>
    <w:p>
      <w:pPr>
        <w:pStyle w:val="7"/>
        <w:spacing w:after="120"/>
        <w:jc w:val="center"/>
        <w:rPr>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年度）</w:t>
      </w:r>
    </w:p>
    <w:tbl>
      <w:tblPr>
        <w:tblStyle w:val="4"/>
        <w:tblW w:w="0" w:type="auto"/>
        <w:jc w:val="center"/>
        <w:tblLayout w:type="fixed"/>
        <w:tblCellMar>
          <w:top w:w="0" w:type="dxa"/>
          <w:left w:w="10" w:type="dxa"/>
          <w:bottom w:w="0" w:type="dxa"/>
          <w:right w:w="10" w:type="dxa"/>
        </w:tblCellMar>
      </w:tblPr>
      <w:tblGrid>
        <w:gridCol w:w="792"/>
        <w:gridCol w:w="1476"/>
        <w:gridCol w:w="1879"/>
        <w:gridCol w:w="1116"/>
        <w:gridCol w:w="2214"/>
        <w:gridCol w:w="1372"/>
      </w:tblGrid>
      <w:tr>
        <w:tblPrEx>
          <w:tblCellMar>
            <w:top w:w="0" w:type="dxa"/>
            <w:left w:w="10" w:type="dxa"/>
            <w:bottom w:w="0" w:type="dxa"/>
            <w:right w:w="10" w:type="dxa"/>
          </w:tblCellMar>
        </w:tblPrEx>
        <w:trPr>
          <w:trHeight w:val="583" w:hRule="exact"/>
          <w:jc w:val="center"/>
        </w:trPr>
        <w:tc>
          <w:tcPr>
            <w:tcW w:w="2268"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资金名称</w:t>
            </w:r>
          </w:p>
        </w:tc>
        <w:tc>
          <w:tcPr>
            <w:tcW w:w="6581" w:type="dxa"/>
            <w:gridSpan w:val="4"/>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中央企业独立工矿区市政社区等办社会职能运营补助资金</w:t>
            </w:r>
          </w:p>
        </w:tc>
      </w:tr>
      <w:tr>
        <w:tblPrEx>
          <w:tblCellMar>
            <w:top w:w="0" w:type="dxa"/>
            <w:left w:w="10" w:type="dxa"/>
            <w:bottom w:w="0" w:type="dxa"/>
            <w:right w:w="10" w:type="dxa"/>
          </w:tblCellMar>
        </w:tblPrEx>
        <w:trPr>
          <w:trHeight w:val="562" w:hRule="exact"/>
          <w:jc w:val="center"/>
        </w:trPr>
        <w:tc>
          <w:tcPr>
            <w:tcW w:w="2268"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中央主管部门</w:t>
            </w:r>
          </w:p>
        </w:tc>
        <w:tc>
          <w:tcPr>
            <w:tcW w:w="2995"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财政部</w:t>
            </w:r>
          </w:p>
        </w:tc>
        <w:tc>
          <w:tcPr>
            <w:tcW w:w="2214" w:type="dxa"/>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实施期限</w:t>
            </w:r>
          </w:p>
        </w:tc>
        <w:tc>
          <w:tcPr>
            <w:tcW w:w="1372"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 xml:space="preserve"> 年</w:t>
            </w:r>
          </w:p>
        </w:tc>
      </w:tr>
      <w:tr>
        <w:tblPrEx>
          <w:tblCellMar>
            <w:top w:w="0" w:type="dxa"/>
            <w:left w:w="10" w:type="dxa"/>
            <w:bottom w:w="0" w:type="dxa"/>
            <w:right w:w="10" w:type="dxa"/>
          </w:tblCellMar>
        </w:tblPrEx>
        <w:trPr>
          <w:trHeight w:val="554" w:hRule="exact"/>
          <w:jc w:val="center"/>
        </w:trPr>
        <w:tc>
          <w:tcPr>
            <w:tcW w:w="2268"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省级财政部门</w:t>
            </w:r>
          </w:p>
        </w:tc>
        <w:tc>
          <w:tcPr>
            <w:tcW w:w="2995"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湖南省财政厅</w:t>
            </w:r>
          </w:p>
        </w:tc>
        <w:tc>
          <w:tcPr>
            <w:tcW w:w="2214" w:type="dxa"/>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省级主管部门</w:t>
            </w:r>
          </w:p>
        </w:tc>
        <w:tc>
          <w:tcPr>
            <w:tcW w:w="1372"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湖南省国资委</w:t>
            </w:r>
          </w:p>
        </w:tc>
      </w:tr>
      <w:tr>
        <w:tblPrEx>
          <w:tblCellMar>
            <w:top w:w="0" w:type="dxa"/>
            <w:left w:w="10" w:type="dxa"/>
            <w:bottom w:w="0" w:type="dxa"/>
            <w:right w:w="10" w:type="dxa"/>
          </w:tblCellMar>
        </w:tblPrEx>
        <w:trPr>
          <w:trHeight w:val="504" w:hRule="exact"/>
          <w:jc w:val="center"/>
        </w:trPr>
        <w:tc>
          <w:tcPr>
            <w:tcW w:w="2268" w:type="dxa"/>
            <w:gridSpan w:val="2"/>
            <w:vMerge w:val="restart"/>
            <w:tcBorders>
              <w:top w:val="single" w:color="auto" w:sz="4" w:space="0"/>
              <w:left w:val="single" w:color="auto" w:sz="4" w:space="0"/>
            </w:tcBorders>
            <w:shd w:val="clear" w:color="auto" w:fill="FFFFFF"/>
            <w:vAlign w:val="center"/>
          </w:tcPr>
          <w:p>
            <w:pPr>
              <w:pStyle w:val="13"/>
              <w:ind w:firstLine="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资金情况（万元）</w:t>
            </w:r>
          </w:p>
        </w:tc>
        <w:tc>
          <w:tcPr>
            <w:tcW w:w="2995" w:type="dxa"/>
            <w:gridSpan w:val="2"/>
            <w:tcBorders>
              <w:top w:val="single" w:color="auto" w:sz="4" w:space="0"/>
              <w:left w:val="single" w:color="auto" w:sz="4" w:space="0"/>
            </w:tcBorders>
            <w:shd w:val="clear" w:color="auto" w:fill="FFFFFF"/>
            <w:vAlign w:val="center"/>
          </w:tcPr>
          <w:p>
            <w:pPr>
              <w:pStyle w:val="11"/>
              <w:ind w:firstLine="24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年度金额：</w:t>
            </w:r>
          </w:p>
        </w:tc>
        <w:tc>
          <w:tcPr>
            <w:tcW w:w="3586" w:type="dxa"/>
            <w:gridSpan w:val="2"/>
            <w:tcBorders>
              <w:top w:val="single" w:color="auto" w:sz="4" w:space="0"/>
              <w:left w:val="single" w:color="auto" w:sz="4" w:space="0"/>
              <w:right w:val="single" w:color="auto" w:sz="4" w:space="0"/>
            </w:tcBorders>
            <w:shd w:val="clear" w:color="auto" w:fill="FFFFFF"/>
          </w:tcPr>
          <w:p>
            <w:pP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497" w:hRule="exact"/>
          <w:jc w:val="center"/>
        </w:trPr>
        <w:tc>
          <w:tcPr>
            <w:tcW w:w="2268" w:type="dxa"/>
            <w:gridSpan w:val="2"/>
            <w:vMerge w:val="continue"/>
            <w:tcBorders>
              <w:left w:val="single" w:color="auto" w:sz="4" w:space="0"/>
            </w:tcBorders>
            <w:shd w:val="clear" w:color="auto" w:fill="FFFFFF"/>
            <w:textDirection w:val="tbRlV"/>
            <w:vAlign w:val="bottom"/>
          </w:tcPr>
          <w:p>
            <w:pPr>
              <w:rPr>
                <w:rFonts w:hint="eastAsia" w:ascii="仿宋_GB2312" w:hAnsi="仿宋_GB2312" w:eastAsia="仿宋_GB2312" w:cs="仿宋_GB2312"/>
                <w:sz w:val="24"/>
                <w:szCs w:val="24"/>
              </w:rPr>
            </w:pPr>
          </w:p>
        </w:tc>
        <w:tc>
          <w:tcPr>
            <w:tcW w:w="2995" w:type="dxa"/>
            <w:gridSpan w:val="2"/>
            <w:tcBorders>
              <w:top w:val="single" w:color="auto" w:sz="4" w:space="0"/>
              <w:left w:val="single" w:color="auto" w:sz="4" w:space="0"/>
            </w:tcBorders>
            <w:shd w:val="clear" w:color="auto" w:fill="FFFFFF"/>
            <w:vAlign w:val="center"/>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其中：中央补助</w:t>
            </w:r>
          </w:p>
        </w:tc>
        <w:tc>
          <w:tcPr>
            <w:tcW w:w="3586" w:type="dxa"/>
            <w:gridSpan w:val="2"/>
            <w:tcBorders>
              <w:top w:val="single" w:color="auto" w:sz="4" w:space="0"/>
              <w:left w:val="single" w:color="auto" w:sz="4" w:space="0"/>
              <w:right w:val="single" w:color="auto" w:sz="4" w:space="0"/>
            </w:tcBorders>
            <w:shd w:val="clear" w:color="auto" w:fill="FFFFFF"/>
          </w:tcPr>
          <w:p>
            <w:pP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482" w:hRule="exact"/>
          <w:jc w:val="center"/>
        </w:trPr>
        <w:tc>
          <w:tcPr>
            <w:tcW w:w="2268" w:type="dxa"/>
            <w:gridSpan w:val="2"/>
            <w:vMerge w:val="continue"/>
            <w:tcBorders>
              <w:left w:val="single" w:color="auto" w:sz="4" w:space="0"/>
            </w:tcBorders>
            <w:shd w:val="clear" w:color="auto" w:fill="FFFFFF"/>
            <w:textDirection w:val="tbRlV"/>
            <w:vAlign w:val="bottom"/>
          </w:tcPr>
          <w:p>
            <w:pPr>
              <w:rPr>
                <w:rFonts w:hint="eastAsia" w:ascii="仿宋_GB2312" w:hAnsi="仿宋_GB2312" w:eastAsia="仿宋_GB2312" w:cs="仿宋_GB2312"/>
                <w:sz w:val="24"/>
                <w:szCs w:val="24"/>
              </w:rPr>
            </w:pPr>
          </w:p>
        </w:tc>
        <w:tc>
          <w:tcPr>
            <w:tcW w:w="2995" w:type="dxa"/>
            <w:gridSpan w:val="2"/>
            <w:tcBorders>
              <w:top w:val="single" w:color="auto" w:sz="4" w:space="0"/>
              <w:left w:val="single" w:color="auto" w:sz="4" w:space="0"/>
            </w:tcBorders>
            <w:shd w:val="clear" w:color="auto" w:fill="FFFFFF"/>
            <w:vAlign w:val="center"/>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地方资金</w:t>
            </w:r>
          </w:p>
        </w:tc>
        <w:tc>
          <w:tcPr>
            <w:tcW w:w="3586" w:type="dxa"/>
            <w:gridSpan w:val="2"/>
            <w:tcBorders>
              <w:top w:val="single" w:color="auto" w:sz="4" w:space="0"/>
              <w:left w:val="single" w:color="auto" w:sz="4" w:space="0"/>
              <w:right w:val="single" w:color="auto" w:sz="4" w:space="0"/>
            </w:tcBorders>
            <w:shd w:val="clear" w:color="auto" w:fill="FFFFFF"/>
          </w:tcPr>
          <w:p>
            <w:pP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1872" w:hRule="exact"/>
          <w:jc w:val="center"/>
        </w:trPr>
        <w:tc>
          <w:tcPr>
            <w:tcW w:w="792" w:type="dxa"/>
            <w:tcBorders>
              <w:top w:val="single" w:color="auto" w:sz="4" w:space="0"/>
              <w:left w:val="single" w:color="auto" w:sz="4" w:space="0"/>
            </w:tcBorders>
            <w:shd w:val="clear" w:color="auto" w:fill="FFFFFF"/>
            <w:textDirection w:val="tbRlV"/>
            <w:vAlign w:val="center"/>
          </w:tcPr>
          <w:p>
            <w:pPr>
              <w:pStyle w:val="13"/>
              <w:ind w:firstLine="0"/>
              <w:jc w:val="center"/>
              <w:rPr>
                <w:rFonts w:hint="eastAsia" w:ascii="仿宋_GB2312" w:hAnsi="仿宋_GB2312" w:eastAsia="仿宋_GB2312" w:cs="仿宋_GB2312"/>
                <w:sz w:val="24"/>
                <w:szCs w:val="24"/>
              </w:rPr>
            </w:pPr>
          </w:p>
          <w:p>
            <w:pPr>
              <w:pStyle w:val="13"/>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总体目标</w:t>
            </w:r>
          </w:p>
          <w:p>
            <w:pPr>
              <w:pStyle w:val="13"/>
              <w:ind w:firstLine="400"/>
              <w:jc w:val="center"/>
              <w:rPr>
                <w:rFonts w:hint="eastAsia" w:ascii="仿宋_GB2312" w:hAnsi="仿宋_GB2312" w:eastAsia="仿宋_GB2312" w:cs="仿宋_GB2312"/>
                <w:sz w:val="24"/>
                <w:szCs w:val="24"/>
              </w:rPr>
            </w:pPr>
          </w:p>
        </w:tc>
        <w:tc>
          <w:tcPr>
            <w:tcW w:w="8057" w:type="dxa"/>
            <w:gridSpan w:val="5"/>
            <w:tcBorders>
              <w:top w:val="single" w:color="auto" w:sz="4" w:space="0"/>
              <w:left w:val="single" w:color="auto" w:sz="4" w:space="0"/>
              <w:right w:val="single" w:color="auto" w:sz="4" w:space="0"/>
            </w:tcBorders>
            <w:shd w:val="clear" w:color="auto" w:fill="FFFFFF"/>
            <w:vAlign w:val="center"/>
          </w:tcPr>
          <w:p>
            <w:pPr>
              <w:pStyle w:val="11"/>
              <w:numPr>
                <w:ilvl w:val="0"/>
                <w:numId w:val="1"/>
              </w:numPr>
              <w:tabs>
                <w:tab w:val="left" w:pos="230"/>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中央企业独立工矿区市政社区等办社会职能全部移交地方政府</w:t>
            </w:r>
            <w:r>
              <w:rPr>
                <w:rFonts w:hint="eastAsia" w:ascii="仿宋_GB2312" w:hAnsi="仿宋_GB2312" w:eastAsia="仿宋_GB2312" w:cs="仿宋_GB2312"/>
                <w:sz w:val="24"/>
                <w:szCs w:val="24"/>
              </w:rPr>
              <w:t>。</w:t>
            </w:r>
          </w:p>
          <w:p>
            <w:pPr>
              <w:pStyle w:val="11"/>
              <w:numPr>
                <w:ilvl w:val="0"/>
                <w:numId w:val="1"/>
              </w:numPr>
              <w:tabs>
                <w:tab w:val="left" w:pos="245"/>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地方政府将中央企业独立工矿区市政社区等办社会职能运营维护费纳入本级预算。</w:t>
            </w:r>
          </w:p>
          <w:p>
            <w:pPr>
              <w:pStyle w:val="11"/>
              <w:numPr>
                <w:ilvl w:val="0"/>
                <w:numId w:val="1"/>
              </w:numPr>
              <w:tabs>
                <w:tab w:val="left" w:pos="245"/>
              </w:tabs>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国有企业独立工矿区市政社区等办社会职能运营维护标准与当地政府其他市政社区等社会职能运营维护标准一致。</w:t>
            </w:r>
          </w:p>
        </w:tc>
      </w:tr>
      <w:tr>
        <w:tblPrEx>
          <w:tblCellMar>
            <w:top w:w="0" w:type="dxa"/>
            <w:left w:w="10" w:type="dxa"/>
            <w:bottom w:w="0" w:type="dxa"/>
            <w:right w:w="10" w:type="dxa"/>
          </w:tblCellMar>
        </w:tblPrEx>
        <w:trPr>
          <w:trHeight w:val="605" w:hRule="exact"/>
          <w:jc w:val="center"/>
        </w:trPr>
        <w:tc>
          <w:tcPr>
            <w:tcW w:w="792" w:type="dxa"/>
            <w:vMerge w:val="restart"/>
            <w:tcBorders>
              <w:top w:val="single" w:color="auto" w:sz="4" w:space="0"/>
              <w:left w:val="single" w:color="auto" w:sz="4" w:space="0"/>
            </w:tcBorders>
            <w:shd w:val="clear" w:color="auto" w:fill="FFFFFF"/>
            <w:textDirection w:val="tbRlV"/>
            <w:vAlign w:val="center"/>
          </w:tcPr>
          <w:p>
            <w:pPr>
              <w:pStyle w:val="13"/>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绩效指标</w:t>
            </w:r>
          </w:p>
        </w:tc>
        <w:tc>
          <w:tcPr>
            <w:tcW w:w="1476" w:type="dxa"/>
            <w:tcBorders>
              <w:top w:val="single" w:color="auto" w:sz="4" w:space="0"/>
              <w:left w:val="single" w:color="auto" w:sz="4" w:space="0"/>
            </w:tcBorders>
            <w:shd w:val="clear" w:color="auto" w:fill="FFFFFF"/>
            <w:vAlign w:val="center"/>
          </w:tcPr>
          <w:p>
            <w:pPr>
              <w:pStyle w:val="11"/>
              <w:ind w:firstLine="26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1879" w:type="dxa"/>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二级指标</w:t>
            </w:r>
          </w:p>
        </w:tc>
        <w:tc>
          <w:tcPr>
            <w:tcW w:w="3330" w:type="dxa"/>
            <w:gridSpan w:val="2"/>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三级指标</w:t>
            </w:r>
          </w:p>
        </w:tc>
        <w:tc>
          <w:tcPr>
            <w:tcW w:w="1372"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指标值</w:t>
            </w:r>
          </w:p>
        </w:tc>
      </w:tr>
      <w:tr>
        <w:tblPrEx>
          <w:tblCellMar>
            <w:top w:w="0" w:type="dxa"/>
            <w:left w:w="10" w:type="dxa"/>
            <w:bottom w:w="0" w:type="dxa"/>
            <w:right w:w="10" w:type="dxa"/>
          </w:tblCellMar>
        </w:tblPrEx>
        <w:trPr>
          <w:trHeight w:val="1188" w:hRule="exact"/>
          <w:jc w:val="center"/>
        </w:trPr>
        <w:tc>
          <w:tcPr>
            <w:tcW w:w="792" w:type="dxa"/>
            <w:vMerge w:val="continue"/>
            <w:tcBorders>
              <w:left w:val="single" w:color="auto" w:sz="4" w:space="0"/>
            </w:tcBorders>
            <w:shd w:val="clear" w:color="auto" w:fill="FFFFFF"/>
            <w:textDirection w:val="tbRlV"/>
            <w:vAlign w:val="center"/>
          </w:tcPr>
          <w:p>
            <w:pPr>
              <w:rPr>
                <w:rFonts w:hint="eastAsia" w:ascii="仿宋_GB2312" w:hAnsi="仿宋_GB2312" w:eastAsia="仿宋_GB2312" w:cs="仿宋_GB2312"/>
                <w:sz w:val="24"/>
                <w:szCs w:val="24"/>
              </w:rPr>
            </w:pPr>
          </w:p>
        </w:tc>
        <w:tc>
          <w:tcPr>
            <w:tcW w:w="1476" w:type="dxa"/>
            <w:vMerge w:val="restart"/>
            <w:tcBorders>
              <w:top w:val="single" w:color="auto" w:sz="4" w:space="0"/>
              <w:left w:val="single" w:color="auto" w:sz="4" w:space="0"/>
            </w:tcBorders>
            <w:shd w:val="clear" w:color="auto" w:fill="FFFFFF"/>
            <w:vAlign w:val="center"/>
          </w:tcPr>
          <w:p>
            <w:pPr>
              <w:pStyle w:val="11"/>
              <w:ind w:firstLine="26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产出指标</w:t>
            </w:r>
          </w:p>
        </w:tc>
        <w:tc>
          <w:tcPr>
            <w:tcW w:w="1879" w:type="dxa"/>
            <w:vMerge w:val="restart"/>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数量指标</w:t>
            </w:r>
          </w:p>
        </w:tc>
        <w:tc>
          <w:tcPr>
            <w:tcW w:w="3330" w:type="dxa"/>
            <w:gridSpan w:val="2"/>
            <w:tcBorders>
              <w:top w:val="single" w:color="auto" w:sz="4" w:space="0"/>
              <w:left w:val="single" w:color="auto" w:sz="4" w:space="0"/>
            </w:tcBorders>
            <w:shd w:val="clear" w:color="auto" w:fill="FFFFFF"/>
            <w:vAlign w:val="center"/>
          </w:tcPr>
          <w:p>
            <w:pPr>
              <w:pStyle w:val="11"/>
              <w:spacing w:line="274"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中央企业独立工矿区市政社区等办社会职能移交地方政府的比例</w:t>
            </w:r>
          </w:p>
        </w:tc>
        <w:tc>
          <w:tcPr>
            <w:tcW w:w="1372"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CellMar>
            <w:top w:w="0" w:type="dxa"/>
            <w:left w:w="10" w:type="dxa"/>
            <w:bottom w:w="0" w:type="dxa"/>
            <w:right w:w="10" w:type="dxa"/>
          </w:tblCellMar>
        </w:tblPrEx>
        <w:trPr>
          <w:trHeight w:val="1188" w:hRule="exact"/>
          <w:jc w:val="center"/>
        </w:trPr>
        <w:tc>
          <w:tcPr>
            <w:tcW w:w="792" w:type="dxa"/>
            <w:vMerge w:val="continue"/>
            <w:tcBorders>
              <w:left w:val="single" w:color="auto" w:sz="4" w:space="0"/>
            </w:tcBorders>
            <w:shd w:val="clear" w:color="auto" w:fill="FFFFFF"/>
            <w:textDirection w:val="tbRlV"/>
            <w:vAlign w:val="center"/>
          </w:tcPr>
          <w:p>
            <w:pPr>
              <w:rPr>
                <w:rFonts w:hint="eastAsia" w:ascii="仿宋_GB2312" w:hAnsi="仿宋_GB2312" w:eastAsia="仿宋_GB2312" w:cs="仿宋_GB2312"/>
                <w:sz w:val="24"/>
                <w:szCs w:val="24"/>
              </w:rPr>
            </w:pPr>
          </w:p>
        </w:tc>
        <w:tc>
          <w:tcPr>
            <w:tcW w:w="1476" w:type="dxa"/>
            <w:vMerge w:val="continue"/>
            <w:tcBorders>
              <w:left w:val="single" w:color="auto" w:sz="4" w:space="0"/>
            </w:tcBorders>
            <w:shd w:val="clear" w:color="auto" w:fill="FFFFFF"/>
            <w:vAlign w:val="center"/>
          </w:tcPr>
          <w:p>
            <w:pPr>
              <w:pStyle w:val="11"/>
              <w:ind w:firstLine="260"/>
              <w:jc w:val="left"/>
              <w:rPr>
                <w:rFonts w:hint="eastAsia" w:ascii="仿宋_GB2312" w:hAnsi="仿宋_GB2312" w:eastAsia="仿宋_GB2312" w:cs="仿宋_GB2312"/>
                <w:sz w:val="24"/>
                <w:szCs w:val="24"/>
              </w:rPr>
            </w:pPr>
          </w:p>
        </w:tc>
        <w:tc>
          <w:tcPr>
            <w:tcW w:w="1879" w:type="dxa"/>
            <w:vMerge w:val="continue"/>
            <w:tcBorders>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p>
        </w:tc>
        <w:tc>
          <w:tcPr>
            <w:tcW w:w="3330" w:type="dxa"/>
            <w:gridSpan w:val="2"/>
            <w:tcBorders>
              <w:top w:val="single" w:color="auto" w:sz="4" w:space="0"/>
              <w:left w:val="single" w:color="auto" w:sz="4" w:space="0"/>
            </w:tcBorders>
            <w:shd w:val="clear" w:color="auto" w:fill="FFFFFF"/>
            <w:vAlign w:val="center"/>
          </w:tcPr>
          <w:p>
            <w:pPr>
              <w:pStyle w:val="11"/>
              <w:spacing w:line="274"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地方政府将中央企业独立工矿区市政社区等办社会职能运营维护费用纳入本级预算的比例</w:t>
            </w:r>
          </w:p>
        </w:tc>
        <w:tc>
          <w:tcPr>
            <w:tcW w:w="1372"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CellMar>
            <w:top w:w="0" w:type="dxa"/>
            <w:left w:w="10" w:type="dxa"/>
            <w:bottom w:w="0" w:type="dxa"/>
            <w:right w:w="10" w:type="dxa"/>
          </w:tblCellMar>
        </w:tblPrEx>
        <w:trPr>
          <w:trHeight w:val="1109" w:hRule="exact"/>
          <w:jc w:val="center"/>
        </w:trPr>
        <w:tc>
          <w:tcPr>
            <w:tcW w:w="792" w:type="dxa"/>
            <w:vMerge w:val="continue"/>
            <w:tcBorders>
              <w:left w:val="single" w:color="auto" w:sz="4" w:space="0"/>
            </w:tcBorders>
            <w:shd w:val="clear" w:color="auto" w:fill="FFFFFF"/>
            <w:textDirection w:val="tbRlV"/>
            <w:vAlign w:val="center"/>
          </w:tcPr>
          <w:p>
            <w:pPr>
              <w:rPr>
                <w:rFonts w:hint="eastAsia" w:ascii="仿宋_GB2312" w:hAnsi="仿宋_GB2312" w:eastAsia="仿宋_GB2312" w:cs="仿宋_GB2312"/>
                <w:sz w:val="24"/>
                <w:szCs w:val="24"/>
                <w:lang w:eastAsia="zh-CN"/>
              </w:rPr>
            </w:pPr>
          </w:p>
        </w:tc>
        <w:tc>
          <w:tcPr>
            <w:tcW w:w="1476" w:type="dxa"/>
            <w:tcBorders>
              <w:top w:val="single" w:color="auto" w:sz="4" w:space="0"/>
              <w:left w:val="single" w:color="auto" w:sz="4" w:space="0"/>
            </w:tcBorders>
            <w:shd w:val="clear" w:color="auto" w:fill="FFFFFF"/>
            <w:vAlign w:val="center"/>
          </w:tcPr>
          <w:p>
            <w:pPr>
              <w:pStyle w:val="11"/>
              <w:ind w:firstLine="26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效益指标</w:t>
            </w:r>
          </w:p>
        </w:tc>
        <w:tc>
          <w:tcPr>
            <w:tcW w:w="1879" w:type="dxa"/>
            <w:tcBorders>
              <w:top w:val="single" w:color="auto" w:sz="4" w:space="0"/>
              <w:lef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经济效益指标</w:t>
            </w:r>
          </w:p>
        </w:tc>
        <w:tc>
          <w:tcPr>
            <w:tcW w:w="3330" w:type="dxa"/>
            <w:gridSpan w:val="2"/>
            <w:tcBorders>
              <w:top w:val="single" w:color="auto" w:sz="4" w:space="0"/>
              <w:left w:val="single" w:color="auto" w:sz="4" w:space="0"/>
            </w:tcBorders>
            <w:shd w:val="clear" w:color="auto" w:fill="FFFFFF"/>
            <w:vAlign w:val="center"/>
          </w:tcPr>
          <w:p>
            <w:pPr>
              <w:pStyle w:val="11"/>
              <w:spacing w:line="281"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中央企业独立工矿区市政社区等办社会职能运营维护标准与当地政府其他市政社区等社会职能运营维护标准一致的比例</w:t>
            </w:r>
          </w:p>
        </w:tc>
        <w:tc>
          <w:tcPr>
            <w:tcW w:w="1372" w:type="dxa"/>
            <w:tcBorders>
              <w:top w:val="single" w:color="auto" w:sz="4" w:space="0"/>
              <w:left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CellMar>
            <w:top w:w="0" w:type="dxa"/>
            <w:left w:w="10" w:type="dxa"/>
            <w:bottom w:w="0" w:type="dxa"/>
            <w:right w:w="10" w:type="dxa"/>
          </w:tblCellMar>
        </w:tblPrEx>
        <w:trPr>
          <w:trHeight w:val="1217" w:hRule="exact"/>
          <w:jc w:val="center"/>
        </w:trPr>
        <w:tc>
          <w:tcPr>
            <w:tcW w:w="792" w:type="dxa"/>
            <w:vMerge w:val="continue"/>
            <w:tcBorders>
              <w:left w:val="single" w:color="auto" w:sz="4" w:space="0"/>
              <w:bottom w:val="single" w:color="auto" w:sz="4" w:space="0"/>
            </w:tcBorders>
            <w:shd w:val="clear" w:color="auto" w:fill="FFFFFF"/>
            <w:textDirection w:val="tbRlV"/>
            <w:vAlign w:val="center"/>
          </w:tcPr>
          <w:p>
            <w:pPr>
              <w:rPr>
                <w:rFonts w:hint="eastAsia" w:ascii="仿宋_GB2312" w:hAnsi="仿宋_GB2312" w:eastAsia="仿宋_GB2312" w:cs="仿宋_GB2312"/>
                <w:sz w:val="24"/>
                <w:szCs w:val="24"/>
              </w:rPr>
            </w:pPr>
          </w:p>
        </w:tc>
        <w:tc>
          <w:tcPr>
            <w:tcW w:w="1476" w:type="dxa"/>
            <w:tcBorders>
              <w:top w:val="single" w:color="auto" w:sz="4" w:space="0"/>
              <w:left w:val="single" w:color="auto" w:sz="4" w:space="0"/>
              <w:bottom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满意度指标</w:t>
            </w:r>
          </w:p>
        </w:tc>
        <w:tc>
          <w:tcPr>
            <w:tcW w:w="1879" w:type="dxa"/>
            <w:tcBorders>
              <w:top w:val="single" w:color="auto" w:sz="4" w:space="0"/>
              <w:left w:val="single" w:color="auto" w:sz="4" w:space="0"/>
              <w:bottom w:val="single" w:color="auto" w:sz="4" w:space="0"/>
            </w:tcBorders>
            <w:shd w:val="clear" w:color="auto" w:fill="FFFFFF"/>
            <w:vAlign w:val="center"/>
          </w:tcPr>
          <w:p>
            <w:pPr>
              <w:pStyle w:val="1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企业满意度指标</w:t>
            </w:r>
          </w:p>
        </w:tc>
        <w:tc>
          <w:tcPr>
            <w:tcW w:w="3330" w:type="dxa"/>
            <w:gridSpan w:val="2"/>
            <w:tcBorders>
              <w:top w:val="single" w:color="auto" w:sz="4" w:space="0"/>
              <w:left w:val="single" w:color="auto" w:sz="4" w:space="0"/>
              <w:bottom w:val="single" w:color="auto" w:sz="4" w:space="0"/>
            </w:tcBorders>
            <w:shd w:val="clear" w:color="auto" w:fill="FFFFFF"/>
            <w:vAlign w:val="center"/>
          </w:tcPr>
          <w:p>
            <w:pPr>
              <w:pStyle w:val="1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移交企业的综合满意程度，</w:t>
            </w:r>
          </w:p>
          <w:p>
            <w:pPr>
              <w:pStyle w:val="1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企业满意度=问卷调查平均得</w:t>
            </w:r>
          </w:p>
          <w:p>
            <w:pPr>
              <w:pStyle w:val="11"/>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分/总分</w:t>
            </w:r>
            <w:r>
              <w:rPr>
                <w:rFonts w:hint="eastAsia" w:ascii="仿宋_GB2312" w:hAnsi="仿宋_GB2312" w:eastAsia="仿宋_GB2312" w:cs="仿宋_GB2312"/>
                <w:sz w:val="24"/>
                <w:szCs w:val="24"/>
                <w:lang w:val="en-US" w:eastAsia="zh-CN" w:bidi="en-US"/>
              </w:rPr>
              <w:t>×</w:t>
            </w:r>
            <w:r>
              <w:rPr>
                <w:rFonts w:hint="eastAsia" w:ascii="仿宋_GB2312" w:hAnsi="仿宋_GB2312" w:eastAsia="仿宋_GB2312" w:cs="仿宋_GB2312"/>
                <w:sz w:val="24"/>
                <w:szCs w:val="24"/>
                <w:lang w:val="en-US" w:eastAsia="en-US" w:bidi="en-US"/>
              </w:rPr>
              <w:t>100%</w:t>
            </w:r>
          </w:p>
        </w:tc>
        <w:tc>
          <w:tcPr>
            <w:tcW w:w="137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85%</w:t>
            </w:r>
          </w:p>
        </w:tc>
      </w:tr>
    </w:tbl>
    <w:p>
      <w:pPr>
        <w:sectPr>
          <w:pgSz w:w="11900" w:h="16840"/>
          <w:pgMar w:top="1236" w:right="1585" w:bottom="1236" w:left="1467" w:header="808" w:footer="808" w:gutter="0"/>
          <w:pgNumType w:start="1"/>
          <w:cols w:space="720" w:num="1"/>
          <w:docGrid w:linePitch="360" w:charSpace="0"/>
        </w:sectPr>
      </w:pPr>
    </w:p>
    <w:p>
      <w:pPr>
        <w:pStyle w:val="15"/>
        <w:spacing w:after="140" w:line="240" w:lineRule="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zh-CN" w:eastAsia="zh-CN" w:bidi="zh-CN"/>
        </w:rPr>
        <w:t>3</w:t>
      </w:r>
    </w:p>
    <w:p>
      <w:pPr>
        <w:pStyle w:val="7"/>
        <w:spacing w:after="380"/>
        <w:jc w:val="center"/>
        <w:rPr>
          <w:rFonts w:hint="eastAsia" w:ascii="方正小标宋简体" w:hAnsi="方正小标宋简体" w:eastAsia="方正小标宋简体" w:cs="方正小标宋简体"/>
          <w:sz w:val="40"/>
          <w:szCs w:val="40"/>
        </w:rPr>
      </w:pPr>
      <w:bookmarkStart w:id="3" w:name="bookmark3"/>
      <w:bookmarkStart w:id="4" w:name="bookmark4"/>
      <w:bookmarkStart w:id="5" w:name="bookmark5"/>
      <w:r>
        <w:rPr>
          <w:rFonts w:hint="eastAsia" w:ascii="方正小标宋简体" w:hAnsi="方正小标宋简体" w:eastAsia="方正小标宋简体" w:cs="方正小标宋简体"/>
          <w:sz w:val="40"/>
          <w:szCs w:val="40"/>
        </w:rPr>
        <w:t>企业满意度调查问卷</w:t>
      </w:r>
      <w:bookmarkEnd w:id="3"/>
      <w:bookmarkEnd w:id="4"/>
      <w:bookmarkEnd w:id="5"/>
    </w:p>
    <w:p>
      <w:pPr>
        <w:pStyle w:val="15"/>
        <w:spacing w:after="640" w:line="240" w:lineRule="auto"/>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（参考提纲）</w:t>
      </w:r>
    </w:p>
    <w:p>
      <w:pPr>
        <w:pStyle w:val="15"/>
        <w:keepNext w:val="0"/>
        <w:keepLines w:val="0"/>
        <w:pageBreakBefore w:val="0"/>
        <w:widowControl w:val="0"/>
        <w:numPr>
          <w:numId w:val="0"/>
        </w:numPr>
        <w:tabs>
          <w:tab w:val="left" w:pos="806"/>
        </w:tabs>
        <w:kinsoku/>
        <w:wordWrap/>
        <w:overflowPunct/>
        <w:topLinePunct w:val="0"/>
        <w:autoSpaceDE/>
        <w:autoSpaceDN/>
        <w:bidi w:val="0"/>
        <w:adjustRightInd/>
        <w:snapToGrid/>
        <w:spacing w:line="640" w:lineRule="exact"/>
        <w:ind w:leftChars="200" w:firstLine="600" w:firstLineChars="200"/>
        <w:jc w:val="both"/>
        <w:textAlignment w:val="auto"/>
        <w:rPr>
          <w:rFonts w:hint="eastAsia" w:ascii="仿宋_GB2312" w:hAnsi="仿宋_GB2312" w:eastAsia="仿宋_GB2312" w:cs="仿宋_GB2312"/>
          <w:sz w:val="30"/>
          <w:szCs w:val="30"/>
        </w:rPr>
      </w:pPr>
      <w:bookmarkStart w:id="6" w:name="bookmark6"/>
      <w:bookmarkEnd w:id="6"/>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本企业市政社区等办社会职能移交情况</w:t>
      </w:r>
      <w:r>
        <w:rPr>
          <w:rFonts w:hint="eastAsia" w:ascii="仿宋_GB2312" w:hAnsi="仿宋_GB2312" w:eastAsia="仿宋_GB2312" w:cs="仿宋_GB2312"/>
          <w:sz w:val="30"/>
          <w:szCs w:val="30"/>
        </w:rPr>
        <w:t xml:space="preserve">？ </w:t>
      </w:r>
    </w:p>
    <w:p>
      <w:pPr>
        <w:pStyle w:val="15"/>
        <w:keepNext w:val="0"/>
        <w:keepLines w:val="0"/>
        <w:pageBreakBefore w:val="0"/>
        <w:widowControl w:val="0"/>
        <w:tabs>
          <w:tab w:val="left" w:pos="806"/>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口是（10分） □否（0分）</w:t>
      </w:r>
    </w:p>
    <w:p>
      <w:pPr>
        <w:pStyle w:val="15"/>
        <w:keepNext w:val="0"/>
        <w:keepLines w:val="0"/>
        <w:pageBreakBefore w:val="0"/>
        <w:widowControl w:val="0"/>
        <w:numPr>
          <w:numId w:val="0"/>
        </w:numPr>
        <w:tabs>
          <w:tab w:val="left" w:pos="834"/>
        </w:tabs>
        <w:kinsoku/>
        <w:wordWrap/>
        <w:overflowPunct/>
        <w:topLinePunct w:val="0"/>
        <w:autoSpaceDE/>
        <w:autoSpaceDN/>
        <w:bidi w:val="0"/>
        <w:adjustRightInd/>
        <w:snapToGrid/>
        <w:spacing w:line="640" w:lineRule="exact"/>
        <w:ind w:leftChars="200" w:firstLine="600" w:firstLineChars="200"/>
        <w:jc w:val="both"/>
        <w:textAlignment w:val="auto"/>
        <w:rPr>
          <w:rFonts w:hint="eastAsia" w:ascii="仿宋_GB2312" w:hAnsi="仿宋_GB2312" w:eastAsia="仿宋_GB2312" w:cs="仿宋_GB2312"/>
          <w:sz w:val="30"/>
          <w:szCs w:val="30"/>
        </w:rPr>
      </w:pPr>
      <w:bookmarkStart w:id="7" w:name="bookmark7"/>
      <w:bookmarkEnd w:id="7"/>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对国有企业</w:t>
      </w:r>
      <w:r>
        <w:rPr>
          <w:rFonts w:hint="eastAsia" w:ascii="仿宋_GB2312" w:hAnsi="仿宋_GB2312" w:eastAsia="仿宋_GB2312" w:cs="仿宋_GB2312"/>
          <w:sz w:val="30"/>
          <w:szCs w:val="30"/>
          <w:lang w:eastAsia="zh-CN"/>
        </w:rPr>
        <w:t>市政社区办社会职能移交地方管理</w:t>
      </w:r>
      <w:r>
        <w:rPr>
          <w:rFonts w:hint="eastAsia" w:ascii="仿宋_GB2312" w:hAnsi="仿宋_GB2312" w:eastAsia="仿宋_GB2312" w:cs="仿宋_GB2312"/>
          <w:sz w:val="30"/>
          <w:szCs w:val="30"/>
        </w:rPr>
        <w:t>政策是否满意？</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口满意（30分）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□基本满意（20分）</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口一般（10分）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口不满意（0分）</w:t>
      </w:r>
    </w:p>
    <w:p>
      <w:pPr>
        <w:pStyle w:val="15"/>
        <w:keepNext w:val="0"/>
        <w:keepLines w:val="0"/>
        <w:pageBreakBefore w:val="0"/>
        <w:widowControl w:val="0"/>
        <w:numPr>
          <w:numId w:val="0"/>
        </w:numPr>
        <w:tabs>
          <w:tab w:val="left" w:pos="834"/>
        </w:tabs>
        <w:kinsoku/>
        <w:wordWrap/>
        <w:overflowPunct/>
        <w:topLinePunct w:val="0"/>
        <w:autoSpaceDE/>
        <w:autoSpaceDN/>
        <w:bidi w:val="0"/>
        <w:adjustRightInd/>
        <w:snapToGrid/>
        <w:spacing w:line="640" w:lineRule="exact"/>
        <w:ind w:leftChars="200" w:firstLine="600" w:firstLineChars="200"/>
        <w:jc w:val="both"/>
        <w:textAlignment w:val="auto"/>
        <w:rPr>
          <w:rFonts w:hint="eastAsia" w:ascii="仿宋_GB2312" w:hAnsi="仿宋_GB2312" w:eastAsia="仿宋_GB2312" w:cs="仿宋_GB2312"/>
          <w:sz w:val="30"/>
          <w:szCs w:val="30"/>
        </w:rPr>
      </w:pPr>
      <w:bookmarkStart w:id="8" w:name="bookmark8"/>
      <w:bookmarkEnd w:id="8"/>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对本</w:t>
      </w:r>
      <w:r>
        <w:rPr>
          <w:rFonts w:hint="eastAsia" w:ascii="仿宋_GB2312" w:hAnsi="仿宋_GB2312" w:eastAsia="仿宋_GB2312" w:cs="仿宋_GB2312"/>
          <w:sz w:val="30"/>
          <w:szCs w:val="30"/>
          <w:lang w:eastAsia="zh-CN"/>
        </w:rPr>
        <w:t>企业市政社区等办社会职能移交后的运营维护是否</w:t>
      </w:r>
      <w:r>
        <w:rPr>
          <w:rFonts w:hint="eastAsia" w:ascii="仿宋_GB2312" w:hAnsi="仿宋_GB2312" w:eastAsia="仿宋_GB2312" w:cs="仿宋_GB2312"/>
          <w:sz w:val="30"/>
          <w:szCs w:val="30"/>
        </w:rPr>
        <w:t>满意？</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口满意（30分）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口基本满意（20分）</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口一般（10分）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口不满意（0分）</w:t>
      </w:r>
    </w:p>
    <w:p>
      <w:pPr>
        <w:pStyle w:val="15"/>
        <w:keepNext w:val="0"/>
        <w:keepLines w:val="0"/>
        <w:pageBreakBefore w:val="0"/>
        <w:widowControl w:val="0"/>
        <w:numPr>
          <w:numId w:val="0"/>
        </w:numPr>
        <w:tabs>
          <w:tab w:val="left" w:pos="834"/>
        </w:tabs>
        <w:kinsoku/>
        <w:wordWrap/>
        <w:overflowPunct/>
        <w:topLinePunct w:val="0"/>
        <w:autoSpaceDE/>
        <w:autoSpaceDN/>
        <w:bidi w:val="0"/>
        <w:adjustRightInd/>
        <w:snapToGrid/>
        <w:spacing w:line="640" w:lineRule="exact"/>
        <w:ind w:leftChars="200" w:firstLine="600" w:firstLineChars="200"/>
        <w:jc w:val="both"/>
        <w:textAlignment w:val="auto"/>
        <w:rPr>
          <w:rFonts w:hint="eastAsia" w:ascii="仿宋_GB2312" w:hAnsi="仿宋_GB2312" w:eastAsia="仿宋_GB2312" w:cs="仿宋_GB2312"/>
          <w:sz w:val="30"/>
          <w:szCs w:val="30"/>
        </w:rPr>
      </w:pPr>
      <w:bookmarkStart w:id="9" w:name="bookmark9"/>
      <w:bookmarkEnd w:id="9"/>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对本企业</w:t>
      </w:r>
      <w:r>
        <w:rPr>
          <w:rFonts w:hint="eastAsia" w:ascii="仿宋_GB2312" w:hAnsi="仿宋_GB2312" w:eastAsia="仿宋_GB2312" w:cs="仿宋_GB2312"/>
          <w:sz w:val="30"/>
          <w:szCs w:val="30"/>
          <w:lang w:eastAsia="zh-CN"/>
        </w:rPr>
        <w:t>市政社区等办社会职能移交后的管理服务水平是否</w:t>
      </w:r>
      <w:r>
        <w:rPr>
          <w:rFonts w:hint="eastAsia" w:ascii="仿宋_GB2312" w:hAnsi="仿宋_GB2312" w:eastAsia="仿宋_GB2312" w:cs="仿宋_GB2312"/>
          <w:sz w:val="30"/>
          <w:szCs w:val="30"/>
        </w:rPr>
        <w:t>满意？</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口满意（30分）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口基本满意（20分）</w:t>
      </w:r>
    </w:p>
    <w:p>
      <w:pPr>
        <w:pStyle w:val="15"/>
        <w:keepNext w:val="0"/>
        <w:keepLines w:val="0"/>
        <w:pageBreakBefore w:val="0"/>
        <w:widowControl w:val="0"/>
        <w:tabs>
          <w:tab w:val="left" w:pos="3064"/>
        </w:tabs>
        <w:kinsoku/>
        <w:wordWrap/>
        <w:overflowPunct/>
        <w:topLinePunct w:val="0"/>
        <w:autoSpaceDE/>
        <w:autoSpaceDN/>
        <w:bidi w:val="0"/>
        <w:adjustRightInd/>
        <w:snapToGrid/>
        <w:spacing w:line="640" w:lineRule="exact"/>
        <w:ind w:left="0" w:firstLine="1800" w:firstLineChars="600"/>
        <w:jc w:val="both"/>
        <w:textAlignment w:val="auto"/>
        <w:rPr>
          <w:rFonts w:hint="eastAsia" w:ascii="仿宋_GB2312" w:hAnsi="仿宋_GB2312" w:eastAsia="仿宋_GB2312" w:cs="仿宋_GB2312"/>
          <w:sz w:val="30"/>
          <w:szCs w:val="30"/>
        </w:rPr>
      </w:pPr>
      <w:bookmarkStart w:id="10" w:name="_GoBack"/>
      <w:bookmarkEnd w:id="10"/>
      <w:r>
        <w:rPr>
          <w:rFonts w:hint="eastAsia" w:ascii="仿宋_GB2312" w:hAnsi="仿宋_GB2312" w:eastAsia="仿宋_GB2312" w:cs="仿宋_GB2312"/>
          <w:sz w:val="30"/>
          <w:szCs w:val="30"/>
        </w:rPr>
        <w:t>口一般（10分）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t>口不满意（0分）</w:t>
      </w:r>
    </w:p>
    <w:sectPr>
      <w:pgSz w:w="11900" w:h="16840"/>
      <w:pgMar w:top="1880" w:right="1575" w:bottom="1648" w:left="1477" w:header="1452" w:footer="12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zh-TW"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
  <w:rsids>
    <w:rsidRoot w:val="006C6B96"/>
    <w:rsid w:val="00056CAE"/>
    <w:rsid w:val="002A1670"/>
    <w:rsid w:val="006C6B96"/>
    <w:rsid w:val="008A79B3"/>
    <w:rsid w:val="00903F07"/>
    <w:rsid w:val="009C5396"/>
    <w:rsid w:val="00B76B60"/>
    <w:rsid w:val="00F6638C"/>
    <w:rsid w:val="200E0C38"/>
    <w:rsid w:val="505C19F9"/>
    <w:rsid w:val="672D1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21"/>
    <w:qFormat/>
    <w:uiPriority w:val="0"/>
    <w:pPr>
      <w:tabs>
        <w:tab w:val="center" w:pos="4153"/>
        <w:tab w:val="right" w:pos="8306"/>
      </w:tabs>
      <w:snapToGrid w:val="0"/>
    </w:pPr>
    <w:rPr>
      <w:sz w:val="18"/>
      <w:szCs w:val="18"/>
    </w:rPr>
  </w:style>
  <w:style w:type="paragraph" w:styleId="3">
    <w:name w:val="header"/>
    <w:basedOn w:val="1"/>
    <w:link w:val="20"/>
    <w:uiPriority w:val="0"/>
    <w:pPr>
      <w:pBdr>
        <w:bottom w:val="single" w:color="auto" w:sz="6" w:space="1"/>
      </w:pBdr>
      <w:tabs>
        <w:tab w:val="center" w:pos="4153"/>
        <w:tab w:val="right" w:pos="8306"/>
      </w:tabs>
      <w:snapToGrid w:val="0"/>
      <w:jc w:val="center"/>
    </w:pPr>
    <w:rPr>
      <w:sz w:val="18"/>
      <w:szCs w:val="18"/>
    </w:rPr>
  </w:style>
  <w:style w:type="character" w:customStyle="1" w:styleId="6">
    <w:name w:val="Body text|3_"/>
    <w:basedOn w:val="5"/>
    <w:link w:val="7"/>
    <w:uiPriority w:val="0"/>
    <w:rPr>
      <w:rFonts w:ascii="宋体" w:hAnsi="宋体" w:eastAsia="宋体" w:cs="宋体"/>
      <w:sz w:val="22"/>
      <w:szCs w:val="22"/>
      <w:u w:val="none"/>
      <w:shd w:val="clear" w:color="auto" w:fill="auto"/>
      <w:lang w:val="zh-TW" w:eastAsia="zh-TW" w:bidi="zh-TW"/>
    </w:rPr>
  </w:style>
  <w:style w:type="paragraph" w:customStyle="1" w:styleId="7">
    <w:name w:val="Body text|3"/>
    <w:basedOn w:val="1"/>
    <w:link w:val="6"/>
    <w:uiPriority w:val="0"/>
    <w:pPr>
      <w:spacing w:after="250"/>
    </w:pPr>
    <w:rPr>
      <w:rFonts w:ascii="宋体" w:hAnsi="宋体" w:eastAsia="宋体" w:cs="宋体"/>
      <w:sz w:val="22"/>
      <w:szCs w:val="22"/>
      <w:lang w:val="zh-TW" w:eastAsia="zh-TW" w:bidi="zh-TW"/>
    </w:rPr>
  </w:style>
  <w:style w:type="character" w:customStyle="1" w:styleId="8">
    <w:name w:val="Heading #2|1_"/>
    <w:basedOn w:val="5"/>
    <w:link w:val="9"/>
    <w:uiPriority w:val="0"/>
    <w:rPr>
      <w:rFonts w:ascii="宋体" w:hAnsi="宋体" w:eastAsia="宋体" w:cs="宋体"/>
      <w:sz w:val="30"/>
      <w:szCs w:val="30"/>
      <w:u w:val="none"/>
      <w:shd w:val="clear" w:color="auto" w:fill="auto"/>
      <w:lang w:val="zh-TW" w:eastAsia="zh-TW" w:bidi="zh-TW"/>
    </w:rPr>
  </w:style>
  <w:style w:type="paragraph" w:customStyle="1" w:styleId="9">
    <w:name w:val="Heading #2|1"/>
    <w:basedOn w:val="1"/>
    <w:link w:val="8"/>
    <w:qFormat/>
    <w:uiPriority w:val="0"/>
    <w:pPr>
      <w:spacing w:after="320"/>
      <w:jc w:val="center"/>
      <w:outlineLvl w:val="1"/>
    </w:pPr>
    <w:rPr>
      <w:rFonts w:ascii="宋体" w:hAnsi="宋体" w:eastAsia="宋体" w:cs="宋体"/>
      <w:sz w:val="30"/>
      <w:szCs w:val="30"/>
      <w:lang w:val="zh-TW" w:eastAsia="zh-TW" w:bidi="zh-TW"/>
    </w:rPr>
  </w:style>
  <w:style w:type="character" w:customStyle="1" w:styleId="10">
    <w:name w:val="Other|1_"/>
    <w:basedOn w:val="5"/>
    <w:link w:val="11"/>
    <w:qFormat/>
    <w:uiPriority w:val="0"/>
    <w:rPr>
      <w:rFonts w:ascii="宋体" w:hAnsi="宋体" w:eastAsia="宋体" w:cs="宋体"/>
      <w:sz w:val="22"/>
      <w:szCs w:val="22"/>
      <w:u w:val="none"/>
      <w:shd w:val="clear" w:color="auto" w:fill="auto"/>
      <w:lang w:val="zh-TW" w:eastAsia="zh-TW" w:bidi="zh-TW"/>
    </w:rPr>
  </w:style>
  <w:style w:type="paragraph" w:customStyle="1" w:styleId="11">
    <w:name w:val="Other|1"/>
    <w:basedOn w:val="1"/>
    <w:link w:val="10"/>
    <w:qFormat/>
    <w:uiPriority w:val="0"/>
    <w:pPr>
      <w:jc w:val="center"/>
    </w:pPr>
    <w:rPr>
      <w:rFonts w:ascii="宋体" w:hAnsi="宋体" w:eastAsia="宋体" w:cs="宋体"/>
      <w:sz w:val="22"/>
      <w:szCs w:val="22"/>
      <w:lang w:val="zh-TW" w:eastAsia="zh-TW" w:bidi="zh-TW"/>
    </w:rPr>
  </w:style>
  <w:style w:type="character" w:customStyle="1" w:styleId="12">
    <w:name w:val="Other|2_"/>
    <w:basedOn w:val="5"/>
    <w:link w:val="13"/>
    <w:uiPriority w:val="0"/>
    <w:rPr>
      <w:rFonts w:ascii="宋体" w:hAnsi="宋体" w:eastAsia="宋体" w:cs="宋体"/>
      <w:u w:val="none"/>
      <w:shd w:val="clear" w:color="auto" w:fill="auto"/>
      <w:lang w:val="zh-TW" w:eastAsia="zh-TW" w:bidi="zh-TW"/>
    </w:rPr>
  </w:style>
  <w:style w:type="paragraph" w:customStyle="1" w:styleId="13">
    <w:name w:val="Other|2"/>
    <w:basedOn w:val="1"/>
    <w:link w:val="12"/>
    <w:uiPriority w:val="0"/>
    <w:pPr>
      <w:ind w:firstLine="160"/>
    </w:pPr>
    <w:rPr>
      <w:rFonts w:ascii="宋体" w:hAnsi="宋体" w:eastAsia="宋体" w:cs="宋体"/>
      <w:lang w:val="zh-TW" w:eastAsia="zh-TW" w:bidi="zh-TW"/>
    </w:rPr>
  </w:style>
  <w:style w:type="character" w:customStyle="1" w:styleId="14">
    <w:name w:val="Body text|1_"/>
    <w:basedOn w:val="5"/>
    <w:link w:val="15"/>
    <w:uiPriority w:val="0"/>
    <w:rPr>
      <w:rFonts w:ascii="宋体" w:hAnsi="宋体" w:eastAsia="宋体" w:cs="宋体"/>
      <w:sz w:val="28"/>
      <w:szCs w:val="28"/>
      <w:u w:val="none"/>
      <w:shd w:val="clear" w:color="auto" w:fill="auto"/>
      <w:lang w:val="zh-TW" w:eastAsia="zh-TW" w:bidi="zh-TW"/>
    </w:rPr>
  </w:style>
  <w:style w:type="paragraph" w:customStyle="1" w:styleId="15">
    <w:name w:val="Body text|1"/>
    <w:basedOn w:val="1"/>
    <w:link w:val="14"/>
    <w:qFormat/>
    <w:uiPriority w:val="0"/>
    <w:pPr>
      <w:spacing w:line="406" w:lineRule="auto"/>
      <w:ind w:firstLine="40"/>
    </w:pPr>
    <w:rPr>
      <w:rFonts w:ascii="宋体" w:hAnsi="宋体" w:eastAsia="宋体" w:cs="宋体"/>
      <w:sz w:val="28"/>
      <w:szCs w:val="28"/>
      <w:lang w:val="zh-TW" w:eastAsia="zh-TW" w:bidi="zh-TW"/>
    </w:rPr>
  </w:style>
  <w:style w:type="character" w:customStyle="1" w:styleId="16">
    <w:name w:val="Heading #1|1_"/>
    <w:basedOn w:val="5"/>
    <w:link w:val="17"/>
    <w:uiPriority w:val="0"/>
    <w:rPr>
      <w:rFonts w:ascii="宋体" w:hAnsi="宋体" w:eastAsia="宋体" w:cs="宋体"/>
      <w:sz w:val="36"/>
      <w:szCs w:val="36"/>
      <w:u w:val="none"/>
      <w:shd w:val="clear" w:color="auto" w:fill="auto"/>
      <w:lang w:val="zh-TW" w:eastAsia="zh-TW" w:bidi="zh-TW"/>
    </w:rPr>
  </w:style>
  <w:style w:type="paragraph" w:customStyle="1" w:styleId="17">
    <w:name w:val="Heading #1|1"/>
    <w:basedOn w:val="1"/>
    <w:link w:val="16"/>
    <w:qFormat/>
    <w:uiPriority w:val="0"/>
    <w:pPr>
      <w:spacing w:after="200"/>
      <w:jc w:val="center"/>
      <w:outlineLvl w:val="0"/>
    </w:pPr>
    <w:rPr>
      <w:rFonts w:ascii="宋体" w:hAnsi="宋体" w:eastAsia="宋体" w:cs="宋体"/>
      <w:sz w:val="36"/>
      <w:szCs w:val="36"/>
      <w:lang w:val="zh-TW" w:eastAsia="zh-TW" w:bidi="zh-TW"/>
    </w:rPr>
  </w:style>
  <w:style w:type="character" w:customStyle="1" w:styleId="18">
    <w:name w:val="Body text|2_"/>
    <w:basedOn w:val="5"/>
    <w:link w:val="19"/>
    <w:uiPriority w:val="0"/>
    <w:rPr>
      <w:rFonts w:ascii="宋体" w:hAnsi="宋体" w:eastAsia="宋体" w:cs="宋体"/>
      <w:sz w:val="17"/>
      <w:szCs w:val="17"/>
      <w:u w:val="none"/>
      <w:shd w:val="clear" w:color="auto" w:fill="auto"/>
      <w:lang w:val="zh-TW" w:eastAsia="zh-TW" w:bidi="zh-TW"/>
    </w:rPr>
  </w:style>
  <w:style w:type="paragraph" w:customStyle="1" w:styleId="19">
    <w:name w:val="Body text|2"/>
    <w:basedOn w:val="1"/>
    <w:link w:val="18"/>
    <w:qFormat/>
    <w:uiPriority w:val="0"/>
    <w:pPr>
      <w:spacing w:after="420"/>
      <w:ind w:firstLine="620"/>
    </w:pPr>
    <w:rPr>
      <w:rFonts w:ascii="宋体" w:hAnsi="宋体" w:eastAsia="宋体" w:cs="宋体"/>
      <w:sz w:val="17"/>
      <w:szCs w:val="17"/>
      <w:lang w:val="zh-TW" w:eastAsia="zh-TW" w:bidi="zh-TW"/>
    </w:rPr>
  </w:style>
  <w:style w:type="character" w:customStyle="1" w:styleId="20">
    <w:name w:val="页眉 Char"/>
    <w:basedOn w:val="5"/>
    <w:link w:val="3"/>
    <w:uiPriority w:val="0"/>
    <w:rPr>
      <w:rFonts w:eastAsia="Times New Roman"/>
      <w:color w:val="000000"/>
      <w:sz w:val="18"/>
      <w:szCs w:val="18"/>
      <w:lang w:eastAsia="en-US" w:bidi="en-US"/>
    </w:rPr>
  </w:style>
  <w:style w:type="character" w:customStyle="1" w:styleId="21">
    <w:name w:val="页脚 Char"/>
    <w:basedOn w:val="5"/>
    <w:link w:val="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120</Words>
  <Characters>684</Characters>
  <Lines>5</Lines>
  <Paragraphs>1</Paragraphs>
  <TotalTime>19</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2021-11-29T07:27:00Z</dcterms:created>
  <dc:creator>Administrator</dc:creator>
  <cp:lastModifiedBy>文印员 null</cp:lastModifiedBy>
  <dcterms:modified xsi:type="dcterms:W3CDTF">2022-12-15T06:09:24Z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