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w:t>
      </w:r>
      <w:bookmarkStart w:id="0" w:name="_GoBack"/>
      <w:bookmarkEnd w:id="0"/>
      <w:r>
        <w:rPr>
          <w:rFonts w:hint="eastAsia" w:eastAsia="方正小标宋简体"/>
          <w:bCs/>
          <w:sz w:val="46"/>
          <w:szCs w:val="46"/>
        </w:rPr>
        <w:t>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岳阳市人民政府</w:t>
      </w:r>
      <w:r>
        <w:rPr>
          <w:rFonts w:hint="eastAsia" w:eastAsia="仿宋_GB2312"/>
          <w:sz w:val="32"/>
          <w:szCs w:val="32"/>
          <w:u w:val="single"/>
          <w:lang w:val="en-US" w:eastAsia="zh-CN"/>
        </w:rPr>
        <w:t>研究</w:t>
      </w:r>
      <w:r>
        <w:rPr>
          <w:rFonts w:hint="eastAsia" w:eastAsia="仿宋_GB2312"/>
          <w:sz w:val="32"/>
          <w:szCs w:val="32"/>
          <w:u w:val="single"/>
        </w:rPr>
        <w:t xml:space="preserve">室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2310</w:t>
      </w:r>
      <w:r>
        <w:rPr>
          <w:rFonts w:hint="eastAsia" w:eastAsia="仿宋_GB2312"/>
          <w:spacing w:val="20"/>
          <w:sz w:val="32"/>
          <w:szCs w:val="32"/>
          <w:u w:val="single"/>
        </w:rPr>
        <w:t xml:space="preserve">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2</w:t>
      </w:r>
      <w:r>
        <w:rPr>
          <w:rFonts w:hint="eastAsia" w:eastAsia="仿宋_GB2312"/>
          <w:sz w:val="32"/>
        </w:rPr>
        <w:t>年</w:t>
      </w:r>
      <w:r>
        <w:rPr>
          <w:rFonts w:hint="eastAsia" w:eastAsia="仿宋_GB2312"/>
          <w:sz w:val="32"/>
          <w:lang w:val="en-US" w:eastAsia="zh-CN"/>
        </w:rPr>
        <w:t>9</w:t>
      </w:r>
      <w:r>
        <w:rPr>
          <w:rFonts w:hint="eastAsia" w:eastAsia="仿宋_GB2312"/>
          <w:sz w:val="32"/>
        </w:rPr>
        <w:t>月</w:t>
      </w:r>
      <w:r>
        <w:rPr>
          <w:rFonts w:hint="eastAsia" w:eastAsia="仿宋_GB2312"/>
          <w:sz w:val="32"/>
          <w:lang w:val="en-US" w:eastAsia="zh-CN"/>
        </w:rPr>
        <w:t>19</w:t>
      </w:r>
      <w:r>
        <w:rPr>
          <w:rFonts w:hint="eastAsia" w:eastAsia="仿宋_GB2312"/>
          <w:sz w:val="32"/>
        </w:rPr>
        <w:t xml:space="preserve"> 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蔡吉伟</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8807301988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2</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一）负责《政府工作报告》和市长、常务副市长重要讲话、报告、文章的起草以及有关新闻稿的审定。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（二）负责市政府重要汇报材料的起草；参与组织和协同有关方面起草、修改市政府的有关重要综合性文件。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（三）负责对涉及全市经济建设、社会发展和改革开放等全局性工作的重大课题调查研究，提出对策建议和可行性参考方案。</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（四）对市内外经济形势和重要政策进行分析和研究，提出政策建议。收集、分析、整理和报送经济社会发展的重要信息、动态，为市政府决策提供参考建议。</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（五）承担市专家咨询委员会的日常工作；组织专家对全市经济社会发展重大问题、决策、项目等方面开展研究论证和决策咨询服务。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（六）完成市委、市政府交办的其他任务。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1：起草《政府工作报告》和市政府主要领导同志重要讲话、报告、文章；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2：起草市政府向省委、省政府的重要汇报材料；</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3：组织和协同起草、修改市政府的有关重要综合性文件；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4：参与起草市委、市政府有关重要会议的文件；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5：组织重大课题调查研究并完成有价值、有见地、有分析、有对策的调研成果，为市委市政府决策提供可靠依据和可行对策；</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6：收集、整理全市政务信息，及时向省政府办公厅传报；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7：收集、分析、整理和报送经济社会发展的重要信息、动态，为市政府决策提供参考建议；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年度，较好完成了市委市政府的各项工作任务，</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年以来，共起草领导讲话、专题报告、宣传片脚本、考察线路解说词等文稿</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00余篇。全年累计报送政务信息</w:t>
            </w:r>
            <w:r>
              <w:rPr>
                <w:rFonts w:hint="eastAsia" w:ascii="仿宋_GB2312" w:hAnsi="仿宋_GB2312" w:eastAsia="仿宋_GB2312" w:cs="仿宋_GB2312"/>
                <w:color w:val="000000"/>
                <w:sz w:val="24"/>
                <w:lang w:val="en-US" w:eastAsia="zh-CN"/>
              </w:rPr>
              <w:t>98</w:t>
            </w:r>
            <w:r>
              <w:rPr>
                <w:rFonts w:hint="eastAsia" w:ascii="仿宋_GB2312" w:hAnsi="仿宋_GB2312" w:eastAsia="仿宋_GB2312" w:cs="仿宋_GB2312"/>
                <w:color w:val="000000"/>
                <w:sz w:val="24"/>
              </w:rPr>
              <w:t>3条，有1</w:t>
            </w:r>
            <w:r>
              <w:rPr>
                <w:rFonts w:hint="eastAsia" w:ascii="仿宋_GB2312" w:hAnsi="仿宋_GB2312" w:eastAsia="仿宋_GB2312" w:cs="仿宋_GB2312"/>
                <w:color w:val="000000"/>
                <w:sz w:val="24"/>
                <w:lang w:val="en-US" w:eastAsia="zh-CN"/>
              </w:rPr>
              <w:t>90</w:t>
            </w:r>
            <w:r>
              <w:rPr>
                <w:rFonts w:hint="eastAsia" w:ascii="仿宋_GB2312" w:hAnsi="仿宋_GB2312" w:eastAsia="仿宋_GB2312" w:cs="仿宋_GB2312"/>
                <w:color w:val="000000"/>
                <w:sz w:val="24"/>
              </w:rPr>
              <w:t>多条被省政府采用，超额完成了省定目标任务，20</w:t>
            </w:r>
            <w:r>
              <w:rPr>
                <w:rFonts w:hint="eastAsia" w:ascii="仿宋_GB2312" w:hAnsi="仿宋_GB2312" w:eastAsia="仿宋_GB2312" w:cs="仿宋_GB2312"/>
                <w:color w:val="000000"/>
                <w:sz w:val="24"/>
                <w:lang w:val="en-US" w:eastAsia="zh-CN"/>
              </w:rPr>
              <w:t>21</w:t>
            </w:r>
            <w:r>
              <w:rPr>
                <w:rFonts w:hint="eastAsia" w:ascii="仿宋_GB2312" w:hAnsi="仿宋_GB2312" w:eastAsia="仿宋_GB2312" w:cs="仿宋_GB2312"/>
                <w:color w:val="000000"/>
                <w:sz w:val="24"/>
              </w:rPr>
              <w:t>年综合排名跃居全省第3位。</w:t>
            </w:r>
          </w:p>
          <w:p>
            <w:pPr>
              <w:autoSpaceDN w:val="0"/>
              <w:spacing w:line="320" w:lineRule="exact"/>
              <w:ind w:firstLine="480" w:firstLineChars="20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ind w:firstLine="280" w:firstLineChars="100"/>
              <w:rPr>
                <w:rFonts w:ascii="仿宋_GB2312" w:hAnsi="仿宋_GB2312" w:eastAsia="仿宋_GB2312" w:cs="仿宋_GB2312"/>
                <w:sz w:val="24"/>
              </w:rPr>
            </w:pPr>
            <w:r>
              <w:rPr>
                <w:rFonts w:hint="eastAsia" w:ascii="仿宋_GB2312" w:hAnsi="宋体" w:eastAsia="仿宋_GB2312" w:cs="仿宋_GB2312"/>
                <w:i w:val="0"/>
                <w:iCs w:val="0"/>
                <w:color w:val="auto"/>
                <w:kern w:val="0"/>
                <w:sz w:val="28"/>
                <w:szCs w:val="28"/>
                <w:u w:val="none"/>
                <w:lang w:val="en-US" w:eastAsia="zh-CN" w:bidi="ar"/>
              </w:rPr>
              <w:t>193.61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cs="仿宋_GB2312"/>
                <w:i w:val="0"/>
                <w:iCs w:val="0"/>
                <w:color w:val="auto"/>
                <w:kern w:val="0"/>
                <w:sz w:val="28"/>
                <w:szCs w:val="28"/>
                <w:u w:val="none"/>
                <w:lang w:val="en-US" w:eastAsia="zh-CN" w:bidi="ar"/>
              </w:rPr>
              <w:t>193.61</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193.91</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cs="宋体"/>
                <w:i w:val="0"/>
                <w:color w:val="auto"/>
                <w:kern w:val="0"/>
                <w:sz w:val="22"/>
                <w:szCs w:val="22"/>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ind w:firstLine="240" w:firstLineChars="100"/>
              <w:jc w:val="left"/>
              <w:rPr>
                <w:rFonts w:ascii="仿宋_GB2312" w:hAnsi="仿宋_GB2312" w:eastAsia="仿宋_GB2312" w:cs="仿宋_GB2312"/>
                <w:color w:val="000000"/>
                <w:sz w:val="24"/>
              </w:rPr>
            </w:pP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宋体" w:eastAsia="仿宋_GB2312" w:cs="仿宋_GB2312"/>
                <w:i w:val="0"/>
                <w:iCs w:val="0"/>
                <w:color w:val="auto"/>
                <w:kern w:val="0"/>
                <w:sz w:val="28"/>
                <w:szCs w:val="28"/>
                <w:u w:val="none"/>
                <w:lang w:val="en-US" w:eastAsia="zh-CN" w:bidi="ar"/>
              </w:rPr>
              <w:t>193.61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auto"/>
                <w:kern w:val="0"/>
                <w:sz w:val="28"/>
                <w:szCs w:val="28"/>
                <w:u w:val="none"/>
                <w:lang w:val="en-US" w:eastAsia="zh-CN" w:bidi="ar"/>
              </w:rPr>
              <w:t>162.13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宋体" w:eastAsia="仿宋_GB2312" w:cs="仿宋_GB2312"/>
                <w:i w:val="0"/>
                <w:iCs w:val="0"/>
                <w:color w:val="auto"/>
                <w:kern w:val="0"/>
                <w:sz w:val="28"/>
                <w:szCs w:val="28"/>
                <w:u w:val="none"/>
                <w:lang w:val="en-US" w:eastAsia="zh-CN" w:bidi="ar"/>
              </w:rPr>
              <w:t>138.71</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2"/>
                <w:szCs w:val="22"/>
                <w:u w:val="none"/>
                <w:lang w:val="en-US" w:eastAsia="zh-CN" w:bidi="ar"/>
              </w:rPr>
              <w:t>107.7</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6</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ind w:firstLine="240" w:firstLineChars="100"/>
              <w:jc w:val="left"/>
              <w:rPr>
                <w:rFonts w:ascii="仿宋_GB2312" w:hAnsi="仿宋_GB2312" w:eastAsia="仿宋_GB2312" w:cs="仿宋_GB2312"/>
                <w:sz w:val="24"/>
              </w:rPr>
            </w:pP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20.70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auto"/>
                <w:kern w:val="0"/>
                <w:sz w:val="28"/>
                <w:szCs w:val="28"/>
                <w:u w:val="none"/>
                <w:lang w:val="en-US" w:eastAsia="zh-CN" w:bidi="ar"/>
              </w:rPr>
              <w:t>7.20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ind w:firstLine="240" w:firstLineChars="100"/>
              <w:jc w:val="left"/>
              <w:rPr>
                <w:rFonts w:ascii="仿宋_GB2312" w:hAnsi="仿宋_GB2312" w:eastAsia="仿宋_GB2312" w:cs="仿宋_GB2312"/>
                <w:sz w:val="24"/>
              </w:rPr>
            </w:pP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1：起草《政府工作报告》和市政府主要领导同志重要讲话、报告、文章；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2：起草市政府向省委、省政府的重要汇报材料；</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3：组织和协同起草、修改市政府的有关重要综合性文件；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4：参与起草市委、市政府有关重要会议的文件；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5：组织重大课题调查研究并完成有价值、有见地、有分析、有对策的调研成果，为市委市政府决策提供可靠依据和可行对策；</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6：收集、整理全市政务信息，及时向省政府办公厅传报；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7：收集、分析、整理和报送经济社会发展的重要信息、动态，为市政府决策提供参考建议；</w:t>
            </w:r>
          </w:p>
        </w:tc>
        <w:tc>
          <w:tcPr>
            <w:tcW w:w="4585" w:type="dxa"/>
            <w:gridSpan w:val="9"/>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年度，较好完成了市委市政府的各项工作任务，</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年以来，共起草领导讲话、专题报告、宣传片脚本、考察线路解说词等文稿</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00余篇。全年累计报送政务信息</w:t>
            </w:r>
            <w:r>
              <w:rPr>
                <w:rFonts w:hint="eastAsia" w:ascii="仿宋_GB2312" w:hAnsi="仿宋_GB2312" w:eastAsia="仿宋_GB2312" w:cs="仿宋_GB2312"/>
                <w:color w:val="000000"/>
                <w:sz w:val="24"/>
                <w:lang w:val="en-US" w:eastAsia="zh-CN"/>
              </w:rPr>
              <w:t>98</w:t>
            </w:r>
            <w:r>
              <w:rPr>
                <w:rFonts w:hint="eastAsia" w:ascii="仿宋_GB2312" w:hAnsi="仿宋_GB2312" w:eastAsia="仿宋_GB2312" w:cs="仿宋_GB2312"/>
                <w:color w:val="000000"/>
                <w:sz w:val="24"/>
              </w:rPr>
              <w:t>3条，有1</w:t>
            </w:r>
            <w:r>
              <w:rPr>
                <w:rFonts w:hint="eastAsia" w:ascii="仿宋_GB2312" w:hAnsi="仿宋_GB2312" w:eastAsia="仿宋_GB2312" w:cs="仿宋_GB2312"/>
                <w:color w:val="000000"/>
                <w:sz w:val="24"/>
                <w:lang w:val="en-US" w:eastAsia="zh-CN"/>
              </w:rPr>
              <w:t>90</w:t>
            </w:r>
            <w:r>
              <w:rPr>
                <w:rFonts w:hint="eastAsia" w:ascii="仿宋_GB2312" w:hAnsi="仿宋_GB2312" w:eastAsia="仿宋_GB2312" w:cs="仿宋_GB2312"/>
                <w:color w:val="000000"/>
                <w:sz w:val="24"/>
              </w:rPr>
              <w:t>多条被省政府采用，超额完成了省定目标任务，20</w:t>
            </w:r>
            <w:r>
              <w:rPr>
                <w:rFonts w:hint="eastAsia" w:ascii="仿宋_GB2312" w:hAnsi="仿宋_GB2312" w:eastAsia="仿宋_GB2312" w:cs="仿宋_GB2312"/>
                <w:color w:val="000000"/>
                <w:sz w:val="24"/>
                <w:lang w:val="en-US" w:eastAsia="zh-CN"/>
              </w:rPr>
              <w:t>21</w:t>
            </w:r>
            <w:r>
              <w:rPr>
                <w:rFonts w:hint="eastAsia" w:ascii="仿宋_GB2312" w:hAnsi="仿宋_GB2312" w:eastAsia="仿宋_GB2312" w:cs="仿宋_GB2312"/>
                <w:color w:val="000000"/>
                <w:sz w:val="24"/>
              </w:rPr>
              <w:t>年综合排名跃居全省第3位。</w:t>
            </w:r>
          </w:p>
          <w:p>
            <w:pPr>
              <w:autoSpaceDN w:val="0"/>
              <w:spacing w:line="320" w:lineRule="exact"/>
              <w:ind w:firstLine="480" w:firstLineChars="200"/>
              <w:jc w:val="left"/>
              <w:textAlignment w:val="center"/>
              <w:rPr>
                <w:rFonts w:ascii="仿宋_GB2312" w:hAnsi="仿宋_GB2312" w:eastAsia="仿宋_GB2312" w:cs="仿宋_GB2312"/>
                <w:color w:val="000000"/>
                <w:sz w:val="24"/>
              </w:rPr>
            </w:pPr>
          </w:p>
          <w:p>
            <w:pPr>
              <w:autoSpaceDN w:val="0"/>
              <w:spacing w:line="320" w:lineRule="exact"/>
              <w:ind w:firstLine="360" w:firstLineChars="15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lang w:val="en-US" w:eastAsia="zh-CN"/>
              </w:rPr>
              <w:t>及时完成《政府工作报告》等各类文稿材料，调研成果完成</w:t>
            </w:r>
            <w:r>
              <w:rPr>
                <w:rFonts w:hint="eastAsia" w:ascii="仿宋_GB2312" w:eastAsia="仿宋_GB2312"/>
              </w:rPr>
              <w:t>率100%</w:t>
            </w:r>
          </w:p>
        </w:tc>
        <w:tc>
          <w:tcPr>
            <w:tcW w:w="2684" w:type="dxa"/>
            <w:gridSpan w:val="6"/>
            <w:vAlign w:val="center"/>
          </w:tcPr>
          <w:p>
            <w:pPr>
              <w:autoSpaceDN w:val="0"/>
              <w:spacing w:line="320" w:lineRule="exact"/>
              <w:ind w:firstLine="315" w:firstLineChars="150"/>
              <w:jc w:val="left"/>
              <w:textAlignment w:val="center"/>
              <w:rPr>
                <w:rFonts w:ascii="仿宋_GB2312" w:hAnsi="仿宋_GB2312" w:eastAsia="仿宋_GB2312" w:cs="仿宋_GB2312"/>
                <w:color w:val="000000"/>
                <w:sz w:val="24"/>
              </w:rPr>
            </w:pPr>
            <w:r>
              <w:rPr>
                <w:rFonts w:hint="eastAsia" w:ascii="仿宋_GB2312" w:eastAsia="仿宋_GB2312"/>
                <w:lang w:val="en-US" w:eastAsia="zh-CN"/>
              </w:rPr>
              <w:t>调研成果完成率</w:t>
            </w:r>
            <w:r>
              <w:rPr>
                <w:rFonts w:hint="eastAsia" w:ascii="仿宋_GB2312" w:eastAsia="仿宋_GB231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4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numPr>
                <w:ilvl w:val="0"/>
                <w:numId w:val="2"/>
              </w:numPr>
              <w:jc w:val="left"/>
              <w:rPr>
                <w:rFonts w:hint="eastAsia" w:ascii="仿宋_GB2312" w:eastAsia="仿宋_GB2312"/>
                <w:lang w:val="en-US" w:eastAsia="zh-CN"/>
              </w:rPr>
            </w:pPr>
            <w:r>
              <w:rPr>
                <w:rFonts w:hint="eastAsia" w:ascii="仿宋_GB2312" w:eastAsia="仿宋_GB2312"/>
                <w:lang w:val="en-US" w:eastAsia="zh-CN"/>
              </w:rPr>
              <w:t>组织完成20个重大课题调查研究；</w:t>
            </w:r>
          </w:p>
          <w:p>
            <w:pPr>
              <w:numPr>
                <w:ilvl w:val="0"/>
                <w:numId w:val="2"/>
              </w:numPr>
              <w:jc w:val="left"/>
              <w:rPr>
                <w:rFonts w:hint="default" w:ascii="仿宋_GB2312" w:eastAsia="仿宋_GB2312"/>
                <w:lang w:val="en-US" w:eastAsia="zh-CN"/>
              </w:rPr>
            </w:pPr>
            <w:r>
              <w:rPr>
                <w:rFonts w:hint="eastAsia" w:ascii="仿宋_GB2312" w:eastAsia="仿宋_GB2312"/>
                <w:lang w:val="en-US" w:eastAsia="zh-CN"/>
              </w:rPr>
              <w:t>收集、整理全市政务信息，报送700条以上政务信息；</w:t>
            </w:r>
          </w:p>
          <w:p>
            <w:pPr>
              <w:widowControl/>
              <w:numPr>
                <w:ilvl w:val="0"/>
                <w:numId w:val="2"/>
              </w:numPr>
              <w:ind w:left="0" w:leftChars="0" w:firstLine="0" w:firstLineChars="0"/>
              <w:jc w:val="left"/>
              <w:rPr>
                <w:rFonts w:hint="eastAsia" w:ascii="仿宋_GB2312" w:eastAsia="仿宋_GB2312"/>
                <w:lang w:val="en-US" w:eastAsia="zh-CN"/>
              </w:rPr>
            </w:pPr>
            <w:r>
              <w:rPr>
                <w:rFonts w:hint="eastAsia" w:ascii="仿宋_GB2312" w:eastAsia="仿宋_GB2312"/>
                <w:lang w:val="en-US" w:eastAsia="zh-CN"/>
              </w:rPr>
              <w:t>收集、分析、整理和报送100份以上的经济社会发展的重要信息、动态，为市政府决策提供参考建议；</w:t>
            </w:r>
          </w:p>
          <w:p>
            <w:pPr>
              <w:autoSpaceDN w:val="0"/>
              <w:spacing w:line="320" w:lineRule="exact"/>
              <w:jc w:val="left"/>
              <w:textAlignment w:val="center"/>
              <w:rPr>
                <w:rFonts w:hint="eastAsia" w:ascii="仿宋_GB2312" w:eastAsia="仿宋_GB2312"/>
                <w:lang w:val="en-US" w:eastAsia="zh-CN"/>
              </w:rPr>
            </w:pPr>
            <w:r>
              <w:rPr>
                <w:rFonts w:hint="eastAsia" w:ascii="仿宋_GB2312" w:eastAsia="仿宋_GB2312"/>
                <w:lang w:val="en-US" w:eastAsia="zh-CN"/>
              </w:rPr>
              <w:t>组织和协同起草、修改市政府的有关重要综合性材料500份以上</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ind w:firstLine="210" w:firstLineChars="100"/>
              <w:jc w:val="lef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合计1320份（条）以上</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rPr>
              <w:t>年底前完成任务</w:t>
            </w:r>
          </w:p>
        </w:tc>
        <w:tc>
          <w:tcPr>
            <w:tcW w:w="2684" w:type="dxa"/>
            <w:gridSpan w:val="6"/>
            <w:vAlign w:val="center"/>
          </w:tcPr>
          <w:p>
            <w:pPr>
              <w:autoSpaceDN w:val="0"/>
              <w:spacing w:line="320" w:lineRule="exact"/>
              <w:ind w:firstLine="210" w:firstLineChars="100"/>
              <w:jc w:val="left"/>
              <w:textAlignment w:val="center"/>
              <w:rPr>
                <w:rFonts w:ascii="仿宋_GB2312" w:hAnsi="仿宋_GB2312" w:eastAsia="仿宋_GB2312" w:cs="仿宋_GB2312"/>
                <w:color w:val="000000"/>
                <w:sz w:val="24"/>
              </w:rPr>
            </w:pPr>
            <w:r>
              <w:rPr>
                <w:rFonts w:hint="eastAsia" w:ascii="仿宋_GB2312" w:eastAsia="仿宋_GB2312"/>
              </w:rPr>
              <w:t>年内完成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lang w:val="en-US" w:eastAsia="zh-CN"/>
              </w:rPr>
              <w:t>为市委市政府提供参考决策，为岳阳市高质量发展提供决策参谋。</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eastAsia="仿宋_GB2312"/>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lang w:val="en-US" w:eastAsia="zh-CN"/>
              </w:rPr>
              <w:t>逐月收集、分析、整理和报送经济社会发展的重要信息、动态，编辑成《经济动态》刊物，为市政府决策提供参考建议</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eastAsia="仿宋_GB2312"/>
                <w:lang w:val="en-US" w:eastAsia="zh-CN"/>
              </w:rPr>
              <w:t>12份以上</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lang w:val="en-US" w:eastAsia="zh-CN"/>
              </w:rPr>
              <w:t>撰写生态环境、守护好一江碧水、长江经济带高质量发展等方面的材料，为岳阳市生态环境提供参谋服务</w:t>
            </w:r>
          </w:p>
        </w:tc>
        <w:tc>
          <w:tcPr>
            <w:tcW w:w="2684" w:type="dxa"/>
            <w:gridSpan w:val="6"/>
            <w:vAlign w:val="center"/>
          </w:tcPr>
          <w:p>
            <w:pPr>
              <w:autoSpaceDN w:val="0"/>
              <w:spacing w:line="320" w:lineRule="exact"/>
              <w:ind w:firstLine="210" w:firstLineChars="100"/>
              <w:jc w:val="left"/>
              <w:textAlignment w:val="center"/>
              <w:rPr>
                <w:rFonts w:ascii="仿宋_GB2312" w:hAnsi="仿宋_GB2312" w:eastAsia="仿宋_GB2312" w:cs="仿宋_GB2312"/>
                <w:color w:val="000000"/>
                <w:sz w:val="24"/>
              </w:rPr>
            </w:pPr>
            <w:r>
              <w:rPr>
                <w:rFonts w:hint="eastAsia" w:ascii="仿宋_GB2312" w:eastAsia="仿宋_GB2312"/>
                <w:lang w:val="en-US" w:eastAsia="zh-CN"/>
              </w:rPr>
              <w:t>5篇以上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游琦</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办公室主任、一级主任科员</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市</w:t>
            </w:r>
            <w:r>
              <w:rPr>
                <w:rFonts w:hint="eastAsia" w:ascii="仿宋_GB2312" w:hAnsi="仿宋_GB2312" w:eastAsia="仿宋_GB2312" w:cs="仿宋_GB2312"/>
                <w:color w:val="000000"/>
                <w:sz w:val="24"/>
                <w:lang w:val="en-US" w:eastAsia="zh-CN"/>
              </w:rPr>
              <w:t>政府研究室</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陈文</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办公室主任</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市</w:t>
            </w:r>
            <w:r>
              <w:rPr>
                <w:rFonts w:hint="eastAsia" w:ascii="仿宋_GB2312" w:hAnsi="仿宋_GB2312" w:eastAsia="仿宋_GB2312" w:cs="仿宋_GB2312"/>
                <w:color w:val="000000"/>
                <w:sz w:val="24"/>
                <w:lang w:val="en-US" w:eastAsia="zh-CN"/>
              </w:rPr>
              <w:t>政府研究室</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谢亢</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18673000590</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（一）单位基本情况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岳阳市</w:t>
            </w:r>
            <w:r>
              <w:rPr>
                <w:rFonts w:hint="eastAsia" w:ascii="仿宋_GB2312" w:hAnsi="仿宋_GB2312" w:eastAsia="仿宋_GB2312" w:cs="仿宋_GB2312"/>
                <w:bCs/>
                <w:sz w:val="28"/>
                <w:szCs w:val="28"/>
                <w:lang w:val="en-US" w:eastAsia="zh-CN"/>
              </w:rPr>
              <w:t>政府研究室有</w:t>
            </w:r>
            <w:r>
              <w:rPr>
                <w:rFonts w:ascii="仿宋_GB2312" w:hAnsi="仿宋_GB2312" w:eastAsia="仿宋_GB2312" w:cs="仿宋_GB2312"/>
                <w:bCs/>
                <w:sz w:val="28"/>
                <w:szCs w:val="28"/>
              </w:rPr>
              <w:t>在职干部</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人，退休干部</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人，主要职责：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（1）负责起草《政府工作报告》和市政府主要领导同志重要讲话、报告、文章。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（2）负责起草市政府向省委、省政府的重要汇报材料；组织和协同有关方面起草、修改市政府的有关重要综合性文件；参与起草市委、市政府有关重要会议的文件。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（3）对涉及全市经济建设、社会发展和改革开放等全局性工作的重大课题组织调查研究，及时综合归纳，提出供市政府决策的参考方案和政策性建议。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（4）对市内外经济形势和社会发展政策进行分析和研究，提出政策建议。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（5）收集、整理全市政务信息，及时向省政府办公厅传报；收集、分析、整理和报送经济社会发展的重要信息、动态，为市政府决策提供参考建议。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（6）负责全市政府系统的情况综合、调查研究和信息工作指导。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（7）编发《民本岳阳》、《政府通报》、《经济动态》。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textAlignment w:val="center"/>
              <w:rPr>
                <w:rFonts w:ascii="仿宋_GB2312" w:hAnsi="仿宋_GB2312" w:eastAsia="仿宋_GB2312" w:cs="仿宋_GB2312"/>
                <w:bCs/>
                <w:sz w:val="28"/>
                <w:szCs w:val="28"/>
              </w:rPr>
            </w:pPr>
            <w:r>
              <w:rPr>
                <w:rFonts w:hint="eastAsia" w:ascii="仿宋_GB2312" w:hAnsi="仿宋_GB2312" w:eastAsia="仿宋_GB2312" w:cs="仿宋_GB2312"/>
                <w:bCs/>
                <w:kern w:val="2"/>
                <w:sz w:val="28"/>
                <w:szCs w:val="28"/>
                <w:lang w:val="en-US" w:eastAsia="zh-CN" w:bidi="ar-SA"/>
              </w:rPr>
              <w:t>（8）承办市人民政府交办的其他事项。</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（二）单位整体支出规模、使用方向和主要内容、涉及范围</w:t>
            </w:r>
          </w:p>
          <w:p>
            <w:pPr>
              <w:spacing w:line="560" w:lineRule="exact"/>
              <w:ind w:firstLine="560" w:firstLineChars="200"/>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 xml:space="preserve">  2021年</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支出预算193.61万元，其中，一般公共服务支出162.13万元，社会保障和就业支出12.78万元，卫生健康支出9.11万元，住房保障支出9.59万元。支出较去年增加7.24万元，其中基本支出较去年增加7.24万元，原因是</w:t>
            </w:r>
            <w:r>
              <w:rPr>
                <w:rFonts w:hint="eastAsia"/>
                <w:color w:val="auto"/>
                <w:lang w:eastAsia="zh-CN"/>
              </w:rPr>
              <w:t>职工基本工资调整导致工资福利支出收入增加等</w:t>
            </w:r>
            <w:r>
              <w:rPr>
                <w:rFonts w:hint="eastAsia" w:ascii="仿宋_GB2312" w:hAnsi="宋体" w:eastAsia="仿宋_GB2312" w:cs="仿宋_GB2312"/>
                <w:i w:val="0"/>
                <w:iCs w:val="0"/>
                <w:color w:val="auto"/>
                <w:kern w:val="0"/>
                <w:sz w:val="28"/>
                <w:szCs w:val="28"/>
                <w:u w:val="none"/>
                <w:lang w:val="en-US" w:eastAsia="zh-CN" w:bidi="ar"/>
              </w:rPr>
              <w:t>；项目支出与去年持平。</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室</w:t>
            </w:r>
            <w:r>
              <w:rPr>
                <w:rFonts w:ascii="仿宋_GB2312" w:hAnsi="仿宋_GB2312" w:eastAsia="仿宋_GB2312" w:cs="仿宋_GB2312"/>
                <w:bCs/>
                <w:sz w:val="28"/>
                <w:szCs w:val="28"/>
              </w:rPr>
              <w:t>基本支出的范围主要用于人员经费和日常公用经费开支，具体包括工资福利支出、商品和服务支出、对个人和家庭补助支出等。</w:t>
            </w:r>
          </w:p>
          <w:p>
            <w:pPr>
              <w:numPr>
                <w:ilvl w:val="0"/>
                <w:numId w:val="3"/>
              </w:numPr>
              <w:spacing w:line="560" w:lineRule="exact"/>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rPr>
              <w:t>一般公共预算财政拨款基本支出</w:t>
            </w:r>
            <w:r>
              <w:rPr>
                <w:rFonts w:hint="eastAsia" w:ascii="仿宋_GB2312" w:hAnsi="仿宋_GB2312" w:eastAsia="仿宋_GB2312" w:cs="仿宋_GB2312"/>
                <w:b/>
                <w:bCs w:val="0"/>
                <w:sz w:val="28"/>
                <w:szCs w:val="28"/>
                <w:lang w:eastAsia="zh-CN"/>
              </w:rPr>
              <w:t>：</w:t>
            </w:r>
            <w:r>
              <w:rPr>
                <w:rFonts w:hint="eastAsia" w:ascii="仿宋_GB2312" w:hAnsi="宋体" w:eastAsia="仿宋_GB2312" w:cs="仿宋_GB2312"/>
                <w:i w:val="0"/>
                <w:iCs w:val="0"/>
                <w:color w:val="auto"/>
                <w:kern w:val="0"/>
                <w:sz w:val="28"/>
                <w:szCs w:val="28"/>
                <w:u w:val="none"/>
                <w:lang w:val="en-US" w:eastAsia="zh-CN" w:bidi="ar"/>
              </w:rPr>
              <w:t xml:space="preserve"> 2021年一般公共预算拨款支出预算193.61万元，其中，一般公共服务支出162.13万元，占83.7%，社会保障和就业支出12.78万元，占6.6%，卫生健康支出9.11万元，占4.7%，住房保障支出9.59万元，占5.0%。 （一）基本支出：2021年基本支出年初预算数为138.71万元，是指为保障单位机构正常运转、完成日常工作任务而发生的各项支出，包括用于基本工资、津贴补贴等人员经费以及办公费、印刷费、水电费、差旅费等日常公用经费。（二）项目支出：2021年项目支出年初预算数为54.90万元，是指单位为完成特定行政工作任务或事业发展目标而发生的支出，包括有关业务工作经费、运行维护经费等。其中包括政府工作报告及调研专项经费54.90万元</w:t>
            </w:r>
            <w:r>
              <w:rPr>
                <w:rFonts w:hint="eastAsia"/>
                <w:color w:val="auto"/>
                <w:lang w:eastAsia="zh-CN"/>
              </w:rPr>
              <w:t>，主要是用于完成起草《政府工作报告》和市政府主要领导同志重要讲话、报告、文章等专项工作。</w:t>
            </w:r>
          </w:p>
          <w:p>
            <w:pPr>
              <w:numPr>
                <w:ilvl w:val="0"/>
                <w:numId w:val="3"/>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三公”经费财政拨款支出预算为20.69万元，支出决算为3.93万元，完成预算的18.99%，其中：因公出国（境）费支出预算为0万元，支出决算为0万元，与上年相比减少4.56万元，减少100%，主要原因是按照要求，严控因公出国（境）费支出。公务接待费支出预算为13.49万元，支出决算为0.16万元，完成预算的1.19%，决算数小于预算数的主要原因是按照要求，严控公务接待费支出，与上年相比减少0.85万元，减少84.16%,减少的主要原因是按照要求，严控公务接待费支出。公务用车购置费及运行维护费支出预算为7.2万元，支出决算为3.77万元，完成预算的52.36%，决算数小于预算数的主要原因是按照要求，严控公务用车运行维护费支出，与上年相比减少1.03万元，减少21.46%,减少的主要原因是按照要求，严控公务用车运行维护费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按照绩效自评要求，我办组织成立了绩效评价工作小组，组织学习国家法律法规，贯彻落实相关政策，制定了部门整体支出绩效评价实施方案，设计了绩效评价指标体系。核查了202</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年市级财政预算批复执行及部门整体支出情况，着重核查了“三公”经费</w:t>
            </w:r>
            <w:r>
              <w:rPr>
                <w:rFonts w:hint="eastAsia" w:ascii="仿宋_GB2312" w:hAnsi="仿宋_GB2312" w:eastAsia="仿宋_GB2312" w:cs="仿宋_GB2312"/>
                <w:bCs/>
                <w:sz w:val="28"/>
                <w:szCs w:val="28"/>
              </w:rPr>
              <w:t>等</w:t>
            </w:r>
            <w:r>
              <w:rPr>
                <w:rFonts w:ascii="仿宋_GB2312" w:hAnsi="仿宋_GB2312" w:eastAsia="仿宋_GB2312" w:cs="仿宋_GB2312"/>
                <w:bCs/>
                <w:sz w:val="28"/>
                <w:szCs w:val="28"/>
              </w:rPr>
              <w:t>。对内设机构，根据职能和年初制定的绩效考核目标，进行了实地绩效考评。</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（二）专项管理情况分析</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1、严格预算支出管理。在支出预算编制上，人员经费按照配置定额，逐人核定编制，公用经费分类分档，按定额编制；根据“总量控制、计划管理”的要求从严控制行政经费，压缩</w:t>
            </w:r>
            <w:r>
              <w:rPr>
                <w:rFonts w:hint="eastAsia" w:ascii="仿宋_GB2312" w:hAnsi="仿宋_GB2312" w:eastAsia="仿宋_GB2312" w:cs="仿宋_GB2312"/>
                <w:bCs/>
                <w:sz w:val="28"/>
                <w:szCs w:val="28"/>
              </w:rPr>
              <w:t>一般性支出</w:t>
            </w:r>
            <w:r>
              <w:rPr>
                <w:rFonts w:ascii="仿宋_GB2312" w:hAnsi="仿宋_GB2312" w:eastAsia="仿宋_GB2312" w:cs="仿宋_GB2312"/>
                <w:bCs/>
                <w:sz w:val="28"/>
                <w:szCs w:val="28"/>
              </w:rPr>
              <w:t>，严格控制“三公”经费，资产的配置严格政府采购，按照预算科目和项目资金的规定使用财政资金，保障部门整体支出的规范化、制度化。</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2、财务管理按制度运行。根据国家法律法规，省市相关文件规定，各项支出严格按照省市相关文件和制度执行，防范风险，保证财政资金的安全和高效运行。</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widowControl/>
              <w:spacing w:beforeLines="0" w:afterLines="0" w:line="600" w:lineRule="exact"/>
              <w:ind w:firstLine="560" w:firstLineChars="200"/>
              <w:rPr>
                <w:rFonts w:hint="default" w:cs="黑体" w:asciiTheme="minorEastAsia" w:hAnsiTheme="minorEastAsia" w:eastAsiaTheme="minorEastAsia"/>
                <w:color w:val="auto"/>
                <w:kern w:val="0"/>
                <w:sz w:val="32"/>
                <w:szCs w:val="32"/>
                <w:lang w:val="en-US" w:eastAsia="zh-CN" w:bidi="ar-SA"/>
              </w:rPr>
            </w:pPr>
            <w:r>
              <w:rPr>
                <w:rFonts w:hint="default"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lang w:val="en-US" w:eastAsia="zh-CN"/>
              </w:rPr>
              <w:t>21年，市政府研究室政拨款收入合计274.10万元，财政拨款支出合计298.91万元，年末结转和结余0.01万元。主要绩效目标是：完成年度政府工作报告、完成政府主要领导重要讲话材料、政府信息报送、以及课题调研等工作。通过规范预算支出管理，不断完善内部控制制度，理顺内部业务管理流程，部门整体支出管理情况得到了提升，市政府研究室在强化业务管理、财务管理、内部控制和厉行节约等方面开展了大量工作，预算管理水平明显提升。</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通过对我单位整体支出情况的分析，反映出目前在整体支出的预算编制、执行和管理过程中，依然存在一些问题和不足：</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1、预算管理制度不够完善，年初预算不够精细，尚未建立规范的预算制度和标准化管理体系。</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２、预算绩效管理缺乏专职专业管理人员。</w:t>
            </w:r>
          </w:p>
          <w:p>
            <w:pPr>
              <w:spacing w:line="560" w:lineRule="exact"/>
              <w:ind w:firstLine="560" w:firstLineChars="200"/>
              <w:rPr>
                <w:rFonts w:ascii="黑体" w:hAnsi="黑体" w:eastAsia="黑体" w:cs="黑体"/>
                <w:bCs/>
                <w:sz w:val="28"/>
                <w:szCs w:val="28"/>
              </w:rPr>
            </w:pPr>
            <w:r>
              <w:rPr>
                <w:rFonts w:ascii="仿宋_GB2312" w:hAnsi="仿宋_GB2312" w:eastAsia="仿宋_GB2312" w:cs="仿宋_GB2312"/>
                <w:bCs/>
                <w:sz w:val="28"/>
                <w:szCs w:val="28"/>
              </w:rPr>
              <w:t>３、内控制度有待加强。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细化预算编制工作，认真做好预算的编制。</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进一步加强单位预算管理意识，严格按照预算编制的相关制度和要求，公用经费根据单位的年度工作重点工作规划，本着“勤俭节约、保障运转”的原则进行预算的编制，编制范围尽可能全面，不漏项，在预算编制时首先需满足固定性的、相对刚性的费用支出项目，尽量压缩变动性、有控制空间的费用项目；提高预算编制的科学性、合理性、严谨性和可控性。</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２、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３、尽管目前三公经费的预算执行情况较好，仍需进一步严控三公经费支出，严格控制三公经费的规模和比例，严格三公经费支出的审批流程，杜绝挪用和挤占其他预算资金行为，进一步细化三公经费的管理，抓好公车的节能降耗工作，进一步</w:t>
            </w:r>
            <w:r>
              <w:rPr>
                <w:rFonts w:hint="eastAsia" w:ascii="仿宋_GB2312" w:hAnsi="仿宋_GB2312" w:eastAsia="仿宋_GB2312" w:cs="仿宋_GB2312"/>
                <w:bCs/>
                <w:sz w:val="28"/>
                <w:szCs w:val="28"/>
              </w:rPr>
              <w:t>压减</w:t>
            </w:r>
            <w:r>
              <w:rPr>
                <w:rFonts w:ascii="仿宋_GB2312" w:hAnsi="仿宋_GB2312" w:eastAsia="仿宋_GB2312" w:cs="仿宋_GB2312"/>
                <w:bCs/>
                <w:sz w:val="28"/>
                <w:szCs w:val="28"/>
              </w:rPr>
              <w:t>三公经费支出。</w:t>
            </w:r>
          </w:p>
          <w:p>
            <w:pPr>
              <w:spacing w:line="560" w:lineRule="exact"/>
              <w:ind w:firstLine="560" w:firstLineChars="200"/>
              <w:rPr>
                <w:rFonts w:hint="eastAsia" w:eastAsia="仿宋_GB2312"/>
                <w:bCs/>
                <w:sz w:val="28"/>
                <w:szCs w:val="28"/>
                <w:lang w:eastAsia="zh-CN"/>
              </w:rPr>
            </w:pPr>
            <w:r>
              <w:rPr>
                <w:rFonts w:ascii="仿宋_GB2312" w:hAnsi="仿宋_GB2312" w:eastAsia="仿宋_GB2312" w:cs="仿宋_GB2312"/>
                <w:bCs/>
                <w:sz w:val="28"/>
                <w:szCs w:val="28"/>
              </w:rPr>
              <w:t>４、加强财务核算工作，提高财务的精细化管理，确保财务核算的真实、及时、准确、完整</w:t>
            </w:r>
            <w:r>
              <w:rPr>
                <w:rFonts w:hint="eastAsia" w:ascii="仿宋_GB2312" w:hAnsi="仿宋_GB2312" w:eastAsia="仿宋_GB2312" w:cs="仿宋_GB2312"/>
                <w:bCs/>
                <w:sz w:val="28"/>
                <w:szCs w:val="28"/>
                <w:lang w:eastAsia="zh-CN"/>
              </w:rPr>
              <w:t>。</w:t>
            </w:r>
          </w:p>
        </w:tc>
      </w:tr>
    </w:tbl>
    <w:p>
      <w:pPr>
        <w:spacing w:line="348" w:lineRule="auto"/>
        <w:rPr>
          <w:rFonts w:hint="eastAsia" w:ascii="黑体" w:hAnsi="黑体" w:eastAsia="黑体"/>
          <w:sz w:val="32"/>
          <w:szCs w:val="32"/>
        </w:rPr>
      </w:pPr>
    </w:p>
    <w:p>
      <w:pPr>
        <w:spacing w:line="348" w:lineRule="auto"/>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88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ascii="黑体" w:hAnsi="黑体" w:eastAsia="黑体"/>
          <w:sz w:val="32"/>
          <w:szCs w:val="32"/>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1">
    <w:nsid w:val="2BB762BD"/>
    <w:multiLevelType w:val="singleLevel"/>
    <w:tmpl w:val="2BB762BD"/>
    <w:lvl w:ilvl="0" w:tentative="0">
      <w:start w:val="1"/>
      <w:numFmt w:val="decimal"/>
      <w:suff w:val="nothing"/>
      <w:lvlText w:val="%1、"/>
      <w:lvlJc w:val="left"/>
    </w:lvl>
  </w:abstractNum>
  <w:abstractNum w:abstractNumId="2">
    <w:nsid w:val="4CF419E8"/>
    <w:multiLevelType w:val="singleLevel"/>
    <w:tmpl w:val="4CF419E8"/>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NzkwM2U2MjcyYzBhZjUwZjM2OTRmNzE5M2FjNTI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2BD"/>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3B86"/>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4F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119B"/>
    <w:rsid w:val="002125D7"/>
    <w:rsid w:val="00213429"/>
    <w:rsid w:val="0021427E"/>
    <w:rsid w:val="00214659"/>
    <w:rsid w:val="00215498"/>
    <w:rsid w:val="00217512"/>
    <w:rsid w:val="00220FD4"/>
    <w:rsid w:val="0022118A"/>
    <w:rsid w:val="00221846"/>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057F"/>
    <w:rsid w:val="002B2428"/>
    <w:rsid w:val="002B35A2"/>
    <w:rsid w:val="002B5B9D"/>
    <w:rsid w:val="002C0F44"/>
    <w:rsid w:val="002C1CC0"/>
    <w:rsid w:val="002C26F7"/>
    <w:rsid w:val="002C3B15"/>
    <w:rsid w:val="002D012B"/>
    <w:rsid w:val="002D0C45"/>
    <w:rsid w:val="002D196C"/>
    <w:rsid w:val="002D257D"/>
    <w:rsid w:val="002D4C75"/>
    <w:rsid w:val="002D7A7D"/>
    <w:rsid w:val="002E172A"/>
    <w:rsid w:val="002E4165"/>
    <w:rsid w:val="002E5BB6"/>
    <w:rsid w:val="002E5BF7"/>
    <w:rsid w:val="002E5EEA"/>
    <w:rsid w:val="002F1297"/>
    <w:rsid w:val="002F14C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34867"/>
    <w:rsid w:val="00341977"/>
    <w:rsid w:val="00341EF7"/>
    <w:rsid w:val="00342F27"/>
    <w:rsid w:val="00343E6F"/>
    <w:rsid w:val="003543F8"/>
    <w:rsid w:val="003553B0"/>
    <w:rsid w:val="00356327"/>
    <w:rsid w:val="003567CB"/>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250F"/>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83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763"/>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479F"/>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260A"/>
    <w:rsid w:val="00697134"/>
    <w:rsid w:val="006A12EF"/>
    <w:rsid w:val="006A16B0"/>
    <w:rsid w:val="006A3BA9"/>
    <w:rsid w:val="006A4A94"/>
    <w:rsid w:val="006A5D87"/>
    <w:rsid w:val="006A5F04"/>
    <w:rsid w:val="006B2A3D"/>
    <w:rsid w:val="006B7806"/>
    <w:rsid w:val="006C0390"/>
    <w:rsid w:val="006C1FC4"/>
    <w:rsid w:val="006C28ED"/>
    <w:rsid w:val="006C2D55"/>
    <w:rsid w:val="006C35BF"/>
    <w:rsid w:val="006C49D8"/>
    <w:rsid w:val="006C646C"/>
    <w:rsid w:val="006D05A2"/>
    <w:rsid w:val="006D30B1"/>
    <w:rsid w:val="006D384A"/>
    <w:rsid w:val="006D4CE1"/>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67BB6"/>
    <w:rsid w:val="00770C15"/>
    <w:rsid w:val="0077174A"/>
    <w:rsid w:val="007749BE"/>
    <w:rsid w:val="0077796D"/>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0309"/>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669A"/>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15B"/>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144"/>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5955"/>
    <w:rsid w:val="00B16BAB"/>
    <w:rsid w:val="00B17FCC"/>
    <w:rsid w:val="00B2041C"/>
    <w:rsid w:val="00B21FDE"/>
    <w:rsid w:val="00B22513"/>
    <w:rsid w:val="00B22C19"/>
    <w:rsid w:val="00B23EF4"/>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3E"/>
    <w:rsid w:val="00B860D1"/>
    <w:rsid w:val="00B866D5"/>
    <w:rsid w:val="00B86D03"/>
    <w:rsid w:val="00B86D8C"/>
    <w:rsid w:val="00B92319"/>
    <w:rsid w:val="00B94D43"/>
    <w:rsid w:val="00B95B70"/>
    <w:rsid w:val="00B95C8D"/>
    <w:rsid w:val="00BA1B08"/>
    <w:rsid w:val="00BA1B51"/>
    <w:rsid w:val="00BA593B"/>
    <w:rsid w:val="00BA7952"/>
    <w:rsid w:val="00BB0596"/>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A13"/>
    <w:rsid w:val="00C35D38"/>
    <w:rsid w:val="00C35D9D"/>
    <w:rsid w:val="00C3778D"/>
    <w:rsid w:val="00C4168B"/>
    <w:rsid w:val="00C4231F"/>
    <w:rsid w:val="00C42C0F"/>
    <w:rsid w:val="00C44F7C"/>
    <w:rsid w:val="00C453ED"/>
    <w:rsid w:val="00C51945"/>
    <w:rsid w:val="00C51AF3"/>
    <w:rsid w:val="00C52A77"/>
    <w:rsid w:val="00C5309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E45F5"/>
    <w:rsid w:val="00CE6C92"/>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156B"/>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6952"/>
    <w:rsid w:val="00E57083"/>
    <w:rsid w:val="00E57B64"/>
    <w:rsid w:val="00E60206"/>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3739"/>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4B4"/>
    <w:rsid w:val="00ED5711"/>
    <w:rsid w:val="00ED5D51"/>
    <w:rsid w:val="00ED7041"/>
    <w:rsid w:val="00EE0EC3"/>
    <w:rsid w:val="00EE4F4D"/>
    <w:rsid w:val="00EE775D"/>
    <w:rsid w:val="00EF0C12"/>
    <w:rsid w:val="00EF231E"/>
    <w:rsid w:val="00EF294C"/>
    <w:rsid w:val="00EF3DA8"/>
    <w:rsid w:val="00EF77F1"/>
    <w:rsid w:val="00EF7F6D"/>
    <w:rsid w:val="00F030EE"/>
    <w:rsid w:val="00F049E8"/>
    <w:rsid w:val="00F051EF"/>
    <w:rsid w:val="00F063D9"/>
    <w:rsid w:val="00F102EF"/>
    <w:rsid w:val="00F1284B"/>
    <w:rsid w:val="00F134C1"/>
    <w:rsid w:val="00F13EA0"/>
    <w:rsid w:val="00F16154"/>
    <w:rsid w:val="00F16E9A"/>
    <w:rsid w:val="00F2044E"/>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677BA"/>
    <w:rsid w:val="00F74924"/>
    <w:rsid w:val="00F75464"/>
    <w:rsid w:val="00F76915"/>
    <w:rsid w:val="00F7710B"/>
    <w:rsid w:val="00F77152"/>
    <w:rsid w:val="00F80802"/>
    <w:rsid w:val="00F81454"/>
    <w:rsid w:val="00F81CBB"/>
    <w:rsid w:val="00F853EC"/>
    <w:rsid w:val="00F8549E"/>
    <w:rsid w:val="00F87499"/>
    <w:rsid w:val="00F905B2"/>
    <w:rsid w:val="00F930C1"/>
    <w:rsid w:val="00F96E78"/>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2AEB"/>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FF35872"/>
    <w:rsid w:val="2AEE71D2"/>
    <w:rsid w:val="432347AC"/>
    <w:rsid w:val="5B100A2B"/>
    <w:rsid w:val="679C4F00"/>
    <w:rsid w:val="6A9E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unhideWhenUsed/>
    <w:qFormat/>
    <w:uiPriority w:val="99"/>
    <w:pPr>
      <w:ind w:firstLine="588" w:firstLineChars="200"/>
    </w:pPr>
    <w:rPr>
      <w:rFonts w:ascii="仿宋_GB2312" w:hAnsi="Calibri" w:eastAsia="仿宋_GB2312"/>
      <w:sz w:val="32"/>
    </w:rPr>
  </w:style>
  <w:style w:type="paragraph" w:styleId="3">
    <w:name w:val="Balloon Text"/>
    <w:basedOn w:val="1"/>
    <w:link w:val="17"/>
    <w:semiHidden/>
    <w:qFormat/>
    <w:uiPriority w:val="0"/>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uiPriority w:val="0"/>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paragraph" w:customStyle="1" w:styleId="13">
    <w:name w:val="Char"/>
    <w:basedOn w:val="1"/>
    <w:qFormat/>
    <w:uiPriority w:val="0"/>
    <w:pPr>
      <w:autoSpaceDE w:val="0"/>
      <w:autoSpaceDN w:val="0"/>
      <w:adjustRightInd w:val="0"/>
    </w:pPr>
    <w:rPr>
      <w:rFonts w:ascii="宋体" w:cs="宋体"/>
      <w:kern w:val="0"/>
      <w:sz w:val="20"/>
      <w:szCs w:val="20"/>
      <w:lang w:val="zh-CN"/>
    </w:rPr>
  </w:style>
  <w:style w:type="character" w:customStyle="1" w:styleId="14">
    <w:name w:val="正文文本缩进 2 Char"/>
    <w:basedOn w:val="8"/>
    <w:link w:val="2"/>
    <w:qFormat/>
    <w:uiPriority w:val="99"/>
    <w:rPr>
      <w:rFonts w:ascii="仿宋_GB2312" w:hAnsi="Calibri" w:eastAsia="仿宋_GB2312" w:cs="Times New Roman"/>
      <w:sz w:val="32"/>
      <w:szCs w:val="24"/>
    </w:rPr>
  </w:style>
  <w:style w:type="paragraph" w:customStyle="1" w:styleId="15">
    <w:name w:val="Char1"/>
    <w:basedOn w:val="1"/>
    <w:qFormat/>
    <w:uiPriority w:val="0"/>
    <w:rPr>
      <w:rFonts w:ascii="仿宋_GB2312" w:eastAsia="仿宋_GB2312"/>
      <w:sz w:val="32"/>
    </w:rPr>
  </w:style>
  <w:style w:type="paragraph" w:customStyle="1" w:styleId="16">
    <w:name w:val="Char Char Char Char Char Char Char Char Char Char Char Char1 Char Char Char Char"/>
    <w:basedOn w:val="1"/>
    <w:uiPriority w:val="0"/>
    <w:pPr>
      <w:numPr>
        <w:ilvl w:val="0"/>
        <w:numId w:val="1"/>
      </w:numPr>
      <w:tabs>
        <w:tab w:val="left" w:pos="720"/>
      </w:tabs>
    </w:pPr>
    <w:rPr>
      <w:szCs w:val="20"/>
    </w:rPr>
  </w:style>
  <w:style w:type="character" w:customStyle="1" w:styleId="17">
    <w:name w:val="批注框文本 Char"/>
    <w:basedOn w:val="8"/>
    <w:link w:val="3"/>
    <w:semiHidden/>
    <w:qFormat/>
    <w:uiPriority w:val="0"/>
    <w:rPr>
      <w:rFonts w:ascii="Times New Roman" w:hAnsi="Times New Roman" w:eastAsia="宋体" w:cs="Times New Roman"/>
      <w:sz w:val="18"/>
      <w:szCs w:val="18"/>
    </w:rPr>
  </w:style>
  <w:style w:type="character" w:customStyle="1" w:styleId="18">
    <w:name w:val="NormalCharacter"/>
    <w:qFormat/>
    <w:uiPriority w:val="0"/>
  </w:style>
  <w:style w:type="paragraph" w:customStyle="1" w:styleId="1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6083</Words>
  <Characters>6506</Characters>
  <Lines>66</Lines>
  <Paragraphs>18</Paragraphs>
  <TotalTime>1</TotalTime>
  <ScaleCrop>false</ScaleCrop>
  <LinksUpToDate>false</LinksUpToDate>
  <CharactersWithSpaces>7014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2021-06-22T09:14:00Z</dcterms:created>
  <dc:creator>User</dc:creator>
  <cp:lastModifiedBy>陈文</cp:lastModifiedBy>
  <dcterms:modified xsi:type="dcterms:W3CDTF">2022-10-08T03:19:07Z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C8E46B48E0E940E2A785390385F56075</vt:lpwstr>
  </property>
</Properties>
</file>