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岳阳市2020年度部门整体支出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岳阳市妇幼保健院</w:t>
      </w:r>
      <w:r>
        <w:rPr>
          <w:rFonts w:hint="eastAsia"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w:t>
      </w:r>
      <w:r>
        <w:rPr>
          <w:rFonts w:hint="eastAsia" w:eastAsia="仿宋_GB2312"/>
          <w:spacing w:val="20"/>
          <w:sz w:val="32"/>
          <w:szCs w:val="32"/>
          <w:u w:val="single"/>
        </w:rPr>
        <w:t>3020</w:t>
      </w:r>
      <w:r>
        <w:rPr>
          <w:rFonts w:hint="default" w:eastAsia="仿宋_GB2312"/>
          <w:spacing w:val="20"/>
          <w:sz w:val="32"/>
          <w:szCs w:val="32"/>
          <w:u w:val="single"/>
          <w:lang w:val="en-US"/>
        </w:rPr>
        <w:t>60</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10</w:t>
      </w:r>
      <w:r>
        <w:rPr>
          <w:rFonts w:hint="eastAsia" w:eastAsia="仿宋_GB2312"/>
          <w:sz w:val="32"/>
        </w:rPr>
        <w:t>日</w:t>
      </w:r>
    </w:p>
    <w:p>
      <w:pPr>
        <w:autoSpaceDN w:val="0"/>
        <w:jc w:val="center"/>
        <w:textAlignment w:val="center"/>
        <w:rPr>
          <w:rFonts w:hint="eastAsia" w:eastAsia="仿宋_GB2312"/>
          <w:sz w:val="32"/>
          <w:szCs w:val="32"/>
        </w:rPr>
      </w:pPr>
      <w:r>
        <w:rPr>
          <w:rFonts w:hint="eastAsia" w:eastAsia="仿宋_GB2312"/>
          <w:sz w:val="32"/>
        </w:rPr>
        <w:t>岳阳市财政</w:t>
      </w:r>
      <w:r>
        <w:rPr>
          <w:rFonts w:hint="eastAsia" w:eastAsia="仿宋_GB2312"/>
          <w:sz w:val="32"/>
          <w:szCs w:val="32"/>
        </w:rPr>
        <w:t>局（制）</w:t>
      </w:r>
    </w:p>
    <w:p>
      <w:pPr>
        <w:autoSpaceDN w:val="0"/>
        <w:jc w:val="center"/>
        <w:textAlignment w:val="center"/>
        <w:rPr>
          <w:rFonts w:hint="eastAsia"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250"/>
        <w:gridCol w:w="40"/>
        <w:gridCol w:w="1145"/>
        <w:gridCol w:w="272"/>
        <w:gridCol w:w="808"/>
        <w:gridCol w:w="1479"/>
        <w:gridCol w:w="226"/>
        <w:gridCol w:w="455"/>
        <w:gridCol w:w="1080"/>
        <w:gridCol w:w="265"/>
        <w:gridCol w:w="139"/>
        <w:gridCol w:w="291"/>
        <w:gridCol w:w="6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黄雨婷</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7"/>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8600586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163</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7"/>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highlight w:val="none"/>
                <w:lang w:val="en-US" w:eastAsia="zh-CN"/>
              </w:rPr>
              <w:t>842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市妇幼保健院为纯公益类单位，隶属市卫健委，负责指导全市妇幼保健工作，指导乡镇卫生院产科建设，开展社区卫生服务；负责贯彻执行《母婴保健法》开展母婴保健服务技术指导等工作，负责全市妇幼卫生干部培训工作；负责全市爱婴医院创建、医疗、科研、健康教育工作；协助卫生行政单位制定全市妇幼卫生工作规划并组织实施，提高出生人口素质以及全民族身体素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任务一：</w:t>
            </w:r>
            <w:r>
              <w:rPr>
                <w:rFonts w:hint="eastAsia" w:ascii="仿宋_GB2312" w:hAnsi="仿宋_GB2312" w:eastAsia="仿宋_GB2312" w:cs="仿宋_GB2312"/>
                <w:color w:val="000000"/>
                <w:sz w:val="24"/>
              </w:rPr>
              <w:t>2021年业务收入同比增长10%左右</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任务二：</w:t>
            </w:r>
            <w:r>
              <w:rPr>
                <w:rFonts w:hint="eastAsia" w:ascii="仿宋_GB2312" w:hAnsi="仿宋_GB2312" w:eastAsia="仿宋_GB2312" w:cs="仿宋_GB2312"/>
                <w:color w:val="000000"/>
                <w:sz w:val="24"/>
              </w:rPr>
              <w:t>加快妇幼的迁建项目的进度，完成顺利搬迁</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任务三：</w:t>
            </w:r>
            <w:r>
              <w:rPr>
                <w:rFonts w:hint="eastAsia" w:ascii="仿宋_GB2312" w:hAnsi="仿宋_GB2312" w:eastAsia="仿宋_GB2312" w:cs="仿宋_GB2312"/>
                <w:color w:val="000000"/>
                <w:sz w:val="24"/>
              </w:rPr>
              <w:t>.推进科技兴院，加强学科建设、加快人才培养，加大专业投入。实施妇幼保健部、儿童保健部、孕产保健部、计划生育部的妇幼保健发展战略；争创妇幼保健、儿童保健、产前诊断等一批省级重点专科。</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任务四：</w:t>
            </w:r>
            <w:r>
              <w:rPr>
                <w:rFonts w:hint="eastAsia" w:ascii="仿宋_GB2312" w:hAnsi="仿宋_GB2312" w:eastAsia="仿宋_GB2312" w:cs="仿宋_GB2312"/>
                <w:color w:val="000000"/>
                <w:sz w:val="24"/>
              </w:rPr>
              <w:t>将生殖医学中心和遗传中心联合打造为岳阳市生殖与遗传专科医院，将专科医院发展为省内一流、国内知名的生殖与遗传诊疗机构，进而树立生殖医学以及遗传医学等专业在湖南的优势地位。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4"/>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2020年，医院在上级部门的正确领导下，围绕年初制定的工作目标，全面深入贯彻党的十九大和十九届五中全会精神，以项目建设为契机，以保障母婴安全为重点，以科技兴院战略为发展动力，强力推进医院二次创业，二次腾飞，医院各项工作保持了稳定、快速发展的良好态势：</w:t>
            </w:r>
          </w:p>
          <w:p>
            <w:pPr>
              <w:numPr>
                <w:ilvl w:val="0"/>
                <w:numId w:val="1"/>
              </w:num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岳阳市妇幼保健院迁建和岳阳市儿童医院新建项目于2020年2月26日正式复工复产，已完成地下室工程、项目主体建筑工程建设，现已进入二次结构建设及装饰装修阶段。</w:t>
            </w:r>
          </w:p>
          <w:p>
            <w:pPr>
              <w:numPr>
                <w:ilvl w:val="0"/>
                <w:numId w:val="1"/>
              </w:num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产前筛查率、产前诊断率、新生儿疾病筛查率、艾滋病、梅毒、乙肝孕期检测率、农村适龄妇女“两癌”筛查率等18项服务指标均圆满完成了省卫健委下达的计划任务。我院获批国家首批耳鼻咽喉出生缺陷防控创新研发基地。</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2020年承办了岳阳市医学会妇产科学学术年会、岳阳市医学会生殖医学专业委员会学术年会、妇女保健科学学术年会和岳阳市危重孕产妇成功抢救评审观摩会，举办了岳阳市医学会围产医学专业委员会胎心监护适宜技术师资培训班、2020年岳阳市危重新生儿救治新进展学术交流会、湖南省PAC联盟全省巡讲（岳阳站）暨生育力保护学习班；评为首批国家分娩镇痛试点医院；儿科哮喘门诊正式成为全国“儿童哮喘标准化门诊”；“特殊儿童医学·教育康复中心”正式揭牌，填补了我市特殊儿童医疗康复和教育合作的空白；生殖医学中心人类辅助生殖技术和岳阳市产前诊断中心产前诊断技术，顺利通过了省级专家评审；召开“微无创医学技术治疗子宫疾病论坛暨海扶刀®临床应用100例新闻发布会；超声医疗国家工程研究中心授予岳阳市妇幼保健院“海扶®微无创治疗中心”牌匾。</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4、近两年来，我院共发表SCI论文15篇，核心期刊论文11篇，立项科研课题国家自然科学基金1项、部级6项、省卫健委4项、市科技局13项、院级11项，省科技厅示范基地2个。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机构名称</w:t>
            </w:r>
          </w:p>
        </w:tc>
        <w:tc>
          <w:tcPr>
            <w:tcW w:w="125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收入合计</w:t>
            </w:r>
          </w:p>
        </w:tc>
        <w:tc>
          <w:tcPr>
            <w:tcW w:w="6850"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25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18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公共财</w:t>
            </w:r>
          </w:p>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政府基金拨款</w:t>
            </w:r>
          </w:p>
        </w:tc>
        <w:tc>
          <w:tcPr>
            <w:tcW w:w="1800" w:type="dxa"/>
            <w:gridSpan w:val="3"/>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其他</w:t>
            </w:r>
          </w:p>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局机关及二级机构汇总</w:t>
            </w:r>
          </w:p>
        </w:tc>
        <w:tc>
          <w:tcPr>
            <w:tcW w:w="125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szCs w:val="24"/>
              </w:rPr>
            </w:pPr>
          </w:p>
        </w:tc>
        <w:tc>
          <w:tcPr>
            <w:tcW w:w="118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szCs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szCs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szCs w:val="24"/>
              </w:rPr>
            </w:pPr>
          </w:p>
        </w:tc>
        <w:tc>
          <w:tcPr>
            <w:tcW w:w="1800" w:type="dxa"/>
            <w:gridSpan w:val="3"/>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1、局机关</w:t>
            </w:r>
          </w:p>
        </w:tc>
        <w:tc>
          <w:tcPr>
            <w:tcW w:w="125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eastAsia="zh-CN"/>
              </w:rPr>
            </w:pPr>
          </w:p>
        </w:tc>
        <w:tc>
          <w:tcPr>
            <w:tcW w:w="1185" w:type="dxa"/>
            <w:gridSpan w:val="2"/>
            <w:tcBorders>
              <w:lef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eastAsia="zh-CN"/>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szCs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szCs w:val="24"/>
              </w:rPr>
            </w:pPr>
          </w:p>
        </w:tc>
        <w:tc>
          <w:tcPr>
            <w:tcW w:w="1800" w:type="dxa"/>
            <w:gridSpan w:val="3"/>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岳阳市妇幼保健院</w:t>
            </w:r>
          </w:p>
        </w:tc>
        <w:tc>
          <w:tcPr>
            <w:tcW w:w="125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1835.71</w:t>
            </w:r>
          </w:p>
        </w:tc>
        <w:tc>
          <w:tcPr>
            <w:tcW w:w="118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101.61</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1734.1</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80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3、二级机构2</w:t>
            </w:r>
          </w:p>
        </w:tc>
        <w:tc>
          <w:tcPr>
            <w:tcW w:w="125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szCs w:val="24"/>
              </w:rPr>
            </w:pPr>
          </w:p>
        </w:tc>
        <w:tc>
          <w:tcPr>
            <w:tcW w:w="118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szCs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szCs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szCs w:val="24"/>
              </w:rPr>
            </w:pPr>
          </w:p>
        </w:tc>
        <w:tc>
          <w:tcPr>
            <w:tcW w:w="1800" w:type="dxa"/>
            <w:gridSpan w:val="3"/>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125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支出合计</w:t>
            </w:r>
          </w:p>
        </w:tc>
        <w:tc>
          <w:tcPr>
            <w:tcW w:w="5505"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szCs w:val="24"/>
              </w:rPr>
            </w:pPr>
          </w:p>
        </w:tc>
        <w:tc>
          <w:tcPr>
            <w:tcW w:w="125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18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基本支出</w:t>
            </w:r>
          </w:p>
        </w:tc>
        <w:tc>
          <w:tcPr>
            <w:tcW w:w="3240" w:type="dxa"/>
            <w:gridSpan w:val="5"/>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项目支出</w:t>
            </w:r>
          </w:p>
        </w:tc>
        <w:tc>
          <w:tcPr>
            <w:tcW w:w="695"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当年结余</w:t>
            </w:r>
          </w:p>
        </w:tc>
        <w:tc>
          <w:tcPr>
            <w:tcW w:w="650"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szCs w:val="24"/>
              </w:rPr>
            </w:pPr>
          </w:p>
        </w:tc>
        <w:tc>
          <w:tcPr>
            <w:tcW w:w="125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18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人员支出</w:t>
            </w:r>
          </w:p>
        </w:tc>
        <w:tc>
          <w:tcPr>
            <w:tcW w:w="2160" w:type="dxa"/>
            <w:gridSpan w:val="3"/>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695"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650"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局机关及二级机构汇总</w:t>
            </w:r>
          </w:p>
        </w:tc>
        <w:tc>
          <w:tcPr>
            <w:tcW w:w="125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p>
        </w:tc>
        <w:tc>
          <w:tcPr>
            <w:tcW w:w="118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p>
        </w:tc>
        <w:tc>
          <w:tcPr>
            <w:tcW w:w="216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p>
        </w:tc>
        <w:tc>
          <w:tcPr>
            <w:tcW w:w="695"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p>
        </w:tc>
        <w:tc>
          <w:tcPr>
            <w:tcW w:w="650"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1、局机关</w:t>
            </w:r>
          </w:p>
        </w:tc>
        <w:tc>
          <w:tcPr>
            <w:tcW w:w="125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18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2160" w:type="dxa"/>
            <w:gridSpan w:val="3"/>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695"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p>
        </w:tc>
        <w:tc>
          <w:tcPr>
            <w:tcW w:w="650"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lang w:val="en-US" w:eastAsia="zh-CN"/>
              </w:rPr>
              <w:t>岳阳市妇幼保健院</w:t>
            </w:r>
          </w:p>
        </w:tc>
        <w:tc>
          <w:tcPr>
            <w:tcW w:w="125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1722.41</w:t>
            </w:r>
          </w:p>
        </w:tc>
        <w:tc>
          <w:tcPr>
            <w:tcW w:w="118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1722.41</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1552.3</w:t>
            </w:r>
          </w:p>
        </w:tc>
        <w:tc>
          <w:tcPr>
            <w:tcW w:w="2160"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170.11</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0</w:t>
            </w:r>
          </w:p>
        </w:tc>
        <w:tc>
          <w:tcPr>
            <w:tcW w:w="695"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113.3</w:t>
            </w:r>
          </w:p>
        </w:tc>
        <w:tc>
          <w:tcPr>
            <w:tcW w:w="650"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3、二级机构2</w:t>
            </w:r>
          </w:p>
        </w:tc>
        <w:tc>
          <w:tcPr>
            <w:tcW w:w="125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18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2160" w:type="dxa"/>
            <w:gridSpan w:val="3"/>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695"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650"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125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三公经费</w:t>
            </w:r>
          </w:p>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合计</w:t>
            </w:r>
          </w:p>
        </w:tc>
        <w:tc>
          <w:tcPr>
            <w:tcW w:w="6850"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szCs w:val="24"/>
              </w:rPr>
            </w:pPr>
          </w:p>
        </w:tc>
        <w:tc>
          <w:tcPr>
            <w:tcW w:w="125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18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公务用车运维费</w:t>
            </w:r>
          </w:p>
        </w:tc>
        <w:tc>
          <w:tcPr>
            <w:tcW w:w="2160" w:type="dxa"/>
            <w:gridSpan w:val="3"/>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局机关及二级机构汇总</w:t>
            </w:r>
          </w:p>
        </w:tc>
        <w:tc>
          <w:tcPr>
            <w:tcW w:w="125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18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2160" w:type="dxa"/>
            <w:gridSpan w:val="3"/>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1、局机关</w:t>
            </w:r>
          </w:p>
        </w:tc>
        <w:tc>
          <w:tcPr>
            <w:tcW w:w="125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18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2160" w:type="dxa"/>
            <w:gridSpan w:val="3"/>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岳阳市妇幼保健院</w:t>
            </w:r>
          </w:p>
        </w:tc>
        <w:tc>
          <w:tcPr>
            <w:tcW w:w="125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15</w:t>
            </w:r>
          </w:p>
        </w:tc>
        <w:tc>
          <w:tcPr>
            <w:tcW w:w="118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1.89</w:t>
            </w:r>
          </w:p>
        </w:tc>
        <w:tc>
          <w:tcPr>
            <w:tcW w:w="1080" w:type="dxa"/>
            <w:gridSpan w:val="2"/>
            <w:vAlign w:val="center"/>
          </w:tcPr>
          <w:p>
            <w:pPr>
              <w:autoSpaceDN w:val="0"/>
              <w:spacing w:line="320" w:lineRule="exact"/>
              <w:jc w:val="both"/>
              <w:textAlignment w:val="center"/>
              <w:rPr>
                <w:rFonts w:hint="default" w:ascii="仿宋_GB2312" w:hAnsi="仿宋_GB2312" w:eastAsia="仿宋_GB2312" w:cs="仿宋_GB2312"/>
                <w:color w:val="000000"/>
                <w:sz w:val="24"/>
                <w:szCs w:val="24"/>
                <w:lang w:val="en-US" w:eastAsia="zh-CN"/>
              </w:rPr>
            </w:pPr>
            <w:bookmarkStart w:id="0" w:name="_GoBack"/>
            <w:bookmarkEnd w:id="0"/>
          </w:p>
        </w:tc>
        <w:tc>
          <w:tcPr>
            <w:tcW w:w="216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3、二级机构2</w:t>
            </w:r>
          </w:p>
        </w:tc>
        <w:tc>
          <w:tcPr>
            <w:tcW w:w="125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18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2160" w:type="dxa"/>
            <w:gridSpan w:val="3"/>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125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固定资产</w:t>
            </w:r>
          </w:p>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合计</w:t>
            </w:r>
          </w:p>
        </w:tc>
        <w:tc>
          <w:tcPr>
            <w:tcW w:w="5909" w:type="dxa"/>
            <w:gridSpan w:val="10"/>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szCs w:val="24"/>
              </w:rPr>
            </w:pPr>
          </w:p>
        </w:tc>
        <w:tc>
          <w:tcPr>
            <w:tcW w:w="125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226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在用固定资产</w:t>
            </w:r>
          </w:p>
        </w:tc>
        <w:tc>
          <w:tcPr>
            <w:tcW w:w="3644" w:type="dxa"/>
            <w:gridSpan w:val="6"/>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局机关及二级机构汇总</w:t>
            </w:r>
          </w:p>
        </w:tc>
        <w:tc>
          <w:tcPr>
            <w:tcW w:w="125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226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1、局机关</w:t>
            </w:r>
          </w:p>
        </w:tc>
        <w:tc>
          <w:tcPr>
            <w:tcW w:w="125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226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岳阳市妇幼保健院</w:t>
            </w:r>
          </w:p>
        </w:tc>
        <w:tc>
          <w:tcPr>
            <w:tcW w:w="125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17238.2041</w:t>
            </w:r>
          </w:p>
        </w:tc>
        <w:tc>
          <w:tcPr>
            <w:tcW w:w="226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17238.2041</w:t>
            </w: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3、二级机构2</w:t>
            </w:r>
          </w:p>
        </w:tc>
        <w:tc>
          <w:tcPr>
            <w:tcW w:w="125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226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lang w:val="en-US" w:eastAsia="zh-CN"/>
              </w:rPr>
              <w:t>目标一</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加快妇幼的迁建项目的进度，完成顺利搬迁</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lang w:val="en-US" w:eastAsia="zh-CN"/>
              </w:rPr>
              <w:t>目标二</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推进科技兴院，加强学科建设、加快人才培养，加大专业投入。实施妇幼保健部、儿童保健部、孕产保健部、计划生育部的妇幼保健发展战略；争创妇幼保健、儿童保健、产前诊断等一批省级重点专科。</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lang w:val="en-US" w:eastAsia="zh-CN"/>
              </w:rPr>
              <w:t>目标三</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将生殖医学中心和遗传中心联合打造为岳阳市生殖与遗传专科医院，将专科医院发展为省内一流、国内知名的生殖与遗传诊疗机构，进而树立生殖医学以及遗传医学等专业在湖南的优势地位。</w:t>
            </w:r>
          </w:p>
        </w:tc>
        <w:tc>
          <w:tcPr>
            <w:tcW w:w="4585" w:type="dxa"/>
            <w:gridSpan w:val="8"/>
            <w:vAlign w:val="center"/>
          </w:tcPr>
          <w:p>
            <w:pPr>
              <w:numPr>
                <w:ilvl w:val="0"/>
                <w:numId w:val="0"/>
              </w:numPr>
              <w:autoSpaceDN w:val="0"/>
              <w:spacing w:line="320" w:lineRule="exact"/>
              <w:ind w:leftChars="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b/>
                <w:bCs/>
                <w:color w:val="000000"/>
                <w:sz w:val="24"/>
                <w:lang w:val="en-US" w:eastAsia="zh-CN"/>
              </w:rPr>
              <w:t>目标一</w:t>
            </w:r>
            <w:r>
              <w:rPr>
                <w:rFonts w:hint="eastAsia" w:ascii="仿宋_GB2312" w:hAnsi="仿宋_GB2312" w:eastAsia="仿宋_GB2312" w:cs="仿宋_GB2312"/>
                <w:color w:val="000000"/>
                <w:sz w:val="24"/>
                <w:lang w:val="en-US" w:eastAsia="zh-CN"/>
              </w:rPr>
              <w:t>：受疫情影响，2020年2月复工后，加快施工进度，全力推进项目建设，已完成地下室工程、项目主体建筑工程建设，10月主体工程正式封顶。</w:t>
            </w:r>
          </w:p>
          <w:p>
            <w:pPr>
              <w:numPr>
                <w:ilvl w:val="0"/>
                <w:numId w:val="0"/>
              </w:numPr>
              <w:autoSpaceDN w:val="0"/>
              <w:spacing w:line="320" w:lineRule="exact"/>
              <w:ind w:leftChars="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b/>
                <w:bCs/>
                <w:color w:val="000000"/>
                <w:sz w:val="24"/>
                <w:lang w:val="en-US" w:eastAsia="zh-CN"/>
              </w:rPr>
              <w:t>目标二</w:t>
            </w:r>
            <w:r>
              <w:rPr>
                <w:rFonts w:hint="eastAsia" w:ascii="仿宋_GB2312" w:hAnsi="仿宋_GB2312" w:eastAsia="仿宋_GB2312" w:cs="仿宋_GB2312"/>
                <w:color w:val="000000"/>
                <w:sz w:val="24"/>
                <w:lang w:val="en-US" w:eastAsia="zh-CN"/>
              </w:rPr>
              <w:t>：我院举办了“岳阳市妇幼保健院第一期教学师资培训班”；与南华大学联合培养的三位硕士研究生毕业论文答辩会，标志着我院在联合培养研究生方面迈出了实质性的步伐；正式挂牌为“桂林医学院—岳阳市妇幼保健院广西基础医学协同创新研究生联合培养基地；我院正式引进汕头大学博士后李然；隆重召开岳阳市妇幼保健院第二届科技创新大会，举行了“中国科学院武汉病毒研究所—岳阳市妇幼保健院儿科感染性疾病病毒检测与科学研究临床应用项目”签约仪式。我院承办了岳阳市医学会妇产科学学术年会、岳阳市医学会生殖医学专业委员会学术年会、妇女保健科学学术年会和岳阳市危重孕产妇成功抢救评审观摩会，举办了岳阳市医学会围产医学专业委员会胎心监护适宜技术师资培训班、2020年岳阳市危重新生儿救治新进展学术交流会、湖南省PAC联盟全省巡讲（岳阳站）暨生育力保护学习班。</w:t>
            </w:r>
          </w:p>
          <w:p>
            <w:pPr>
              <w:numPr>
                <w:ilvl w:val="0"/>
                <w:numId w:val="0"/>
              </w:numPr>
              <w:autoSpaceDN w:val="0"/>
              <w:spacing w:line="320" w:lineRule="exact"/>
              <w:ind w:leftChars="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b/>
                <w:bCs/>
                <w:color w:val="000000"/>
                <w:sz w:val="24"/>
                <w:lang w:val="en-US" w:eastAsia="zh-CN"/>
              </w:rPr>
              <w:t>目标三</w:t>
            </w:r>
            <w:r>
              <w:rPr>
                <w:rFonts w:hint="eastAsia" w:ascii="仿宋_GB2312" w:hAnsi="仿宋_GB2312" w:eastAsia="仿宋_GB2312" w:cs="仿宋_GB2312"/>
                <w:color w:val="000000"/>
                <w:sz w:val="24"/>
                <w:lang w:val="en-US" w:eastAsia="zh-CN"/>
              </w:rPr>
              <w:t>：岳阳市妇幼保健院生殖医学中心人类辅助生殖技术和岳阳市产前诊断中心产前诊断技术，顺利通过了省级专家评审。我院与平江县妇幼保健院正式签约“生殖健康和不孕症专科联盟”。今年我院再次申报妇科、遗传优生科为市级专科医院，后续将参与省级重点专科评审。</w:t>
            </w:r>
          </w:p>
          <w:p>
            <w:pPr>
              <w:numPr>
                <w:ilvl w:val="0"/>
                <w:numId w:val="0"/>
              </w:numPr>
              <w:autoSpaceDN w:val="0"/>
              <w:spacing w:line="320" w:lineRule="exact"/>
              <w:ind w:leftChars="0"/>
              <w:jc w:val="left"/>
              <w:textAlignment w:val="center"/>
              <w:rPr>
                <w:rFonts w:hint="eastAsia" w:ascii="仿宋_GB2312" w:hAnsi="仿宋_GB2312" w:eastAsia="仿宋_GB2312" w:cs="仿宋_GB2312"/>
                <w:color w:val="000000"/>
                <w:sz w:val="24"/>
                <w:lang w:val="en-US" w:eastAsia="zh-CN"/>
              </w:rPr>
            </w:pPr>
          </w:p>
          <w:p>
            <w:pPr>
              <w:numPr>
                <w:ilvl w:val="0"/>
                <w:numId w:val="0"/>
              </w:numPr>
              <w:autoSpaceDN w:val="0"/>
              <w:spacing w:line="320" w:lineRule="exact"/>
              <w:ind w:leftChars="0"/>
              <w:jc w:val="left"/>
              <w:textAlignment w:val="center"/>
              <w:rPr>
                <w:rFonts w:hint="eastAsia" w:ascii="仿宋_GB2312" w:hAnsi="仿宋_GB2312" w:eastAsia="仿宋_GB2312" w:cs="仿宋_GB2312"/>
                <w:color w:val="000000"/>
                <w:sz w:val="24"/>
                <w:lang w:val="en-US" w:eastAsia="zh-CN"/>
              </w:rPr>
            </w:pPr>
          </w:p>
          <w:p>
            <w:pPr>
              <w:numPr>
                <w:ilvl w:val="0"/>
                <w:numId w:val="0"/>
              </w:numPr>
              <w:autoSpaceDN w:val="0"/>
              <w:spacing w:line="320" w:lineRule="exact"/>
              <w:ind w:leftChars="0"/>
              <w:jc w:val="left"/>
              <w:textAlignment w:val="center"/>
              <w:rPr>
                <w:rFonts w:hint="eastAsia" w:ascii="仿宋_GB2312" w:hAnsi="仿宋_GB2312" w:eastAsia="仿宋_GB2312" w:cs="仿宋_GB2312"/>
                <w:color w:val="000000"/>
                <w:sz w:val="24"/>
                <w:lang w:val="en-US" w:eastAsia="zh-CN"/>
              </w:rPr>
            </w:pPr>
          </w:p>
          <w:p>
            <w:pPr>
              <w:numPr>
                <w:ilvl w:val="0"/>
                <w:numId w:val="0"/>
              </w:numPr>
              <w:autoSpaceDN w:val="0"/>
              <w:spacing w:line="320" w:lineRule="exact"/>
              <w:ind w:leftChars="0"/>
              <w:jc w:val="left"/>
              <w:textAlignment w:val="center"/>
              <w:rPr>
                <w:rFonts w:hint="eastAsia" w:ascii="仿宋_GB2312" w:hAnsi="仿宋_GB2312" w:eastAsia="仿宋_GB2312" w:cs="仿宋_GB2312"/>
                <w:color w:val="000000"/>
                <w:sz w:val="24"/>
                <w:lang w:val="en-US" w:eastAsia="zh-CN"/>
              </w:rPr>
            </w:pPr>
          </w:p>
          <w:p>
            <w:pPr>
              <w:numPr>
                <w:ilvl w:val="0"/>
                <w:numId w:val="0"/>
              </w:numPr>
              <w:autoSpaceDN w:val="0"/>
              <w:spacing w:line="320" w:lineRule="exact"/>
              <w:ind w:leftChars="0"/>
              <w:jc w:val="left"/>
              <w:textAlignment w:val="center"/>
              <w:rPr>
                <w:rFonts w:hint="eastAsia" w:ascii="仿宋_GB2312" w:hAnsi="仿宋_GB2312" w:eastAsia="仿宋_GB2312" w:cs="仿宋_GB2312"/>
                <w:color w:val="000000"/>
                <w:sz w:val="24"/>
                <w:lang w:val="en-US" w:eastAsia="zh-CN"/>
              </w:rPr>
            </w:pPr>
          </w:p>
          <w:p>
            <w:pPr>
              <w:numPr>
                <w:ilvl w:val="0"/>
                <w:numId w:val="0"/>
              </w:numPr>
              <w:autoSpaceDN w:val="0"/>
              <w:spacing w:line="320" w:lineRule="exact"/>
              <w:ind w:leftChars="0"/>
              <w:jc w:val="left"/>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96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spacing w:line="320" w:lineRule="exact"/>
              <w:rPr>
                <w:rFonts w:ascii="仿宋_GB2312" w:hAnsi="仿宋_GB2312" w:eastAsia="仿宋_GB2312" w:cs="仿宋_GB2312"/>
                <w:sz w:val="24"/>
              </w:rPr>
            </w:pPr>
          </w:p>
        </w:tc>
        <w:tc>
          <w:tcPr>
            <w:tcW w:w="2968" w:type="dxa"/>
            <w:gridSpan w:val="4"/>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4"/>
                <w:lang w:val="en-US"/>
              </w:rPr>
            </w:pPr>
            <w:r>
              <w:rPr>
                <w:rFonts w:hint="eastAsia" w:ascii="仿宋_GB2312" w:hAnsi="宋体" w:eastAsia="仿宋_GB2312" w:cs="仿宋_GB2312"/>
                <w:i w:val="0"/>
                <w:color w:val="000000"/>
                <w:kern w:val="0"/>
                <w:sz w:val="24"/>
                <w:szCs w:val="24"/>
                <w:u w:val="none"/>
                <w:lang w:val="en-US" w:eastAsia="zh-CN" w:bidi="ar"/>
              </w:rPr>
              <w:t>1、孕产妇艾滋病、梅毒和乙肝的孕期检测率95%</w:t>
            </w:r>
          </w:p>
        </w:tc>
        <w:tc>
          <w:tcPr>
            <w:tcW w:w="2425" w:type="dxa"/>
            <w:gridSpan w:val="5"/>
            <w:vAlign w:val="center"/>
          </w:tcPr>
          <w:p>
            <w:pPr>
              <w:autoSpaceDN w:val="0"/>
              <w:spacing w:line="320" w:lineRule="exact"/>
              <w:jc w:val="left"/>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机构：99.87% ，</w:t>
            </w:r>
          </w:p>
          <w:p>
            <w:pPr>
              <w:autoSpaceDN w:val="0"/>
              <w:spacing w:line="320" w:lineRule="exact"/>
              <w:jc w:val="left"/>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完成率105.13%</w:t>
            </w:r>
          </w:p>
          <w:p>
            <w:pPr>
              <w:autoSpaceDN w:val="0"/>
              <w:spacing w:line="320" w:lineRule="exact"/>
              <w:jc w:val="both"/>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辖区96.94%，</w:t>
            </w:r>
          </w:p>
          <w:p>
            <w:pPr>
              <w:autoSpaceDN w:val="0"/>
              <w:spacing w:line="320" w:lineRule="exact"/>
              <w:jc w:val="both"/>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完成率102.04%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968" w:type="dxa"/>
            <w:gridSpan w:val="4"/>
            <w:vAlign w:val="center"/>
          </w:tcPr>
          <w:p>
            <w:pPr>
              <w:keepNext w:val="0"/>
              <w:keepLines w:val="0"/>
              <w:widowControl/>
              <w:suppressLineNumbers w:val="0"/>
              <w:jc w:val="left"/>
              <w:textAlignment w:val="center"/>
              <w:rPr>
                <w:rFonts w:hint="default" w:ascii="仿宋_GB2312" w:hAnsi="仿宋_GB2312" w:eastAsia="仿宋_GB2312" w:cs="仿宋_GB2312"/>
                <w:color w:val="000000"/>
                <w:sz w:val="24"/>
                <w:lang w:val="en-US"/>
              </w:rPr>
            </w:pPr>
            <w:r>
              <w:rPr>
                <w:rFonts w:hint="eastAsia" w:ascii="仿宋_GB2312" w:hAnsi="宋体" w:eastAsia="仿宋_GB2312" w:cs="仿宋_GB2312"/>
                <w:i w:val="0"/>
                <w:color w:val="000000"/>
                <w:kern w:val="0"/>
                <w:sz w:val="24"/>
                <w:szCs w:val="24"/>
                <w:u w:val="none"/>
                <w:lang w:val="en-US" w:eastAsia="zh-CN" w:bidi="ar"/>
              </w:rPr>
              <w:t>2、产前筛查率100%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101.04%，</w:t>
            </w:r>
          </w:p>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完成率101.04%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968" w:type="dxa"/>
            <w:gridSpan w:val="4"/>
            <w:vAlign w:val="center"/>
          </w:tcPr>
          <w:p>
            <w:pPr>
              <w:keepNext w:val="0"/>
              <w:keepLines w:val="0"/>
              <w:widowControl/>
              <w:suppressLineNumbers w:val="0"/>
              <w:jc w:val="left"/>
              <w:textAlignment w:val="center"/>
              <w:rPr>
                <w:rFonts w:hint="default" w:ascii="仿宋_GB2312" w:hAnsi="仿宋_GB2312" w:eastAsia="仿宋_GB2312" w:cs="仿宋_GB2312"/>
                <w:color w:val="000000"/>
                <w:sz w:val="24"/>
                <w:lang w:val="en-US"/>
              </w:rPr>
            </w:pPr>
            <w:r>
              <w:rPr>
                <w:rFonts w:hint="eastAsia" w:ascii="仿宋_GB2312" w:hAnsi="宋体" w:eastAsia="仿宋_GB2312" w:cs="仿宋_GB2312"/>
                <w:i w:val="0"/>
                <w:color w:val="000000"/>
                <w:kern w:val="0"/>
                <w:sz w:val="24"/>
                <w:szCs w:val="24"/>
                <w:u w:val="none"/>
                <w:lang w:val="en-US" w:eastAsia="zh-CN" w:bidi="ar"/>
              </w:rPr>
              <w:t>3、5岁以下儿童死亡率6‰</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3.46‰，</w:t>
            </w:r>
          </w:p>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达到目标的57.7%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968" w:type="dxa"/>
            <w:gridSpan w:val="4"/>
            <w:vAlign w:val="center"/>
          </w:tcPr>
          <w:p>
            <w:pPr>
              <w:keepNext w:val="0"/>
              <w:keepLines w:val="0"/>
              <w:widowControl/>
              <w:suppressLineNumbers w:val="0"/>
              <w:jc w:val="left"/>
              <w:textAlignment w:val="center"/>
              <w:rPr>
                <w:rFonts w:hint="default" w:ascii="仿宋_GB2312" w:hAnsi="仿宋_GB2312" w:eastAsia="仿宋_GB2312" w:cs="仿宋_GB2312"/>
                <w:color w:val="000000"/>
                <w:sz w:val="24"/>
                <w:lang w:val="en-US"/>
              </w:rPr>
            </w:pPr>
            <w:r>
              <w:rPr>
                <w:rFonts w:hint="eastAsia" w:ascii="仿宋_GB2312" w:hAnsi="宋体" w:eastAsia="仿宋_GB2312" w:cs="仿宋_GB2312"/>
                <w:i w:val="0"/>
                <w:color w:val="000000"/>
                <w:kern w:val="0"/>
                <w:sz w:val="24"/>
                <w:szCs w:val="24"/>
                <w:u w:val="none"/>
                <w:lang w:val="en-US" w:eastAsia="zh-CN" w:bidi="ar"/>
              </w:rPr>
              <w:t>4、新生儿疾病筛查率90%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91.44%，</w:t>
            </w:r>
          </w:p>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完成率101.6%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968" w:type="dxa"/>
            <w:gridSpan w:val="4"/>
            <w:vAlign w:val="center"/>
          </w:tcPr>
          <w:p>
            <w:pPr>
              <w:keepNext w:val="0"/>
              <w:keepLines w:val="0"/>
              <w:widowControl/>
              <w:suppressLineNumbers w:val="0"/>
              <w:jc w:val="left"/>
              <w:textAlignment w:val="center"/>
              <w:rPr>
                <w:rFonts w:hint="default" w:ascii="仿宋_GB2312" w:hAnsi="仿宋_GB2312" w:eastAsia="仿宋_GB2312" w:cs="仿宋_GB2312"/>
                <w:color w:val="000000"/>
                <w:sz w:val="24"/>
                <w:lang w:val="en-US"/>
              </w:rPr>
            </w:pPr>
            <w:r>
              <w:rPr>
                <w:rFonts w:hint="eastAsia" w:ascii="仿宋_GB2312" w:hAnsi="宋体" w:eastAsia="仿宋_GB2312" w:cs="仿宋_GB2312"/>
                <w:i w:val="0"/>
                <w:color w:val="000000"/>
                <w:kern w:val="0"/>
                <w:sz w:val="24"/>
                <w:szCs w:val="24"/>
                <w:u w:val="none"/>
                <w:lang w:val="en-US" w:eastAsia="zh-CN" w:bidi="ar"/>
              </w:rPr>
              <w:t>5、叶酸服用率95%</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96.84%，</w:t>
            </w:r>
          </w:p>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完成率101.945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968" w:type="dxa"/>
            <w:gridSpan w:val="4"/>
            <w:vAlign w:val="center"/>
          </w:tcPr>
          <w:p>
            <w:pPr>
              <w:keepNext w:val="0"/>
              <w:keepLines w:val="0"/>
              <w:widowControl/>
              <w:suppressLineNumbers w:val="0"/>
              <w:jc w:val="left"/>
              <w:textAlignment w:val="center"/>
              <w:rPr>
                <w:rFonts w:hint="default" w:ascii="仿宋_GB2312" w:hAnsi="仿宋_GB2312" w:eastAsia="仿宋_GB2312" w:cs="仿宋_GB2312"/>
                <w:color w:val="000000"/>
                <w:sz w:val="24"/>
                <w:lang w:val="en-US"/>
              </w:rPr>
            </w:pPr>
            <w:r>
              <w:rPr>
                <w:rFonts w:hint="eastAsia" w:ascii="仿宋_GB2312" w:hAnsi="宋体" w:eastAsia="仿宋_GB2312" w:cs="仿宋_GB2312"/>
                <w:i w:val="0"/>
                <w:color w:val="000000"/>
                <w:kern w:val="0"/>
                <w:sz w:val="24"/>
                <w:szCs w:val="24"/>
                <w:u w:val="none"/>
                <w:lang w:val="en-US" w:eastAsia="zh-CN" w:bidi="ar"/>
              </w:rPr>
              <w:t>6、婚检率93%</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94.69%，</w:t>
            </w:r>
          </w:p>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完成率101.82%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968" w:type="dxa"/>
            <w:gridSpan w:val="4"/>
            <w:vAlign w:val="center"/>
          </w:tcPr>
          <w:p>
            <w:pPr>
              <w:keepNext w:val="0"/>
              <w:keepLines w:val="0"/>
              <w:widowControl/>
              <w:suppressLineNumbers w:val="0"/>
              <w:jc w:val="left"/>
              <w:textAlignment w:val="center"/>
              <w:rPr>
                <w:rFonts w:hint="default" w:ascii="仿宋_GB2312" w:hAnsi="仿宋_GB2312" w:eastAsia="仿宋_GB2312" w:cs="仿宋_GB2312"/>
                <w:color w:val="000000"/>
                <w:sz w:val="24"/>
                <w:lang w:val="en-US"/>
              </w:rPr>
            </w:pPr>
            <w:r>
              <w:rPr>
                <w:rFonts w:hint="eastAsia" w:ascii="仿宋_GB2312" w:hAnsi="宋体" w:eastAsia="仿宋_GB2312" w:cs="仿宋_GB2312"/>
                <w:i w:val="0"/>
                <w:color w:val="000000"/>
                <w:kern w:val="0"/>
                <w:sz w:val="24"/>
                <w:szCs w:val="24"/>
                <w:u w:val="none"/>
                <w:lang w:val="en-US" w:eastAsia="zh-CN" w:bidi="ar"/>
              </w:rPr>
              <w:t>1.产前筛查31770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32101，</w:t>
            </w:r>
          </w:p>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完成率101.04%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968" w:type="dxa"/>
            <w:gridSpan w:val="4"/>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宋体" w:eastAsia="仿宋_GB2312" w:cs="仿宋_GB2312"/>
                <w:i w:val="0"/>
                <w:color w:val="000000"/>
                <w:kern w:val="0"/>
                <w:sz w:val="24"/>
                <w:szCs w:val="24"/>
                <w:u w:val="none"/>
                <w:lang w:val="en-US" w:eastAsia="zh-CN" w:bidi="ar"/>
              </w:rPr>
              <w:t>2、孕产妇死亡率12/10万</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14.35/10万，</w:t>
            </w:r>
          </w:p>
          <w:p>
            <w:pPr>
              <w:autoSpaceDN w:val="0"/>
              <w:spacing w:line="32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lang w:val="en-US" w:eastAsia="zh-CN"/>
              </w:rPr>
              <w:t>达到目标的119%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968" w:type="dxa"/>
            <w:gridSpan w:val="4"/>
            <w:vAlign w:val="center"/>
          </w:tcPr>
          <w:p>
            <w:pPr>
              <w:keepNext w:val="0"/>
              <w:keepLines w:val="0"/>
              <w:widowControl/>
              <w:suppressLineNumbers w:val="0"/>
              <w:jc w:val="left"/>
              <w:textAlignment w:val="center"/>
              <w:rPr>
                <w:rFonts w:hint="default" w:ascii="仿宋_GB2312" w:hAnsi="仿宋_GB2312" w:eastAsia="仿宋_GB2312" w:cs="仿宋_GB2312"/>
                <w:color w:val="000000"/>
                <w:sz w:val="24"/>
                <w:lang w:val="en-US"/>
              </w:rPr>
            </w:pPr>
            <w:r>
              <w:rPr>
                <w:rFonts w:hint="eastAsia" w:ascii="仿宋_GB2312" w:hAnsi="宋体" w:eastAsia="仿宋_GB2312" w:cs="仿宋_GB2312"/>
                <w:i w:val="0"/>
                <w:color w:val="000000"/>
                <w:kern w:val="0"/>
                <w:sz w:val="24"/>
                <w:szCs w:val="24"/>
                <w:u w:val="none"/>
                <w:lang w:val="en-US" w:eastAsia="zh-CN" w:bidi="ar"/>
              </w:rPr>
              <w:t>3、两癌筛查94120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102181，</w:t>
            </w:r>
          </w:p>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完成率108.56%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968"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2020年完成主体工程、大楼封顶</w:t>
            </w:r>
          </w:p>
        </w:tc>
        <w:tc>
          <w:tcPr>
            <w:tcW w:w="2425" w:type="dxa"/>
            <w:gridSpan w:val="5"/>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已完成目标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968" w:type="dxa"/>
            <w:gridSpan w:val="4"/>
            <w:vAlign w:val="center"/>
          </w:tcPr>
          <w:p>
            <w:pPr>
              <w:keepNext w:val="0"/>
              <w:keepLines w:val="0"/>
              <w:widowControl/>
              <w:suppressLineNumbers w:val="0"/>
              <w:jc w:val="left"/>
              <w:textAlignment w:val="center"/>
              <w:rPr>
                <w:rFonts w:hint="default" w:ascii="仿宋_GB2312" w:hAnsi="仿宋_GB2312" w:eastAsia="仿宋_GB2312" w:cs="仿宋_GB2312"/>
                <w:color w:val="000000"/>
                <w:sz w:val="24"/>
                <w:lang w:val="en-US"/>
              </w:rPr>
            </w:pPr>
            <w:r>
              <w:rPr>
                <w:rFonts w:hint="eastAsia" w:ascii="仿宋_GB2312" w:hAnsi="宋体" w:eastAsia="仿宋_GB2312" w:cs="仿宋_GB2312"/>
                <w:i w:val="0"/>
                <w:color w:val="000000"/>
                <w:kern w:val="0"/>
                <w:sz w:val="24"/>
                <w:szCs w:val="24"/>
                <w:u w:val="none"/>
                <w:lang w:val="en-US" w:eastAsia="zh-CN" w:bidi="ar"/>
              </w:rPr>
              <w:t>1、药占比20%以下</w:t>
            </w:r>
          </w:p>
        </w:tc>
        <w:tc>
          <w:tcPr>
            <w:tcW w:w="2425" w:type="dxa"/>
            <w:gridSpan w:val="5"/>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16.52%，完成率82.6%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968" w:type="dxa"/>
            <w:gridSpan w:val="4"/>
            <w:vAlign w:val="center"/>
          </w:tcPr>
          <w:p>
            <w:pPr>
              <w:keepNext w:val="0"/>
              <w:keepLines w:val="0"/>
              <w:widowControl/>
              <w:suppressLineNumbers w:val="0"/>
              <w:jc w:val="left"/>
              <w:textAlignment w:val="center"/>
              <w:rPr>
                <w:rFonts w:hint="default" w:ascii="仿宋_GB2312" w:hAnsi="仿宋_GB2312" w:eastAsia="仿宋_GB2312" w:cs="仿宋_GB2312"/>
                <w:color w:val="000000"/>
                <w:sz w:val="24"/>
                <w:lang w:val="en-US"/>
              </w:rPr>
            </w:pPr>
            <w:r>
              <w:rPr>
                <w:rFonts w:hint="eastAsia" w:ascii="仿宋_GB2312" w:hAnsi="宋体" w:eastAsia="仿宋_GB2312" w:cs="仿宋_GB2312"/>
                <w:i w:val="0"/>
                <w:color w:val="000000"/>
                <w:kern w:val="0"/>
                <w:sz w:val="24"/>
                <w:szCs w:val="24"/>
                <w:u w:val="none"/>
                <w:lang w:val="en-US" w:eastAsia="zh-CN" w:bidi="ar"/>
              </w:rPr>
              <w:t>2、百元（不含药）卫生材料20%以下</w:t>
            </w:r>
          </w:p>
        </w:tc>
        <w:tc>
          <w:tcPr>
            <w:tcW w:w="2425" w:type="dxa"/>
            <w:gridSpan w:val="5"/>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18.6%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968" w:type="dxa"/>
            <w:gridSpan w:val="4"/>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3、人员经费支出比率45%以下</w:t>
            </w:r>
          </w:p>
        </w:tc>
        <w:tc>
          <w:tcPr>
            <w:tcW w:w="2425" w:type="dxa"/>
            <w:gridSpan w:val="5"/>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43.68%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09" w:type="dxa"/>
            <w:gridSpan w:val="3"/>
            <w:vAlign w:val="center"/>
          </w:tcPr>
          <w:p>
            <w:pPr>
              <w:autoSpaceDN w:val="0"/>
              <w:spacing w:line="320" w:lineRule="exact"/>
              <w:rPr>
                <w:rFonts w:ascii="仿宋_GB2312" w:hAnsi="仿宋_GB2312" w:eastAsia="仿宋_GB2312" w:cs="仿宋_GB2312"/>
                <w:sz w:val="24"/>
              </w:rPr>
            </w:pPr>
          </w:p>
        </w:tc>
        <w:tc>
          <w:tcPr>
            <w:tcW w:w="1457" w:type="dxa"/>
            <w:gridSpan w:val="3"/>
            <w:vAlign w:val="center"/>
          </w:tcPr>
          <w:p>
            <w:pPr>
              <w:autoSpaceDN w:val="0"/>
              <w:spacing w:line="320" w:lineRule="exact"/>
              <w:jc w:val="center"/>
              <w:textAlignment w:val="center"/>
              <w:rPr>
                <w:rFonts w:ascii="仿宋_GB2312" w:hAnsi="仿宋_GB2312" w:eastAsia="仿宋_GB2312" w:cs="仿宋_GB2312"/>
                <w:sz w:val="24"/>
              </w:rPr>
            </w:pPr>
          </w:p>
        </w:tc>
        <w:tc>
          <w:tcPr>
            <w:tcW w:w="2968" w:type="dxa"/>
            <w:gridSpan w:val="4"/>
            <w:vAlign w:val="center"/>
          </w:tcPr>
          <w:p>
            <w:pPr>
              <w:keepNext w:val="0"/>
              <w:keepLines w:val="0"/>
              <w:widowControl/>
              <w:suppressLineNumbers w:val="0"/>
              <w:jc w:val="left"/>
              <w:textAlignment w:val="center"/>
              <w:rPr>
                <w:rFonts w:hint="default" w:ascii="仿宋_GB2312" w:hAnsi="仿宋_GB2312" w:eastAsia="仿宋_GB2312" w:cs="仿宋_GB2312"/>
                <w:color w:val="000000"/>
                <w:sz w:val="24"/>
                <w:lang w:val="en-US"/>
              </w:rPr>
            </w:pPr>
            <w:r>
              <w:rPr>
                <w:rFonts w:hint="eastAsia" w:ascii="仿宋_GB2312" w:hAnsi="宋体" w:eastAsia="仿宋_GB2312" w:cs="仿宋_GB2312"/>
                <w:i w:val="0"/>
                <w:color w:val="000000"/>
                <w:kern w:val="0"/>
                <w:sz w:val="24"/>
                <w:szCs w:val="24"/>
                <w:u w:val="none"/>
                <w:lang w:val="en-US" w:eastAsia="zh-CN" w:bidi="ar"/>
              </w:rPr>
              <w:t>4、业务支出/百元业务收入100%以下</w:t>
            </w:r>
          </w:p>
        </w:tc>
        <w:tc>
          <w:tcPr>
            <w:tcW w:w="2425" w:type="dxa"/>
            <w:gridSpan w:val="5"/>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09"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57"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968"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保障母婴安全、预防出生缺陷、提升妇女儿童存生质量</w:t>
            </w:r>
          </w:p>
        </w:tc>
        <w:tc>
          <w:tcPr>
            <w:tcW w:w="2425" w:type="dxa"/>
            <w:gridSpan w:val="5"/>
            <w:vAlign w:val="center"/>
          </w:tcPr>
          <w:p>
            <w:pPr>
              <w:autoSpaceDN w:val="0"/>
              <w:spacing w:line="320" w:lineRule="exact"/>
              <w:jc w:val="left"/>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0"/>
                <w:szCs w:val="20"/>
                <w:lang w:val="en-US" w:eastAsia="zh-CN"/>
              </w:rPr>
              <w:t>母婴安全行动计划工作细化，任务分解到月，落实各项任务及指标，婚检、产前筛查等指标均超额完成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09" w:type="dxa"/>
            <w:gridSpan w:val="3"/>
            <w:vMerge w:val="continue"/>
            <w:vAlign w:val="center"/>
          </w:tcPr>
          <w:p>
            <w:pPr>
              <w:autoSpaceDN w:val="0"/>
              <w:spacing w:line="320" w:lineRule="exact"/>
              <w:rPr>
                <w:rFonts w:ascii="仿宋_GB2312" w:hAnsi="仿宋_GB2312" w:eastAsia="仿宋_GB2312" w:cs="仿宋_GB2312"/>
                <w:sz w:val="24"/>
              </w:rPr>
            </w:pPr>
          </w:p>
        </w:tc>
        <w:tc>
          <w:tcPr>
            <w:tcW w:w="1457"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968"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总资产收益率60%</w:t>
            </w:r>
          </w:p>
        </w:tc>
        <w:tc>
          <w:tcPr>
            <w:tcW w:w="2425" w:type="dxa"/>
            <w:gridSpan w:val="5"/>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2"/>
                <w:szCs w:val="22"/>
                <w:lang w:val="en-US" w:eastAsia="zh-CN"/>
              </w:rPr>
              <w:t>78.29%，完成率130.48%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09" w:type="dxa"/>
            <w:gridSpan w:val="3"/>
            <w:vMerge w:val="continue"/>
            <w:vAlign w:val="center"/>
          </w:tcPr>
          <w:p>
            <w:pPr>
              <w:autoSpaceDN w:val="0"/>
              <w:spacing w:line="320" w:lineRule="exact"/>
              <w:rPr>
                <w:rFonts w:ascii="仿宋_GB2312" w:hAnsi="仿宋_GB2312" w:eastAsia="仿宋_GB2312" w:cs="仿宋_GB2312"/>
                <w:sz w:val="24"/>
              </w:rPr>
            </w:pPr>
          </w:p>
        </w:tc>
        <w:tc>
          <w:tcPr>
            <w:tcW w:w="1457"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968"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污水处理、医疗废弃物达标</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环保部门抽检达标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09" w:type="dxa"/>
            <w:gridSpan w:val="3"/>
            <w:vMerge w:val="continue"/>
            <w:vAlign w:val="center"/>
          </w:tcPr>
          <w:p>
            <w:pPr>
              <w:autoSpaceDN w:val="0"/>
              <w:spacing w:line="320" w:lineRule="exact"/>
              <w:rPr>
                <w:rFonts w:ascii="仿宋_GB2312" w:hAnsi="仿宋_GB2312" w:eastAsia="仿宋_GB2312" w:cs="仿宋_GB2312"/>
                <w:sz w:val="24"/>
              </w:rPr>
            </w:pPr>
          </w:p>
        </w:tc>
        <w:tc>
          <w:tcPr>
            <w:tcW w:w="1457"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968"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患者满意率达到90%</w:t>
            </w:r>
          </w:p>
        </w:tc>
        <w:tc>
          <w:tcPr>
            <w:tcW w:w="2425" w:type="dxa"/>
            <w:gridSpan w:val="5"/>
            <w:vAlign w:val="center"/>
          </w:tcPr>
          <w:p>
            <w:pPr>
              <w:autoSpaceDN w:val="0"/>
              <w:spacing w:line="320" w:lineRule="exact"/>
              <w:jc w:val="left"/>
              <w:textAlignment w:val="center"/>
              <w:rPr>
                <w:rFonts w:hint="default" w:ascii="仿宋_GB2312" w:hAnsi="仿宋_GB2312" w:eastAsia="仿宋_GB2312" w:cs="仿宋_GB2312"/>
                <w:b w:val="0"/>
                <w:bCs/>
                <w:color w:val="000000"/>
                <w:sz w:val="21"/>
                <w:szCs w:val="21"/>
                <w:lang w:val="en-US" w:eastAsia="zh-CN"/>
              </w:rPr>
            </w:pPr>
            <w:r>
              <w:rPr>
                <w:rFonts w:hint="eastAsia" w:ascii="仿宋_GB2312" w:hAnsi="仿宋_GB2312" w:eastAsia="仿宋_GB2312" w:cs="仿宋_GB2312"/>
                <w:b w:val="0"/>
                <w:bCs/>
                <w:color w:val="000000"/>
                <w:sz w:val="21"/>
                <w:szCs w:val="21"/>
                <w:lang w:val="en-US" w:eastAsia="zh-CN"/>
              </w:rPr>
              <w:t>92.6%，微信、自助挂号机等多形式的预约诊疗服务和分时段诊疗，手机或自助机上挂号、缴费、查询打印化验报告和费用清单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5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5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5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5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熊云辉</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工会主席</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妇幼保健院</w:t>
            </w:r>
          </w:p>
        </w:tc>
        <w:tc>
          <w:tcPr>
            <w:tcW w:w="3106"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黄元</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总会计师</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妇幼保健院</w:t>
            </w:r>
          </w:p>
        </w:tc>
        <w:tc>
          <w:tcPr>
            <w:tcW w:w="3106"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刘珊</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财务</w:t>
            </w:r>
            <w:r>
              <w:rPr>
                <w:rFonts w:hint="eastAsia" w:ascii="仿宋_GB2312" w:hAnsi="仿宋_GB2312" w:eastAsia="仿宋_GB2312" w:cs="仿宋_GB2312"/>
                <w:color w:val="000000"/>
                <w:sz w:val="24"/>
                <w:lang w:eastAsia="zh-CN"/>
              </w:rPr>
              <w:t>科</w:t>
            </w:r>
            <w:r>
              <w:rPr>
                <w:rFonts w:hint="eastAsia" w:ascii="仿宋_GB2312" w:hAnsi="仿宋_GB2312" w:eastAsia="仿宋_GB2312" w:cs="仿宋_GB2312"/>
                <w:color w:val="000000"/>
                <w:sz w:val="24"/>
              </w:rPr>
              <w:t>科长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妇幼保健院</w:t>
            </w:r>
          </w:p>
        </w:tc>
        <w:tc>
          <w:tcPr>
            <w:tcW w:w="3106"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彭敏丹</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保健部主任</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妇幼保健院</w:t>
            </w:r>
          </w:p>
        </w:tc>
        <w:tc>
          <w:tcPr>
            <w:tcW w:w="3106"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6"/>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岳阳市妇幼保健院创建于1964年，是一所集预防、保健、医疗、教学、科研、康复于一体的三级甲等妇幼保健院。编制床位200张。</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2020年末全院在职职工841人，其中：在职在编155人，编外招聘人员612人，临聘人员74人；离休人员1人；退休人员56人；人员总数比上年同期增长55人，增幅为7%。 医院在职卫生专业技术人员725人，副高以上职称122人（其中正高29人，副高93人），有博士研究生士6人（其中博士后3人）、硕士研究生57人，岳阳市首席专家4人，享受湖南省政府特殊津贴专家1人，湖南省名老中医1人，岳阳市名医8人，享受岳阳市政府特殊津贴专家3人。</w:t>
            </w:r>
          </w:p>
          <w:p>
            <w:pPr>
              <w:spacing w:line="560" w:lineRule="exact"/>
              <w:ind w:firstLine="560" w:firstLineChars="200"/>
              <w:rPr>
                <w:rFonts w:hint="eastAsia" w:ascii="仿宋_GB2312" w:hAnsi="仿宋_GB2312" w:eastAsia="仿宋_GB2312" w:cs="仿宋_GB2312"/>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2020</w:t>
            </w:r>
            <w:r>
              <w:rPr>
                <w:rFonts w:hint="eastAsia" w:ascii="仿宋_GB2312" w:hAnsi="仿宋_GB2312" w:eastAsia="仿宋_GB2312" w:cs="仿宋_GB2312"/>
                <w:bCs/>
                <w:sz w:val="28"/>
                <w:szCs w:val="28"/>
              </w:rPr>
              <w:t>年我院总支出</w:t>
            </w:r>
            <w:r>
              <w:rPr>
                <w:rFonts w:hint="eastAsia" w:ascii="仿宋_GB2312" w:hAnsi="仿宋_GB2312" w:eastAsia="仿宋_GB2312" w:cs="仿宋_GB2312"/>
                <w:bCs/>
                <w:sz w:val="28"/>
                <w:szCs w:val="28"/>
                <w:lang w:val="en-US" w:eastAsia="zh-CN"/>
              </w:rPr>
              <w:t>30403.62</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与同期对比增加</w:t>
            </w:r>
            <w:r>
              <w:rPr>
                <w:rFonts w:hint="eastAsia" w:ascii="仿宋_GB2312" w:hAnsi="仿宋_GB2312" w:eastAsia="仿宋_GB2312" w:cs="仿宋_GB2312"/>
                <w:bCs/>
                <w:sz w:val="28"/>
                <w:szCs w:val="28"/>
                <w:lang w:val="en-US" w:eastAsia="zh-CN"/>
              </w:rPr>
              <w:t>5216.7万元，增加比例20.71%。</w:t>
            </w:r>
            <w:r>
              <w:rPr>
                <w:rFonts w:hint="eastAsia" w:ascii="仿宋_GB2312" w:hAnsi="仿宋_GB2312" w:eastAsia="仿宋_GB2312" w:cs="仿宋_GB2312"/>
                <w:bCs/>
                <w:sz w:val="28"/>
                <w:szCs w:val="28"/>
              </w:rPr>
              <w:t>其中：业务支出</w:t>
            </w:r>
            <w:r>
              <w:rPr>
                <w:rFonts w:hint="eastAsia" w:ascii="仿宋_GB2312" w:hAnsi="仿宋_GB2312" w:eastAsia="仿宋_GB2312" w:cs="仿宋_GB2312"/>
                <w:bCs/>
                <w:sz w:val="28"/>
                <w:szCs w:val="28"/>
                <w:lang w:val="en-US" w:eastAsia="zh-CN"/>
              </w:rPr>
              <w:t>28066.73</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占支出的</w:t>
            </w:r>
            <w:r>
              <w:rPr>
                <w:rFonts w:hint="eastAsia" w:ascii="仿宋_GB2312" w:hAnsi="仿宋_GB2312" w:eastAsia="仿宋_GB2312" w:cs="仿宋_GB2312"/>
                <w:bCs/>
                <w:sz w:val="28"/>
                <w:szCs w:val="28"/>
                <w:lang w:val="en-US" w:eastAsia="zh-CN"/>
              </w:rPr>
              <w:t>92.31%；</w:t>
            </w:r>
            <w:r>
              <w:rPr>
                <w:rFonts w:hint="eastAsia" w:ascii="仿宋_GB2312" w:hAnsi="仿宋_GB2312" w:eastAsia="仿宋_GB2312" w:cs="仿宋_GB2312"/>
                <w:bCs/>
                <w:sz w:val="28"/>
                <w:szCs w:val="28"/>
              </w:rPr>
              <w:t>单位管理支出</w:t>
            </w:r>
            <w:r>
              <w:rPr>
                <w:rFonts w:hint="eastAsia" w:ascii="仿宋_GB2312" w:hAnsi="仿宋_GB2312" w:eastAsia="仿宋_GB2312" w:cs="仿宋_GB2312"/>
                <w:bCs/>
                <w:sz w:val="28"/>
                <w:szCs w:val="28"/>
                <w:lang w:val="en-US" w:eastAsia="zh-CN"/>
              </w:rPr>
              <w:t>2094.96</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，占支出的</w:t>
            </w:r>
            <w:r>
              <w:rPr>
                <w:rFonts w:hint="eastAsia" w:ascii="仿宋_GB2312" w:hAnsi="仿宋_GB2312" w:eastAsia="仿宋_GB2312" w:cs="仿宋_GB2312"/>
                <w:bCs/>
                <w:sz w:val="28"/>
                <w:szCs w:val="28"/>
                <w:lang w:val="en-US" w:eastAsia="zh-CN"/>
              </w:rPr>
              <w:t>6.89%</w:t>
            </w:r>
            <w:r>
              <w:rPr>
                <w:rFonts w:hint="eastAsia" w:ascii="仿宋_GB2312" w:hAnsi="仿宋_GB2312" w:eastAsia="仿宋_GB2312" w:cs="仿宋_GB2312"/>
                <w:bCs/>
                <w:sz w:val="28"/>
                <w:szCs w:val="28"/>
              </w:rPr>
              <w:t>。本年业务支出中，人员支出</w:t>
            </w:r>
            <w:r>
              <w:rPr>
                <w:rFonts w:hint="eastAsia" w:ascii="仿宋_GB2312" w:hAnsi="仿宋_GB2312" w:eastAsia="仿宋_GB2312" w:cs="仿宋_GB2312"/>
                <w:bCs/>
                <w:sz w:val="28"/>
                <w:szCs w:val="28"/>
                <w:lang w:eastAsia="zh-CN"/>
              </w:rPr>
              <w:t>占总支出的</w:t>
            </w:r>
            <w:r>
              <w:rPr>
                <w:rFonts w:hint="eastAsia" w:ascii="仿宋_GB2312" w:hAnsi="仿宋_GB2312" w:eastAsia="仿宋_GB2312" w:cs="仿宋_GB2312"/>
                <w:bCs/>
                <w:sz w:val="28"/>
                <w:szCs w:val="28"/>
                <w:lang w:val="en-US" w:eastAsia="zh-CN"/>
              </w:rPr>
              <w:t>43.68</w:t>
            </w:r>
            <w:r>
              <w:rPr>
                <w:rFonts w:hint="eastAsia" w:ascii="仿宋_GB2312" w:hAnsi="仿宋_GB2312" w:eastAsia="仿宋_GB2312" w:cs="仿宋_GB2312"/>
                <w:bCs/>
                <w:sz w:val="28"/>
                <w:szCs w:val="28"/>
              </w:rPr>
              <w:t>%，药品费支出占</w:t>
            </w:r>
            <w:r>
              <w:rPr>
                <w:rFonts w:hint="eastAsia" w:ascii="仿宋_GB2312" w:hAnsi="仿宋_GB2312" w:eastAsia="仿宋_GB2312" w:cs="仿宋_GB2312"/>
                <w:bCs/>
                <w:sz w:val="28"/>
                <w:szCs w:val="28"/>
                <w:lang w:eastAsia="zh-CN"/>
              </w:rPr>
              <w:t>总支出</w:t>
            </w:r>
            <w:r>
              <w:rPr>
                <w:rFonts w:hint="eastAsia" w:ascii="仿宋_GB2312" w:hAnsi="仿宋_GB2312" w:eastAsia="仿宋_GB2312" w:cs="仿宋_GB2312"/>
                <w:bCs/>
                <w:sz w:val="28"/>
                <w:szCs w:val="28"/>
                <w:lang w:val="en-US" w:eastAsia="zh-CN"/>
              </w:rPr>
              <w:t>14.71</w:t>
            </w:r>
            <w:r>
              <w:rPr>
                <w:rFonts w:hint="eastAsia" w:ascii="仿宋_GB2312" w:hAnsi="仿宋_GB2312" w:eastAsia="仿宋_GB2312" w:cs="仿宋_GB2312"/>
                <w:bCs/>
                <w:sz w:val="28"/>
                <w:szCs w:val="28"/>
              </w:rPr>
              <w:t>%，卫生材料占</w:t>
            </w:r>
            <w:r>
              <w:rPr>
                <w:rFonts w:hint="eastAsia" w:ascii="仿宋_GB2312" w:hAnsi="仿宋_GB2312" w:eastAsia="仿宋_GB2312" w:cs="仿宋_GB2312"/>
                <w:bCs/>
                <w:sz w:val="28"/>
                <w:szCs w:val="28"/>
                <w:lang w:eastAsia="zh-CN"/>
              </w:rPr>
              <w:t>总支出的</w:t>
            </w:r>
            <w:r>
              <w:rPr>
                <w:rFonts w:hint="eastAsia" w:ascii="仿宋_GB2312" w:hAnsi="仿宋_GB2312" w:eastAsia="仿宋_GB2312" w:cs="仿宋_GB2312"/>
                <w:bCs/>
                <w:sz w:val="28"/>
                <w:szCs w:val="28"/>
              </w:rPr>
              <w:t>13.41%，其他部分占</w:t>
            </w:r>
            <w:r>
              <w:rPr>
                <w:rFonts w:hint="eastAsia" w:ascii="仿宋_GB2312" w:hAnsi="仿宋_GB2312" w:eastAsia="仿宋_GB2312" w:cs="仿宋_GB2312"/>
                <w:bCs/>
                <w:sz w:val="28"/>
                <w:szCs w:val="28"/>
                <w:lang w:val="en-US" w:eastAsia="zh-CN"/>
              </w:rPr>
              <w:t>28.2</w:t>
            </w:r>
            <w:r>
              <w:rPr>
                <w:rFonts w:hint="eastAsia" w:ascii="仿宋_GB2312" w:hAnsi="仿宋_GB2312" w:eastAsia="仿宋_GB2312" w:cs="仿宋_GB2312"/>
                <w:bCs/>
                <w:sz w:val="28"/>
                <w:szCs w:val="28"/>
              </w:rPr>
              <w:t>%。</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2020年门急诊387937人次，比2019年门急诊人次同期减少66098人次，减少14.56 %，全年实际占用床日59677床日，比上年同期减少6136床日，减少9.32 %；全年出院病人3895 人次，比上年同期增加318 人次，增长8.89 %。2020年平均住院日为4.7天，比上年平均住院日相等。</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2020年财政补助拔款比2019年的增长82.94万元，增长比率为27.01%；专项资金增长34.99万元，增长比例23.82%，专项经费分别为新冠肺炎疫情专项40万元，中央重大传染病75.48万元，教育现代化推进工程60万元，科技创新与开发2万元，卫生科教2万元，基本公共卫生服务补助资金2.06万元，省补助妇幼健康项目经费0.35万元；专户资金的疾病应急救助资金与去年同期对比增加9.31万元，增长比例228.19%；公立医院改革与去年持平。</w:t>
            </w:r>
          </w:p>
          <w:p>
            <w:pPr>
              <w:numPr>
                <w:ilvl w:val="0"/>
                <w:numId w:val="2"/>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保障母婴安全、预防出生缺陷、提升妇女儿童存生质量是妇幼保健院的公共职能。根据《湖南省母婴安全行动计划（2018—2020年）实施方案》，结合我市实际，制定了《岳阳市母婴安全行动计划（2018—2020年）实施方案》，将母婴安全行动计划工作细化，任务分解到月，按照工作计划一一落实各项任务及指标，年初将母婴安全保障工作作为妇幼健康工作的首要任务纳入年度妇幼健康服务工作要点。2020年1—12月，我市孕产妇死亡率为14.35 /10万；5岁以下儿童死亡率3.46‰。2020年1-12月，我市产妇总数40990人，活产数41595人，机构产妇数40949人，机构活产数 41389人。高危人群干预诊断率为58.73%，高危人群妊娠结局随访率为 93.19%；新生儿疾病筛查率 101.6 %，串联质谱多种遗传代谢病筛查率98.99%。产前筛查率、产前诊断率、新生儿疾病筛查率、艾滋病、梅毒、乙肝孕期检测率、农村适龄妇女“两癌”筛查率等18项服务指标均圆满完成了省卫健委下达的计划任务。</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惠民政策进一步夯实，患者满意度提升显著。我院进一步优化门诊服务流程，实行微信预约、自助挂号机预约、门诊医师站诊间预约、住院分娩预约等多形式的预约诊疗服务和分时段诊疗，1—12月门诊预约挂号率为87.05％。全面推行电子健康卡就医，在自助机上增加打印临时电子健康卡功能，将诊疗卡、医保卡、身份证、电子健康卡绑定实行四卡合一，就诊者可在手机或自助机上挂号、缴费、查询打印化验报告和费用清单。通过门诊流量监测和实时监测，有效分流患者，减少患者排队等候时间，提高患者的就医体验。继续采取控制儿科门急诊输液率和人次均费用行动，减轻老百姓负担，全年儿科门诊输液率控制在10%以下，急诊科输液率控制在18%以下。全院开展了“一科一品一特色”优质护理，以弘扬护士爱心、细心、耐心和责任心服务于患者的职业文化，产房“用心守护、舒心分娩，做最美分娩妈妈”，妇科“温馨护理促康复，家庭访视暖人心”、手术室“手心里的温暖”，等项目均取得了较好的成效。</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lang w:eastAsia="zh-CN"/>
              </w:rPr>
              <w:t>四</w:t>
            </w:r>
            <w:r>
              <w:rPr>
                <w:rFonts w:hint="eastAsia" w:ascii="黑体" w:hAnsi="黑体" w:eastAsia="黑体" w:cs="黑体"/>
                <w:bCs/>
                <w:sz w:val="28"/>
                <w:szCs w:val="28"/>
              </w:rPr>
              <w:t>、存在的主要问题</w:t>
            </w:r>
          </w:p>
          <w:p>
            <w:pPr>
              <w:spacing w:line="560" w:lineRule="exact"/>
              <w:ind w:firstLine="560" w:firstLineChars="200"/>
              <w:rPr>
                <w:rFonts w:hint="eastAsia" w:ascii="黑体" w:hAnsi="黑体" w:eastAsia="黑体" w:cs="黑体"/>
                <w:bCs/>
                <w:sz w:val="28"/>
                <w:szCs w:val="28"/>
              </w:rPr>
            </w:pPr>
            <w:r>
              <w:rPr>
                <w:rFonts w:hint="eastAsia" w:ascii="仿宋_GB2312" w:hAnsi="仿宋_GB2312" w:eastAsia="仿宋_GB2312" w:cs="仿宋_GB2312"/>
                <w:bCs/>
                <w:sz w:val="28"/>
                <w:szCs w:val="28"/>
                <w:lang w:val="en-US" w:eastAsia="zh-CN"/>
              </w:rPr>
              <w:t>在实施绩效管理工作方案中，将面临许多的问题和困惑。一是预算绩效意识有所提升，但仍存在误区。预算绩效管理关系整个单位，应自上而下，自下而上多次反馈沟通，才能让绩效管理工作落实更彻底。二是绩效管理专业人员匮乏。部门从事预算管理工作人员素质整体不高，需要具备一定专业素养和实战经验的人力资源。三评价指标体系不完善，实际操作有难度。评价指标定性指标多、定量指标少，年度内对绩效的跟踪评价难以实施。</w:t>
            </w:r>
          </w:p>
          <w:p>
            <w:pPr>
              <w:numPr>
                <w:ilvl w:val="0"/>
                <w:numId w:val="0"/>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lang w:eastAsia="zh-CN"/>
              </w:rPr>
              <w:t>五、</w:t>
            </w:r>
            <w:r>
              <w:rPr>
                <w:rFonts w:hint="eastAsia" w:ascii="黑体" w:hAnsi="黑体" w:eastAsia="黑体" w:cs="黑体"/>
                <w:bCs/>
                <w:sz w:val="28"/>
                <w:szCs w:val="28"/>
              </w:rPr>
              <w:t>改进措施和有关建议</w:t>
            </w:r>
          </w:p>
          <w:p>
            <w:pPr>
              <w:numPr>
                <w:ilvl w:val="0"/>
                <w:numId w:val="0"/>
              </w:numPr>
              <w:spacing w:line="560" w:lineRule="exact"/>
              <w:ind w:firstLine="56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一、开展培训，全院设置绩效小组，科室设置绩效联络人。通过对绩效联络人的培训，传达绩效管理方案。</w:t>
            </w:r>
          </w:p>
          <w:p>
            <w:pPr>
              <w:numPr>
                <w:ilvl w:val="0"/>
                <w:numId w:val="0"/>
              </w:numPr>
              <w:spacing w:line="560" w:lineRule="exact"/>
              <w:ind w:firstLine="56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二、对绩效跟踪评价。每个季度跟踪评价，且定量定性多方面测评。</w:t>
            </w:r>
          </w:p>
          <w:p>
            <w:pPr>
              <w:numPr>
                <w:ilvl w:val="0"/>
                <w:numId w:val="0"/>
              </w:numPr>
              <w:spacing w:line="560" w:lineRule="exact"/>
              <w:ind w:firstLine="56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三、多反馈沟通。财务科与各科室加强有效沟通，对绩效管理工作存在的问题即时纠正，确保年度绩效目标的达成。</w:t>
            </w:r>
          </w:p>
          <w:p>
            <w:pPr>
              <w:rPr>
                <w:rFonts w:eastAsia="楷体_GB2312"/>
                <w:bCs/>
                <w:sz w:val="28"/>
                <w:szCs w:val="28"/>
              </w:rPr>
            </w:pPr>
          </w:p>
        </w:tc>
      </w:tr>
    </w:tbl>
    <w:p>
      <w:pPr>
        <w:spacing w:line="348" w:lineRule="auto"/>
        <w:rPr>
          <w:rFonts w:ascii="黑体" w:hAnsi="黑体" w:eastAsia="黑体" w:cs="黑体"/>
          <w:bCs/>
          <w:sz w:val="32"/>
          <w:szCs w:val="32"/>
        </w:rPr>
      </w:pPr>
    </w:p>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9</w:t>
    </w:r>
    <w:r>
      <w:rPr>
        <w:sz w:val="24"/>
        <w:szCs w:val="24"/>
      </w:rPr>
      <w:fldChar w:fldCharType="end"/>
    </w:r>
    <w:r>
      <w:rPr>
        <w:rStyle w:val="6"/>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118426"/>
    <w:multiLevelType w:val="singleLevel"/>
    <w:tmpl w:val="F0118426"/>
    <w:lvl w:ilvl="0" w:tentative="0">
      <w:start w:val="1"/>
      <w:numFmt w:val="decimal"/>
      <w:suff w:val="nothing"/>
      <w:lvlText w:val="%1、"/>
      <w:lvlJc w:val="left"/>
    </w:lvl>
  </w:abstractNum>
  <w:abstractNum w:abstractNumId="1">
    <w:nsid w:val="770F6612"/>
    <w:multiLevelType w:val="singleLevel"/>
    <w:tmpl w:val="770F661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OTg5MTZhNmMyZDkyNzVmNTc4YjAyOTA5MTVlZDYifQ=="/>
  </w:docVars>
  <w:rsids>
    <w:rsidRoot w:val="17CD191B"/>
    <w:rsid w:val="014A50C7"/>
    <w:rsid w:val="020C393F"/>
    <w:rsid w:val="04DA35D6"/>
    <w:rsid w:val="061620FC"/>
    <w:rsid w:val="0E3141D6"/>
    <w:rsid w:val="17CD191B"/>
    <w:rsid w:val="21242502"/>
    <w:rsid w:val="2CAE05AB"/>
    <w:rsid w:val="2DC2020E"/>
    <w:rsid w:val="2DF8506B"/>
    <w:rsid w:val="2F1E4447"/>
    <w:rsid w:val="326E799F"/>
    <w:rsid w:val="36D92CEC"/>
    <w:rsid w:val="373D3954"/>
    <w:rsid w:val="3CD042D9"/>
    <w:rsid w:val="3E596AC1"/>
    <w:rsid w:val="407D44F8"/>
    <w:rsid w:val="419D2BEC"/>
    <w:rsid w:val="43AD24B8"/>
    <w:rsid w:val="45C30C81"/>
    <w:rsid w:val="4C68357C"/>
    <w:rsid w:val="6E007325"/>
    <w:rsid w:val="70706459"/>
    <w:rsid w:val="71C80B66"/>
    <w:rsid w:val="749F010E"/>
    <w:rsid w:val="7D642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paragraph" w:styleId="7">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4858</Words>
  <Characters>5413</Characters>
  <Lines>0</Lines>
  <Paragraphs>0</Paragraphs>
  <TotalTime>6</TotalTime>
  <ScaleCrop>false</ScaleCrop>
  <LinksUpToDate>false</LinksUpToDate>
  <CharactersWithSpaces>5816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2021-06-15T08:14:00Z</dcterms:created>
  <dc:creator>Administrator</dc:creator>
  <cp:lastModifiedBy>Administrator</cp:lastModifiedBy>
  <cp:lastPrinted>2022-08-19T02:21:00Z</cp:lastPrinted>
  <dcterms:modified xsi:type="dcterms:W3CDTF">2022-08-19T06:55:03Z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17699919EC0F407DAA1E4B6EB24DAF20</vt:lpwstr>
  </property>
</Properties>
</file>