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岳阳市人民政府国有资产监督管理委员会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803001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w:t>
      </w:r>
      <w:r>
        <w:rPr>
          <w:rFonts w:hint="eastAsia" w:eastAsia="仿宋_GB2312"/>
          <w:sz w:val="32"/>
          <w:lang w:val="en-US" w:eastAsia="zh-CN"/>
        </w:rPr>
        <w:t>2</w:t>
      </w:r>
      <w:r>
        <w:rPr>
          <w:rFonts w:hint="eastAsia" w:eastAsia="仿宋_GB2312"/>
          <w:sz w:val="32"/>
        </w:rPr>
        <w:t>年6月</w:t>
      </w:r>
      <w:r>
        <w:rPr>
          <w:rFonts w:hint="eastAsia" w:eastAsia="仿宋_GB2312"/>
          <w:sz w:val="32"/>
          <w:lang w:val="en-US" w:eastAsia="zh-CN"/>
        </w:rPr>
        <w:t>8</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高达乾</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8357595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sz w:val="24"/>
              </w:rPr>
              <w:t>依照法律、法规履行出资人职责，加强所监管企业国有资产的监督管理工作；承担监督所监管企业国有资产保值增值的责任；会同相关部门做好监管企业工资分配管理工作；推进国企改革和重组，加强与中央企业、省属企业的对接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任务1：完成“十四五”国资国企规划编制工作；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任务2：处理上一轮市属国企改革改制遗留问题；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任务3：推进驻岳央企、省企国企办社会化职能分离移交工作；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w:t>
            </w:r>
            <w:r>
              <w:rPr>
                <w:rFonts w:hint="eastAsia" w:ascii="仿宋_GB2312" w:hAnsi="宋体" w:eastAsia="仿宋_GB2312" w:cs="仿宋_GB2312"/>
                <w:color w:val="000000"/>
                <w:kern w:val="0"/>
                <w:sz w:val="22"/>
                <w:szCs w:val="22"/>
              </w:rPr>
              <w:t>推进市级党政机关和事业单位所办企业纳入统一监管的工作；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任务5：完成监管企业国有资本经营预算、企业负责人业绩考核和薪酬兑现；                  任务6：指导国资系统全面深化“五化”建设100%达标；对系统内支部书记培训教育学习指导；全面指导系统内主题教育常态化、制度化。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cs="仿宋_GB2312"/>
                <w:spacing w:val="6"/>
                <w:sz w:val="24"/>
                <w:szCs w:val="24"/>
              </w:rPr>
            </w:pPr>
            <w:r>
              <w:rPr>
                <w:rFonts w:hint="eastAsia" w:ascii="仿宋_GB2312" w:hAnsi="仿宋_GB2312" w:eastAsia="仿宋_GB2312" w:cs="仿宋_GB2312"/>
                <w:sz w:val="24"/>
                <w:szCs w:val="24"/>
                <w:lang w:val="en-US" w:eastAsia="zh-CN"/>
              </w:rPr>
              <w:t>2021年，</w:t>
            </w: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lang w:eastAsia="zh-CN"/>
              </w:rPr>
              <w:t>省国资委、</w:t>
            </w:r>
            <w:r>
              <w:rPr>
                <w:rFonts w:hint="eastAsia" w:ascii="仿宋_GB2312" w:hAnsi="仿宋_GB2312" w:eastAsia="仿宋_GB2312" w:cs="仿宋_GB2312"/>
                <w:color w:val="000000"/>
                <w:sz w:val="24"/>
                <w:szCs w:val="24"/>
              </w:rPr>
              <w:t>市委、市政府的坚强领导下，</w:t>
            </w:r>
            <w:r>
              <w:rPr>
                <w:rFonts w:hint="eastAsia" w:ascii="仿宋_GB2312" w:hAnsi="仿宋_GB2312" w:eastAsia="仿宋_GB2312" w:cs="仿宋_GB2312"/>
                <w:color w:val="000000"/>
                <w:sz w:val="24"/>
                <w:szCs w:val="24"/>
                <w:lang w:eastAsia="zh-CN"/>
              </w:rPr>
              <w:t>我委以管资本为主加快推进职能转变，持续深化国企改革，完善国资监管，推进转型增效，强化国企党建，成效显著。</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2" w:firstLineChars="200"/>
              <w:textAlignment w:val="auto"/>
              <w:rPr>
                <w:rFonts w:hint="eastAsia" w:ascii="仿宋_GB2312" w:hAnsi="仿宋" w:eastAsia="仿宋_GB2312" w:cs="仿宋_GB2312"/>
                <w:spacing w:val="6"/>
                <w:sz w:val="24"/>
                <w:szCs w:val="24"/>
              </w:rPr>
            </w:pPr>
            <w:r>
              <w:rPr>
                <w:rStyle w:val="21"/>
                <w:rFonts w:hint="eastAsia" w:ascii="楷体" w:hAnsi="楷体" w:eastAsia="楷体" w:cs="楷体"/>
                <w:b/>
                <w:bCs/>
                <w:color w:val="auto"/>
                <w:kern w:val="2"/>
                <w:sz w:val="24"/>
                <w:szCs w:val="24"/>
                <w:highlight w:val="none"/>
                <w:lang w:val="en-US" w:eastAsia="zh-CN" w:bidi="ar-SA"/>
              </w:rPr>
              <w:t>1、推进混合所有制改革。</w:t>
            </w:r>
            <w:r>
              <w:rPr>
                <w:rFonts w:hint="eastAsia" w:ascii="仿宋_GB2312" w:hAnsi="仿宋" w:eastAsia="仿宋_GB2312" w:cs="仿宋_GB2312"/>
                <w:spacing w:val="6"/>
                <w:sz w:val="24"/>
                <w:szCs w:val="24"/>
              </w:rPr>
              <w:t>采取分层分类，成熟一家、推进一家的方式，与融创中国、恒大集团的合作推进商业</w:t>
            </w:r>
            <w:r>
              <w:rPr>
                <w:rFonts w:hint="eastAsia" w:ascii="仿宋_GB2312" w:hAnsi="仿宋" w:eastAsia="仿宋_GB2312" w:cs="仿宋_GB2312"/>
                <w:spacing w:val="6"/>
                <w:sz w:val="24"/>
                <w:szCs w:val="24"/>
                <w:lang w:eastAsia="zh-CN"/>
              </w:rPr>
              <w:t>房地产</w:t>
            </w:r>
            <w:r>
              <w:rPr>
                <w:rFonts w:hint="eastAsia" w:ascii="仿宋_GB2312" w:hAnsi="仿宋" w:eastAsia="仿宋_GB2312" w:cs="仿宋_GB2312"/>
                <w:spacing w:val="6"/>
                <w:sz w:val="24"/>
                <w:szCs w:val="24"/>
              </w:rPr>
              <w:t>开发，入股民营企业进入新型建材、装备式制造行业，向实体经济发展。在与融创中国、恒大集团的合作中，都由合作方控股，设置董事会、监事会和经理层分权运行、相互制衡的治理结构。市交投集团正在研究结合岳阳市中心医院的建设，发展月子中心业务，参考“冰山模式”，引入社会资本开展混合所有制改革。</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仿宋_GB2312" w:hAnsi="仿宋" w:eastAsia="仿宋_GB2312" w:cs="仿宋_GB2312"/>
                <w:spacing w:val="6"/>
                <w:sz w:val="24"/>
                <w:szCs w:val="24"/>
                <w:lang w:eastAsia="zh-CN"/>
              </w:rPr>
            </w:pPr>
            <w:r>
              <w:rPr>
                <w:rStyle w:val="21"/>
                <w:rFonts w:hint="eastAsia" w:ascii="楷体" w:hAnsi="楷体" w:eastAsia="楷体" w:cs="楷体"/>
                <w:b/>
                <w:bCs/>
                <w:color w:val="auto"/>
                <w:kern w:val="2"/>
                <w:sz w:val="24"/>
                <w:szCs w:val="24"/>
                <w:highlight w:val="none"/>
                <w:lang w:val="en-US" w:eastAsia="zh-CN" w:bidi="ar-SA"/>
              </w:rPr>
              <w:t>2、重组整合国有资本。</w:t>
            </w:r>
            <w:r>
              <w:rPr>
                <w:rFonts w:hint="eastAsia" w:ascii="仿宋_GB2312" w:hAnsi="仿宋" w:eastAsia="仿宋_GB2312" w:cs="仿宋_GB2312"/>
                <w:spacing w:val="6"/>
                <w:sz w:val="24"/>
                <w:szCs w:val="24"/>
                <w:lang w:val="en-US" w:eastAsia="zh-CN"/>
              </w:rPr>
              <w:t>按照一个平台运营模式，对岳阳楼、君山公园、洞博馆、洞庭南路历史文化街区、岳州古城、幕阜山、南湖宾馆等文旅项目统一运营、深度开发、提质升级；</w:t>
            </w:r>
            <w:r>
              <w:rPr>
                <w:rFonts w:hint="eastAsia" w:ascii="仿宋_GB2312" w:hAnsi="仿宋" w:eastAsia="仿宋_GB2312" w:cs="仿宋_GB2312"/>
                <w:spacing w:val="6"/>
                <w:kern w:val="2"/>
                <w:sz w:val="24"/>
                <w:szCs w:val="24"/>
                <w:lang w:val="en-US" w:eastAsia="zh-CN" w:bidi="ar-SA"/>
              </w:rPr>
              <w:t>成立岳阳市农业发展集团，助力我市乡村振兴和农村农业发展</w:t>
            </w:r>
            <w:r>
              <w:rPr>
                <w:rFonts w:hint="eastAsia" w:ascii="仿宋_GB2312" w:hAnsi="仿宋" w:eastAsia="仿宋_GB2312" w:cs="仿宋_GB2312"/>
                <w:spacing w:val="6"/>
                <w:sz w:val="24"/>
                <w:szCs w:val="24"/>
                <w:lang w:eastAsia="zh-CN"/>
              </w:rPr>
              <w:t>；</w:t>
            </w:r>
            <w:r>
              <w:rPr>
                <w:rFonts w:hint="eastAsia" w:ascii="仿宋_GB2312" w:hAnsi="仿宋" w:eastAsia="仿宋_GB2312" w:cs="仿宋_GB2312"/>
                <w:spacing w:val="6"/>
                <w:kern w:val="2"/>
                <w:sz w:val="24"/>
                <w:szCs w:val="24"/>
                <w:lang w:val="en-US" w:eastAsia="zh-CN" w:bidi="ar-SA"/>
              </w:rPr>
              <w:t>筹备整合组建岳阳市能源集团；</w:t>
            </w:r>
            <w:r>
              <w:rPr>
                <w:rFonts w:hint="eastAsia" w:ascii="仿宋_GB2312" w:hAnsi="仿宋" w:eastAsia="仿宋_GB2312" w:cs="仿宋_GB2312"/>
                <w:spacing w:val="6"/>
                <w:sz w:val="24"/>
                <w:szCs w:val="24"/>
              </w:rPr>
              <w:t>以原规划设计院为主体整合了园林设计公司，后续还将整合市本级各类国有工程咨询类企业，改组组建岳阳市工程咨询集团。</w:t>
            </w:r>
            <w:r>
              <w:rPr>
                <w:rFonts w:hint="eastAsia" w:ascii="仿宋_GB2312" w:hAnsi="仿宋" w:eastAsia="仿宋_GB2312" w:cs="仿宋_GB2312"/>
                <w:spacing w:val="6"/>
                <w:kern w:val="2"/>
                <w:sz w:val="24"/>
                <w:szCs w:val="24"/>
                <w:lang w:val="en-US" w:eastAsia="zh-CN" w:bidi="ar-SA"/>
              </w:rPr>
              <w:t>积极引导国有资本投向战略性新兴产业。交投集团投向智慧城市、海绵城市、港航物流等；城投集团从“建设开发商”向“城市运营商”“产业运营商”“服务提供商”转变。积极与三峡集团合作，推</w:t>
            </w:r>
            <w:r>
              <w:rPr>
                <w:rFonts w:hint="eastAsia" w:ascii="仿宋_GB2312" w:hAnsi="仿宋" w:eastAsia="仿宋_GB2312" w:cs="仿宋_GB2312"/>
                <w:spacing w:val="6"/>
                <w:sz w:val="24"/>
                <w:szCs w:val="24"/>
                <w:lang w:val="en-US" w:eastAsia="zh-CN"/>
              </w:rPr>
              <w:t>动涉水全产业链的资本布局，推进岳阳市智慧水管家模式的建立。</w:t>
            </w:r>
            <w:r>
              <w:rPr>
                <w:rFonts w:hint="eastAsia" w:ascii="仿宋_GB2312" w:hAnsi="仿宋" w:eastAsia="仿宋_GB2312" w:cs="仿宋_GB2312"/>
                <w:spacing w:val="6"/>
                <w:sz w:val="24"/>
                <w:szCs w:val="24"/>
              </w:rPr>
              <w:t>清理退出不具备优势的非主营业务和低效无效资产。</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2" w:firstLineChars="200"/>
              <w:textAlignment w:val="auto"/>
              <w:rPr>
                <w:rFonts w:hint="eastAsia" w:ascii="仿宋_GB2312" w:hAnsi="仿宋" w:eastAsia="仿宋_GB2312" w:cs="仿宋_GB2312"/>
                <w:spacing w:val="6"/>
                <w:sz w:val="24"/>
                <w:szCs w:val="24"/>
                <w:lang w:eastAsia="zh-CN"/>
              </w:rPr>
            </w:pPr>
            <w:r>
              <w:rPr>
                <w:rStyle w:val="21"/>
                <w:rFonts w:hint="eastAsia" w:ascii="楷体" w:hAnsi="楷体" w:eastAsia="楷体" w:cs="楷体"/>
                <w:b/>
                <w:bCs/>
                <w:color w:val="auto"/>
                <w:kern w:val="2"/>
                <w:sz w:val="24"/>
                <w:szCs w:val="24"/>
                <w:highlight w:val="none"/>
                <w:lang w:val="en-US" w:eastAsia="zh-CN" w:bidi="ar-SA"/>
              </w:rPr>
              <w:t>3、推进集中统一监管。</w:t>
            </w:r>
            <w:r>
              <w:rPr>
                <w:rFonts w:hint="eastAsia" w:ascii="仿宋_GB2312" w:hAnsi="仿宋" w:eastAsia="仿宋_GB2312" w:cs="仿宋_GB2312"/>
                <w:spacing w:val="6"/>
                <w:sz w:val="24"/>
                <w:szCs w:val="24"/>
              </w:rPr>
              <w:t>49家市直部门企业已通过依法退出、直接移交、委托监管、转企移交等方式基本实现集中统一监管</w:t>
            </w:r>
            <w:r>
              <w:rPr>
                <w:rFonts w:hint="eastAsia" w:ascii="仿宋_GB2312" w:hAnsi="仿宋" w:eastAsia="仿宋_GB2312" w:cs="仿宋_GB2312"/>
                <w:spacing w:val="6"/>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2" w:firstLineChars="200"/>
              <w:textAlignment w:val="auto"/>
              <w:rPr>
                <w:rStyle w:val="21"/>
                <w:rFonts w:hint="eastAsia" w:ascii="仿宋_GB2312" w:hAnsi="Times New Roman" w:eastAsia="仿宋_GB2312" w:cs="Times New Roman"/>
                <w:b w:val="0"/>
                <w:bCs w:val="0"/>
                <w:color w:val="auto"/>
                <w:kern w:val="2"/>
                <w:sz w:val="24"/>
                <w:szCs w:val="24"/>
                <w:highlight w:val="none"/>
                <w:u w:val="none"/>
                <w:lang w:val="en-US" w:eastAsia="zh-CN" w:bidi="ar-SA"/>
              </w:rPr>
            </w:pPr>
            <w:r>
              <w:rPr>
                <w:rStyle w:val="21"/>
                <w:rFonts w:hint="eastAsia" w:ascii="楷体" w:hAnsi="楷体" w:eastAsia="楷体" w:cs="楷体"/>
                <w:b/>
                <w:bCs/>
                <w:color w:val="auto"/>
                <w:kern w:val="2"/>
                <w:sz w:val="24"/>
                <w:szCs w:val="24"/>
                <w:highlight w:val="none"/>
                <w:lang w:val="en-US" w:eastAsia="zh-CN" w:bidi="ar-SA"/>
              </w:rPr>
              <w:t>4、打造智慧化监管。</w:t>
            </w:r>
            <w:r>
              <w:rPr>
                <w:rStyle w:val="21"/>
                <w:rFonts w:hint="eastAsia" w:ascii="仿宋_GB2312" w:hAnsi="仿宋_GB2312" w:eastAsia="仿宋_GB2312" w:cs="仿宋_GB2312"/>
                <w:b w:val="0"/>
                <w:bCs w:val="0"/>
                <w:color w:val="auto"/>
                <w:kern w:val="2"/>
                <w:sz w:val="24"/>
                <w:szCs w:val="24"/>
                <w:highlight w:val="none"/>
                <w:lang w:val="en-US" w:eastAsia="zh-CN" w:bidi="ar-SA"/>
              </w:rPr>
              <w:t>按照 “统筹规划、委企共建、集约共享”的原则</w:t>
            </w:r>
            <w:r>
              <w:rPr>
                <w:rStyle w:val="21"/>
                <w:rFonts w:hint="eastAsia" w:ascii="仿宋_GB2312" w:hAnsi="Times New Roman" w:eastAsia="仿宋_GB2312" w:cs="Times New Roman"/>
                <w:b w:val="0"/>
                <w:bCs w:val="0"/>
                <w:color w:val="auto"/>
                <w:kern w:val="2"/>
                <w:sz w:val="24"/>
                <w:szCs w:val="24"/>
                <w:highlight w:val="none"/>
                <w:u w:val="none"/>
                <w:lang w:val="en-US" w:eastAsia="zh-CN" w:bidi="ar-SA"/>
              </w:rPr>
              <w:t>建设国资国企在</w:t>
            </w:r>
            <w:r>
              <w:rPr>
                <w:rStyle w:val="21"/>
                <w:rFonts w:hint="eastAsia" w:ascii="仿宋_GB2312" w:hAnsi="仿宋_GB2312" w:eastAsia="仿宋_GB2312" w:cs="仿宋_GB2312"/>
                <w:b w:val="0"/>
                <w:bCs w:val="0"/>
                <w:color w:val="auto"/>
                <w:kern w:val="2"/>
                <w:sz w:val="24"/>
                <w:szCs w:val="24"/>
                <w:highlight w:val="none"/>
                <w:u w:val="none"/>
                <w:lang w:val="en-US" w:eastAsia="zh-CN" w:bidi="ar-SA"/>
              </w:rPr>
              <w:t>线监管系统，</w:t>
            </w:r>
            <w:r>
              <w:rPr>
                <w:rFonts w:hint="eastAsia" w:ascii="仿宋_GB2312" w:hAnsi="仿宋_GB2312" w:eastAsia="仿宋_GB2312" w:cs="仿宋_GB2312"/>
                <w:sz w:val="24"/>
                <w:szCs w:val="24"/>
                <w:u w:val="none"/>
                <w:lang w:eastAsia="zh-CN"/>
              </w:rPr>
              <w:t>以监管指标采集报送为抓手，围绕国有企业组织机构、“三重一大”决策运行、财务、工资总额、大额资金动态监测、追责问责等重点业务系统，推动国资监管向大数据监管、智慧监管转变，促进国资监管与运营方式的现代化，打造符合岳阳特色的国资国企监管平台。目前，我委出台了《岳阳市国资国企在线监管系统建设实施方案》，落实了资金来源，</w:t>
            </w:r>
            <w:r>
              <w:rPr>
                <w:rStyle w:val="21"/>
                <w:rFonts w:hint="eastAsia" w:ascii="仿宋_GB2312" w:hAnsi="仿宋_GB2312" w:eastAsia="仿宋_GB2312" w:cs="仿宋_GB2312"/>
                <w:b w:val="0"/>
                <w:bCs w:val="0"/>
                <w:color w:val="auto"/>
                <w:kern w:val="2"/>
                <w:sz w:val="24"/>
                <w:szCs w:val="24"/>
                <w:highlight w:val="none"/>
                <w:u w:val="none"/>
                <w:lang w:val="en-US" w:eastAsia="zh-CN" w:bidi="ar-SA"/>
              </w:rPr>
              <w:t>完成了与省国</w:t>
            </w:r>
            <w:r>
              <w:rPr>
                <w:rStyle w:val="21"/>
                <w:rFonts w:hint="eastAsia" w:ascii="仿宋_GB2312" w:hAnsi="Times New Roman" w:eastAsia="仿宋_GB2312" w:cs="Times New Roman"/>
                <w:b w:val="0"/>
                <w:bCs w:val="0"/>
                <w:color w:val="auto"/>
                <w:kern w:val="2"/>
                <w:sz w:val="24"/>
                <w:szCs w:val="24"/>
                <w:highlight w:val="none"/>
                <w:u w:val="none"/>
                <w:lang w:val="en-US" w:eastAsia="zh-CN" w:bidi="ar-SA"/>
              </w:rPr>
              <w:t>资委相应系统对接，2022年6月上线试运行。</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ascii="仿宋" w:hAnsi="仿宋" w:eastAsia="仿宋" w:cs="仿宋"/>
                <w:sz w:val="24"/>
              </w:rPr>
            </w:pPr>
            <w:r>
              <w:rPr>
                <w:rFonts w:hint="eastAsia" w:ascii="楷体" w:hAnsi="楷体" w:eastAsia="楷体" w:cs="楷体"/>
                <w:b/>
                <w:bCs/>
                <w:sz w:val="24"/>
                <w:szCs w:val="24"/>
                <w:u w:val="none"/>
                <w:lang w:val="en-US" w:eastAsia="zh-CN"/>
              </w:rPr>
              <w:t>5、</w:t>
            </w:r>
            <w:r>
              <w:rPr>
                <w:rFonts w:hint="eastAsia" w:ascii="楷体" w:hAnsi="楷体" w:eastAsia="楷体" w:cs="楷体"/>
                <w:b/>
                <w:bCs/>
                <w:sz w:val="24"/>
                <w:szCs w:val="24"/>
                <w:u w:val="none"/>
                <w:lang w:eastAsia="zh-CN"/>
              </w:rPr>
              <w:t>防控债务风险。</w:t>
            </w:r>
            <w:r>
              <w:rPr>
                <w:rFonts w:hint="eastAsia" w:ascii="仿宋_GB2312" w:hAnsi="仿宋_GB2312" w:eastAsia="仿宋_GB2312" w:cs="仿宋_GB2312"/>
                <w:sz w:val="24"/>
                <w:szCs w:val="24"/>
                <w:lang w:val="en-US" w:eastAsia="zh-CN"/>
              </w:rPr>
              <w:t>根据市委市政府要求，今年我委监管的六家企业共计拟化解政府性债务57.71亿元，关注类债务转经营类债务109.39亿元。我委积极协调，采取处置改制剩余资产、划转铁山供水股权、洞庭湖游船经营权、党政机关事业单位经营性资产等方式严格按狮子横幅的要求如期完成下达的化债任务。支持各监管企业和惠华、惠临、南湖城投公司合规融资，缓释到期债务，共融资42笔，融资总额255.12亿元；担保35笔（其中对内担保25笔， 对外担保10笔），担保总额100.33亿元。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743.88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52.85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690.56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743.88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52.85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690.56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743.63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699.68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448.94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250.74</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43.95</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-52.59</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743.63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699.68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448.94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250.74</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43.95</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-52.59</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128.27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128.27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128.27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128.27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7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szCs w:val="21"/>
              </w:rPr>
              <w:t>处理上一轮市属国企改制遗留问题；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szCs w:val="21"/>
              </w:rPr>
              <w:t>推进驻岳央企、省企国企办社会化职能分离移交工作；</w:t>
            </w:r>
          </w:p>
          <w:p>
            <w:pPr>
              <w:autoSpaceDN w:val="0"/>
              <w:spacing w:line="320" w:lineRule="exact"/>
              <w:jc w:val="left"/>
              <w:textAlignment w:val="center"/>
              <w:rPr>
                <w:rFonts w:hint="eastAsia"/>
                <w:szCs w:val="21"/>
              </w:rPr>
            </w:pPr>
            <w:r>
              <w:rPr>
                <w:rFonts w:hint="eastAsia" w:ascii="仿宋_GB2312" w:hAnsi="仿宋_GB2312" w:eastAsia="仿宋_GB2312" w:cs="仿宋_GB2312"/>
                <w:color w:val="000000"/>
                <w:sz w:val="24"/>
              </w:rPr>
              <w:t>目标3：</w:t>
            </w:r>
            <w:r>
              <w:rPr>
                <w:rFonts w:hint="eastAsia"/>
                <w:szCs w:val="21"/>
              </w:rPr>
              <w:t>推进市级党政机关和事业单位纳入统一监管的工作。</w:t>
            </w:r>
          </w:p>
          <w:p>
            <w:pPr>
              <w:autoSpaceDN w:val="0"/>
              <w:spacing w:line="320" w:lineRule="exact"/>
              <w:jc w:val="left"/>
              <w:textAlignment w:val="center"/>
              <w:rPr>
                <w:rFonts w:hint="default" w:eastAsia="宋体"/>
                <w:szCs w:val="21"/>
                <w:lang w:val="en-US" w:eastAsia="zh-CN"/>
              </w:rPr>
            </w:pPr>
            <w:r>
              <w:rPr>
                <w:rFonts w:hint="eastAsia"/>
                <w:szCs w:val="21"/>
                <w:lang w:val="en-US" w:eastAsia="zh-CN"/>
              </w:rPr>
              <w:t>目标4：完成“十四五”国资国企规划编制工作</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目标1：按期完成；</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目标2：按期完成；</w:t>
            </w:r>
          </w:p>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目标3：按期完成</w:t>
            </w:r>
            <w:r>
              <w:rPr>
                <w:rFonts w:hint="eastAsia" w:ascii="仿宋_GB2312" w:hAnsi="仿宋_GB2312" w:eastAsia="仿宋_GB2312" w:cs="仿宋_GB2312"/>
                <w:color w:val="000000"/>
                <w:sz w:val="24"/>
                <w:lang w:eastAsia="zh-CN"/>
              </w:rPr>
              <w:t>；</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4：按期完成。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指标1：</w:t>
            </w:r>
            <w:r>
              <w:rPr>
                <w:rFonts w:hint="eastAsia" w:ascii="仿宋_GB2312" w:hAnsi="宋体" w:eastAsia="仿宋_GB2312" w:cs="仿宋_GB2312"/>
                <w:color w:val="000000"/>
                <w:kern w:val="0"/>
                <w:sz w:val="22"/>
                <w:szCs w:val="22"/>
                <w:u w:val="none"/>
              </w:rPr>
              <w:t>完成8家监管企业负责人的业绩考核和薪酬兑现工作；</w:t>
            </w:r>
          </w:p>
        </w:tc>
        <w:tc>
          <w:tcPr>
            <w:tcW w:w="2684" w:type="dxa"/>
            <w:gridSpan w:val="6"/>
            <w:vAlign w:val="center"/>
          </w:tcPr>
          <w:p>
            <w:pPr>
              <w:autoSpaceDN w:val="0"/>
              <w:spacing w:line="320" w:lineRule="exact"/>
              <w:jc w:val="both"/>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考核工作已完成，待市薪改组审核。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指标2：</w:t>
            </w:r>
            <w:r>
              <w:rPr>
                <w:rFonts w:hint="eastAsia" w:ascii="仿宋_GB2312" w:hAnsi="宋体" w:eastAsia="仿宋_GB2312" w:cs="仿宋_GB2312"/>
                <w:color w:val="000000"/>
                <w:kern w:val="0"/>
                <w:sz w:val="22"/>
                <w:szCs w:val="22"/>
                <w:u w:val="none"/>
              </w:rPr>
              <w:t>完成6家监管企业国有资本经营预算；</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0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u w:val="none"/>
              </w:rPr>
              <w:t>指标3：指导国资系统66个党支部深化“五化”建设。</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u w:val="none"/>
              </w:rPr>
              <w:t>：完成“十四五”国资国企规划编制工作；</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指标1：</w:t>
            </w:r>
            <w:r>
              <w:rPr>
                <w:rFonts w:hint="eastAsia" w:ascii="仿宋_GB2312" w:hAnsi="宋体" w:eastAsia="仿宋_GB2312" w:cs="仿宋_GB2312"/>
                <w:color w:val="000000"/>
                <w:kern w:val="0"/>
                <w:sz w:val="22"/>
                <w:szCs w:val="22"/>
                <w:u w:val="none"/>
              </w:rPr>
              <w:t>完成国有资本收益281万；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仿宋_GB2312"/>
                <w:color w:val="000000"/>
                <w:sz w:val="24"/>
              </w:rPr>
              <w:t>已完成</w:t>
            </w:r>
            <w:r>
              <w:rPr>
                <w:rFonts w:hint="eastAsia" w:ascii="仿宋_GB2312" w:hAnsi="宋体" w:eastAsia="仿宋_GB2312" w:cs="仿宋_GB2312"/>
                <w:color w:val="000000"/>
                <w:sz w:val="24"/>
                <w:lang w:val="en-US" w:eastAsia="zh-CN"/>
              </w:rPr>
              <w:t>382</w:t>
            </w:r>
            <w:r>
              <w:rPr>
                <w:rFonts w:hint="eastAsia" w:ascii="仿宋_GB2312" w:hAnsi="宋体" w:eastAsia="仿宋_GB2312" w:cs="仿宋_GB2312"/>
                <w:color w:val="00000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6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指标2：</w:t>
            </w:r>
            <w:r>
              <w:rPr>
                <w:rFonts w:hint="eastAsia" w:ascii="仿宋_GB2312" w:hAnsi="宋体" w:eastAsia="仿宋_GB2312" w:cs="仿宋_GB2312"/>
                <w:color w:val="000000"/>
                <w:kern w:val="0"/>
                <w:sz w:val="22"/>
                <w:szCs w:val="22"/>
                <w:u w:val="none"/>
              </w:rPr>
              <w:t>推进50家驻岳央企、省企国企办社会化职能分离移交工作；</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7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u w:val="none"/>
              </w:rPr>
            </w:pPr>
            <w:r>
              <w:rPr>
                <w:rFonts w:hint="eastAsia" w:ascii="仿宋_GB2312" w:hAnsi="仿宋_GB2312" w:eastAsia="仿宋_GB2312" w:cs="仿宋_GB2312"/>
                <w:color w:val="000000"/>
                <w:sz w:val="24"/>
                <w:u w:val="none"/>
              </w:rPr>
              <w:t>指标3：</w:t>
            </w:r>
            <w:r>
              <w:rPr>
                <w:rFonts w:hint="eastAsia" w:ascii="仿宋_GB2312" w:hAnsi="宋体" w:eastAsia="仿宋_GB2312" w:cs="仿宋_GB2312"/>
                <w:color w:val="000000"/>
                <w:kern w:val="0"/>
                <w:sz w:val="22"/>
                <w:szCs w:val="22"/>
                <w:u w:val="none"/>
              </w:rPr>
              <w:t xml:space="preserve">推进市级党政机关和事业单位所办35家企业纳入集中统一监管的工作；        </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指标1：年底完成</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按期完成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3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 w:hAnsi="仿宋" w:eastAsia="仿宋"/>
                <w:sz w:val="24"/>
              </w:rPr>
            </w:pPr>
            <w:r>
              <w:rPr>
                <w:rFonts w:hint="eastAsia" w:ascii="仿宋_GB2312" w:hAnsi="仿宋_GB2312" w:eastAsia="仿宋_GB2312" w:cs="仿宋_GB2312"/>
                <w:color w:val="000000"/>
                <w:sz w:val="24"/>
              </w:rPr>
              <w:t>指标1：</w:t>
            </w:r>
            <w:r>
              <w:rPr>
                <w:rFonts w:hint="eastAsia" w:ascii="仿宋" w:hAnsi="仿宋" w:eastAsia="仿宋"/>
                <w:sz w:val="24"/>
              </w:rPr>
              <w:t>处理上一轮市属国企改制遗留问题；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sz w:val="24"/>
              </w:rPr>
              <w:t>推进驻岳央企、省企国企办社会化职能分离移交工作；</w:t>
            </w:r>
          </w:p>
          <w:p>
            <w:pPr>
              <w:autoSpaceDN w:val="0"/>
              <w:spacing w:line="320" w:lineRule="exact"/>
              <w:jc w:val="left"/>
              <w:textAlignment w:val="center"/>
              <w:rPr>
                <w:rFonts w:hint="eastAsia" w:ascii="仿宋" w:hAnsi="仿宋" w:eastAsia="仿宋"/>
                <w:sz w:val="24"/>
              </w:rPr>
            </w:pPr>
            <w:r>
              <w:rPr>
                <w:rFonts w:hint="eastAsia" w:ascii="仿宋_GB2312" w:hAnsi="仿宋_GB2312" w:eastAsia="仿宋_GB2312" w:cs="仿宋_GB2312"/>
                <w:color w:val="000000"/>
                <w:sz w:val="24"/>
              </w:rPr>
              <w:t>指标3：</w:t>
            </w:r>
            <w:r>
              <w:rPr>
                <w:rFonts w:hint="eastAsia" w:ascii="仿宋" w:hAnsi="仿宋" w:eastAsia="仿宋"/>
                <w:sz w:val="24"/>
              </w:rPr>
              <w:t>推进市级党政机关和事业单位纳入统一监管的工作。</w:t>
            </w:r>
          </w:p>
          <w:p>
            <w:pPr>
              <w:autoSpaceDN w:val="0"/>
              <w:spacing w:line="320" w:lineRule="exact"/>
              <w:jc w:val="left"/>
              <w:textAlignment w:val="center"/>
              <w:rPr>
                <w:rFonts w:hint="default" w:ascii="仿宋" w:hAnsi="仿宋" w:eastAsia="仿宋"/>
                <w:sz w:val="24"/>
                <w:lang w:val="en-US" w:eastAsia="zh-CN"/>
              </w:rPr>
            </w:pPr>
            <w:r>
              <w:rPr>
                <w:rFonts w:hint="eastAsia" w:ascii="仿宋" w:hAnsi="仿宋" w:eastAsia="仿宋"/>
                <w:sz w:val="24"/>
                <w:lang w:eastAsia="zh-CN"/>
              </w:rPr>
              <w:t>指标</w:t>
            </w:r>
            <w:r>
              <w:rPr>
                <w:rFonts w:hint="eastAsia" w:ascii="仿宋" w:hAnsi="仿宋" w:eastAsia="仿宋"/>
                <w:sz w:val="24"/>
                <w:lang w:val="en-US" w:eastAsia="zh-CN"/>
              </w:rPr>
              <w:t>4：完成“十四五”国资国企规划编制工作；</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指标1：按期完成</w:t>
            </w:r>
          </w:p>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指标2：按期完成</w:t>
            </w:r>
          </w:p>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指标3：按期完成</w:t>
            </w:r>
          </w:p>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指标</w:t>
            </w:r>
            <w:r>
              <w:rPr>
                <w:rFonts w:hint="eastAsia" w:ascii="仿宋_GB2312" w:hAnsi="仿宋_GB2312" w:eastAsia="仿宋_GB2312" w:cs="仿宋_GB2312"/>
                <w:b/>
                <w:color w:val="000000"/>
                <w:sz w:val="24"/>
                <w:lang w:val="en-US" w:eastAsia="zh-CN"/>
              </w:rPr>
              <w:t>4：按期完成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sz w:val="24"/>
              </w:rPr>
              <w:t>服务对象满意度。</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李精明</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市国资委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高达乾</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市国资委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董佳佳</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综合科主任科员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市国资委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刘思思</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综合科副科长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市国资委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27"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rPr>
                <w:rFonts w:eastAsia="楷体_GB2312"/>
                <w:bCs/>
                <w:sz w:val="28"/>
                <w:szCs w:val="28"/>
              </w:rPr>
            </w:pPr>
          </w:p>
        </w:tc>
      </w:tr>
    </w:tbl>
    <w:p>
      <w:pPr>
        <w:spacing w:line="348" w:lineRule="auto"/>
        <w:rPr>
          <w:rFonts w:eastAsia="楷体_GB2312"/>
          <w:bCs/>
          <w:sz w:val="28"/>
          <w:szCs w:val="28"/>
        </w:rPr>
      </w:pPr>
    </w:p>
    <w:p>
      <w:pPr>
        <w:jc w:val="center"/>
        <w:rPr>
          <w:rFonts w:ascii="黑体" w:hAnsi="黑体" w:eastAsia="黑体"/>
          <w:sz w:val="32"/>
          <w:szCs w:val="32"/>
        </w:rPr>
      </w:pPr>
      <w:r>
        <w:rPr>
          <w:rFonts w:hint="eastAsia" w:ascii="方正小标宋简体" w:eastAsia="方正小标宋简体"/>
          <w:sz w:val="38"/>
          <w:szCs w:val="38"/>
        </w:rPr>
        <w:t>部门整体支出绩效评价评分表（参考样表）</w:t>
      </w:r>
    </w:p>
    <w:tbl>
      <w:tblPr>
        <w:tblStyle w:val="9"/>
        <w:tblW w:w="10008" w:type="dxa"/>
        <w:jc w:val="center"/>
        <w:tblLayout w:type="fixed"/>
        <w:tblCellMar>
          <w:top w:w="0" w:type="dxa"/>
          <w:left w:w="108" w:type="dxa"/>
          <w:bottom w:w="0" w:type="dxa"/>
          <w:right w:w="108" w:type="dxa"/>
        </w:tblCellMar>
      </w:tblPr>
      <w:tblGrid>
        <w:gridCol w:w="976"/>
        <w:gridCol w:w="939"/>
        <w:gridCol w:w="1204"/>
        <w:gridCol w:w="4356"/>
        <w:gridCol w:w="619"/>
        <w:gridCol w:w="720"/>
        <w:gridCol w:w="1194"/>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3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1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财政供养人员控制率</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9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9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9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无重点支出</w:t>
            </w: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w:t>
            </w:r>
          </w:p>
        </w:tc>
        <w:tc>
          <w:tcPr>
            <w:tcW w:w="11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5"/>
                <w:szCs w:val="15"/>
              </w:rPr>
              <w:t>预算6</w:t>
            </w:r>
            <w:r>
              <w:rPr>
                <w:rFonts w:hint="eastAsia" w:ascii="仿宋_GB2312" w:hAnsi="宋体" w:eastAsia="仿宋_GB2312" w:cs="宋体"/>
                <w:color w:val="000000"/>
                <w:kern w:val="0"/>
                <w:sz w:val="15"/>
                <w:szCs w:val="15"/>
                <w:lang w:val="en-US" w:eastAsia="zh-CN"/>
              </w:rPr>
              <w:t>25.72</w:t>
            </w:r>
            <w:r>
              <w:rPr>
                <w:rFonts w:hint="eastAsia" w:ascii="仿宋_GB2312" w:hAnsi="宋体" w:eastAsia="仿宋_GB2312" w:cs="宋体"/>
                <w:color w:val="000000"/>
                <w:kern w:val="0"/>
                <w:sz w:val="15"/>
                <w:szCs w:val="15"/>
              </w:rPr>
              <w:t>万元，实际拨</w:t>
            </w:r>
            <w:r>
              <w:rPr>
                <w:rFonts w:hint="eastAsia" w:ascii="仿宋_GB2312" w:hAnsi="宋体" w:eastAsia="仿宋_GB2312" w:cs="宋体"/>
                <w:color w:val="000000"/>
                <w:kern w:val="0"/>
                <w:sz w:val="15"/>
                <w:szCs w:val="15"/>
                <w:lang w:val="en-US" w:eastAsia="zh-CN"/>
              </w:rPr>
              <w:t>764.45</w:t>
            </w:r>
            <w:r>
              <w:rPr>
                <w:rFonts w:hint="eastAsia" w:ascii="仿宋_GB2312" w:hAnsi="宋体" w:eastAsia="仿宋_GB2312" w:cs="宋体"/>
                <w:color w:val="000000"/>
                <w:kern w:val="0"/>
                <w:sz w:val="15"/>
                <w:szCs w:val="15"/>
              </w:rPr>
              <w:t>万元，调整部分主要</w:t>
            </w:r>
            <w:r>
              <w:rPr>
                <w:rFonts w:hint="eastAsia" w:ascii="仿宋_GB2312" w:hAnsi="宋体" w:eastAsia="仿宋_GB2312" w:cs="宋体"/>
                <w:color w:val="000000"/>
                <w:kern w:val="0"/>
                <w:sz w:val="15"/>
                <w:szCs w:val="15"/>
                <w:lang w:eastAsia="zh-CN"/>
              </w:rPr>
              <w:t>是补贴</w:t>
            </w:r>
            <w:r>
              <w:rPr>
                <w:rFonts w:hint="eastAsia" w:ascii="仿宋_GB2312" w:hAnsi="宋体" w:eastAsia="仿宋_GB2312" w:cs="宋体"/>
                <w:color w:val="000000"/>
                <w:kern w:val="0"/>
                <w:sz w:val="15"/>
                <w:szCs w:val="15"/>
              </w:rPr>
              <w:t>和奖励金等。</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19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有结余，但少于上年结转。</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1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35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3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9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3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9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3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9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2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3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9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9"/>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bookmarkStart w:id="0" w:name="_GoBack"/>
            <w:bookmarkEnd w:id="0"/>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6.5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 xml:space="preserve">备注：如部门（单位）根据本部门实际情况修改调整了附件3《部门整体支出绩效评价指标体系（参考样表）》，须相应修改调整本表中的对应部分。 </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1</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8"/>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0ZDk2MDIwYjdhZDJiYzYxMDYwYTlkMGI3OGYyND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596"/>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7C1"/>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636D5"/>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279E"/>
    <w:rsid w:val="001F4FB9"/>
    <w:rsid w:val="001F53D6"/>
    <w:rsid w:val="001F5EB0"/>
    <w:rsid w:val="001F6074"/>
    <w:rsid w:val="001F7BE4"/>
    <w:rsid w:val="00202878"/>
    <w:rsid w:val="00202925"/>
    <w:rsid w:val="00202C4D"/>
    <w:rsid w:val="00203959"/>
    <w:rsid w:val="00203DA5"/>
    <w:rsid w:val="0020691C"/>
    <w:rsid w:val="002079A4"/>
    <w:rsid w:val="002125D7"/>
    <w:rsid w:val="00212D7C"/>
    <w:rsid w:val="00213429"/>
    <w:rsid w:val="0021427E"/>
    <w:rsid w:val="00214659"/>
    <w:rsid w:val="00215498"/>
    <w:rsid w:val="00217512"/>
    <w:rsid w:val="00220FD4"/>
    <w:rsid w:val="0022118A"/>
    <w:rsid w:val="0022530B"/>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29AA"/>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899"/>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0CAF"/>
    <w:rsid w:val="002D196C"/>
    <w:rsid w:val="002D257D"/>
    <w:rsid w:val="002D4C75"/>
    <w:rsid w:val="002D5BDD"/>
    <w:rsid w:val="002D7A7D"/>
    <w:rsid w:val="002E172A"/>
    <w:rsid w:val="002E4165"/>
    <w:rsid w:val="002E5BB6"/>
    <w:rsid w:val="002E5BF7"/>
    <w:rsid w:val="002E5EEA"/>
    <w:rsid w:val="002F1297"/>
    <w:rsid w:val="002F2089"/>
    <w:rsid w:val="002F4AB3"/>
    <w:rsid w:val="002F4CEA"/>
    <w:rsid w:val="002F50F8"/>
    <w:rsid w:val="002F7533"/>
    <w:rsid w:val="002F75DB"/>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6F"/>
    <w:rsid w:val="003757C5"/>
    <w:rsid w:val="003819C1"/>
    <w:rsid w:val="00381DB2"/>
    <w:rsid w:val="0038399C"/>
    <w:rsid w:val="00385A6B"/>
    <w:rsid w:val="003865EB"/>
    <w:rsid w:val="003869A3"/>
    <w:rsid w:val="00387C03"/>
    <w:rsid w:val="00395C64"/>
    <w:rsid w:val="003960D7"/>
    <w:rsid w:val="003977CF"/>
    <w:rsid w:val="00397B9F"/>
    <w:rsid w:val="003A33EE"/>
    <w:rsid w:val="003A500F"/>
    <w:rsid w:val="003B0EC1"/>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33EA"/>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67FB"/>
    <w:rsid w:val="004F14C0"/>
    <w:rsid w:val="004F274C"/>
    <w:rsid w:val="004F2A04"/>
    <w:rsid w:val="004F3C76"/>
    <w:rsid w:val="004F4D46"/>
    <w:rsid w:val="004F6DF6"/>
    <w:rsid w:val="004F74FB"/>
    <w:rsid w:val="005009DA"/>
    <w:rsid w:val="00505358"/>
    <w:rsid w:val="005103FC"/>
    <w:rsid w:val="0051214D"/>
    <w:rsid w:val="005135F8"/>
    <w:rsid w:val="00517695"/>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287C"/>
    <w:rsid w:val="005761BC"/>
    <w:rsid w:val="0058157B"/>
    <w:rsid w:val="00585469"/>
    <w:rsid w:val="0058594A"/>
    <w:rsid w:val="00586143"/>
    <w:rsid w:val="005862BF"/>
    <w:rsid w:val="005919B4"/>
    <w:rsid w:val="005929C4"/>
    <w:rsid w:val="00592A3A"/>
    <w:rsid w:val="005954E8"/>
    <w:rsid w:val="00596CC9"/>
    <w:rsid w:val="00597608"/>
    <w:rsid w:val="00597C2A"/>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02EE"/>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36C7A"/>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CFE"/>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BB1"/>
    <w:rsid w:val="008A1DFB"/>
    <w:rsid w:val="008A37EF"/>
    <w:rsid w:val="008A3D61"/>
    <w:rsid w:val="008A4D06"/>
    <w:rsid w:val="008A545F"/>
    <w:rsid w:val="008A5AD3"/>
    <w:rsid w:val="008A6C14"/>
    <w:rsid w:val="008A785B"/>
    <w:rsid w:val="008B307E"/>
    <w:rsid w:val="008B3890"/>
    <w:rsid w:val="008B607B"/>
    <w:rsid w:val="008B6CC0"/>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23BF"/>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5922"/>
    <w:rsid w:val="009A69A7"/>
    <w:rsid w:val="009A716C"/>
    <w:rsid w:val="009B0DF3"/>
    <w:rsid w:val="009B1039"/>
    <w:rsid w:val="009B1E67"/>
    <w:rsid w:val="009B2EEC"/>
    <w:rsid w:val="009B2F9A"/>
    <w:rsid w:val="009B3259"/>
    <w:rsid w:val="009B501F"/>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17030"/>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3A42"/>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DB9"/>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57BB1"/>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764"/>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2AB1"/>
    <w:rsid w:val="00C35D38"/>
    <w:rsid w:val="00C35D9D"/>
    <w:rsid w:val="00C3778D"/>
    <w:rsid w:val="00C4168B"/>
    <w:rsid w:val="00C4231F"/>
    <w:rsid w:val="00C42C0F"/>
    <w:rsid w:val="00C44F7C"/>
    <w:rsid w:val="00C453ED"/>
    <w:rsid w:val="00C51945"/>
    <w:rsid w:val="00C51AF3"/>
    <w:rsid w:val="00C52A77"/>
    <w:rsid w:val="00C55928"/>
    <w:rsid w:val="00C5705C"/>
    <w:rsid w:val="00C63BE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12B33"/>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41B7"/>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580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6F5E"/>
    <w:rsid w:val="00EA7C13"/>
    <w:rsid w:val="00EA7DBF"/>
    <w:rsid w:val="00EB0429"/>
    <w:rsid w:val="00EB044B"/>
    <w:rsid w:val="00EB4130"/>
    <w:rsid w:val="00EB47BD"/>
    <w:rsid w:val="00EB5AA5"/>
    <w:rsid w:val="00EC1E86"/>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3788"/>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5F3B8D"/>
    <w:rsid w:val="03B928D4"/>
    <w:rsid w:val="0D3A05F9"/>
    <w:rsid w:val="142F4BAF"/>
    <w:rsid w:val="18746CFD"/>
    <w:rsid w:val="20D90C8E"/>
    <w:rsid w:val="21DE492A"/>
    <w:rsid w:val="23547E4F"/>
    <w:rsid w:val="247B7B5C"/>
    <w:rsid w:val="2DE7182C"/>
    <w:rsid w:val="32CA2337"/>
    <w:rsid w:val="38312A9E"/>
    <w:rsid w:val="3CD357C5"/>
    <w:rsid w:val="45AD1005"/>
    <w:rsid w:val="4B262E75"/>
    <w:rsid w:val="4B2900F6"/>
    <w:rsid w:val="527B6B5F"/>
    <w:rsid w:val="57894F5F"/>
    <w:rsid w:val="619012B7"/>
    <w:rsid w:val="62C465A1"/>
    <w:rsid w:val="690A0087"/>
    <w:rsid w:val="6FC35064"/>
    <w:rsid w:val="71597FC1"/>
    <w:rsid w:val="7B3B025D"/>
    <w:rsid w:val="7F39180C"/>
    <w:rsid w:val="7FC5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Indent"/>
    <w:basedOn w:val="1"/>
    <w:qFormat/>
    <w:uiPriority w:val="0"/>
    <w:pPr>
      <w:spacing w:after="120"/>
      <w:ind w:left="420" w:leftChars="200"/>
    </w:pPr>
    <w:rPr>
      <w:rFonts w:ascii="Times New Roman" w:hAnsi="Times New Roman" w:eastAsia="微软雅黑" w:cs="Times New Roman"/>
    </w:rPr>
  </w:style>
  <w:style w:type="paragraph" w:styleId="4">
    <w:name w:val="Body Text Indent 2"/>
    <w:basedOn w:val="1"/>
    <w:link w:val="16"/>
    <w:unhideWhenUsed/>
    <w:uiPriority w:val="99"/>
    <w:pPr>
      <w:ind w:firstLine="588" w:firstLineChars="200"/>
    </w:pPr>
    <w:rPr>
      <w:rFonts w:ascii="仿宋_GB2312" w:hAnsi="Calibri" w:eastAsia="仿宋_GB2312"/>
      <w:sz w:val="32"/>
    </w:rPr>
  </w:style>
  <w:style w:type="paragraph" w:styleId="5">
    <w:name w:val="Balloon Text"/>
    <w:basedOn w:val="1"/>
    <w:link w:val="19"/>
    <w:semiHidden/>
    <w:uiPriority w:val="0"/>
    <w:rPr>
      <w:sz w:val="18"/>
      <w:szCs w:val="18"/>
    </w:rPr>
  </w:style>
  <w:style w:type="paragraph" w:styleId="6">
    <w:name w:val="footer"/>
    <w:basedOn w:val="1"/>
    <w:next w:val="2"/>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ind w:left="283" w:firstLine="210"/>
    </w:pPr>
    <w:rPr>
      <w:rFonts w:ascii="Times New Roman"/>
    </w:rPr>
  </w:style>
  <w:style w:type="character" w:styleId="11">
    <w:name w:val="page number"/>
    <w:uiPriority w:val="0"/>
  </w:style>
  <w:style w:type="character" w:customStyle="1" w:styleId="12">
    <w:name w:val="页眉 Char"/>
    <w:basedOn w:val="10"/>
    <w:link w:val="7"/>
    <w:semiHidden/>
    <w:uiPriority w:val="99"/>
    <w:rPr>
      <w:sz w:val="18"/>
      <w:szCs w:val="18"/>
    </w:rPr>
  </w:style>
  <w:style w:type="character" w:customStyle="1" w:styleId="13">
    <w:name w:val="页脚 Char"/>
    <w:basedOn w:val="10"/>
    <w:link w:val="6"/>
    <w:uiPriority w:val="0"/>
    <w:rPr>
      <w:sz w:val="18"/>
      <w:szCs w:val="18"/>
    </w:rPr>
  </w:style>
  <w:style w:type="character" w:customStyle="1" w:styleId="14">
    <w:name w:val="标题 3 Char Char"/>
    <w:uiPriority w:val="0"/>
    <w:rPr>
      <w:rFonts w:eastAsia="楷体_GB2312"/>
      <w:b/>
      <w:kern w:val="2"/>
      <w:sz w:val="32"/>
      <w:szCs w:val="24"/>
      <w:lang w:val="en-US" w:eastAsia="zh-CN" w:bidi="ar-SA"/>
    </w:rPr>
  </w:style>
  <w:style w:type="paragraph" w:customStyle="1" w:styleId="15">
    <w:name w:val="Char"/>
    <w:basedOn w:val="1"/>
    <w:qFormat/>
    <w:uiPriority w:val="0"/>
    <w:pPr>
      <w:autoSpaceDE w:val="0"/>
      <w:autoSpaceDN w:val="0"/>
      <w:adjustRightInd w:val="0"/>
    </w:pPr>
    <w:rPr>
      <w:rFonts w:ascii="宋体" w:cs="宋体"/>
      <w:kern w:val="0"/>
      <w:sz w:val="20"/>
      <w:szCs w:val="20"/>
      <w:lang w:val="zh-CN"/>
    </w:rPr>
  </w:style>
  <w:style w:type="character" w:customStyle="1" w:styleId="16">
    <w:name w:val="正文文本缩进 2 Char"/>
    <w:basedOn w:val="10"/>
    <w:link w:val="4"/>
    <w:qFormat/>
    <w:uiPriority w:val="99"/>
    <w:rPr>
      <w:rFonts w:ascii="仿宋_GB2312" w:hAnsi="Calibri" w:eastAsia="仿宋_GB2312" w:cs="Times New Roman"/>
      <w:sz w:val="32"/>
      <w:szCs w:val="24"/>
    </w:rPr>
  </w:style>
  <w:style w:type="paragraph" w:customStyle="1" w:styleId="17">
    <w:name w:val="Char1"/>
    <w:basedOn w:val="1"/>
    <w:qFormat/>
    <w:uiPriority w:val="0"/>
    <w:rPr>
      <w:rFonts w:ascii="仿宋_GB2312" w:eastAsia="仿宋_GB2312"/>
      <w:sz w:val="32"/>
    </w:rPr>
  </w:style>
  <w:style w:type="paragraph" w:customStyle="1" w:styleId="18">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9">
    <w:name w:val="批注框文本 Char"/>
    <w:basedOn w:val="10"/>
    <w:link w:val="5"/>
    <w:semiHidden/>
    <w:qFormat/>
    <w:uiPriority w:val="0"/>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4661</Words>
  <Characters>5001</Characters>
  <Lines>42</Lines>
  <Paragraphs>11</Paragraphs>
  <TotalTime>3</TotalTime>
  <ScaleCrop>false</ScaleCrop>
  <LinksUpToDate>false</LinksUpToDate>
  <CharactersWithSpaces>5548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董佳佳</cp:lastModifiedBy>
  <cp:lastPrinted>2022-06-08T01:19:05Z</cp:lastPrinted>
  <dcterms:modified xsi:type="dcterms:W3CDTF">2022-06-08T01:19:25Z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785D44DE46A94230BABE9BD3FDBD93EE</vt:lpwstr>
  </property>
</Properties>
</file>